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E968" w14:textId="6E26A18D" w:rsidR="001A3E30" w:rsidRDefault="00F63961" w:rsidP="00F63961">
      <w:pPr>
        <w:jc w:val="center"/>
        <w:rPr>
          <w:sz w:val="40"/>
          <w:szCs w:val="40"/>
          <w:u w:val="single"/>
        </w:rPr>
      </w:pPr>
      <w:r w:rsidRPr="00F63961">
        <w:rPr>
          <w:sz w:val="40"/>
          <w:szCs w:val="40"/>
          <w:u w:val="single"/>
        </w:rPr>
        <w:t>Vierter Absatz</w:t>
      </w:r>
    </w:p>
    <w:p w14:paraId="5B1082DA" w14:textId="06FF2414" w:rsidR="00F63961" w:rsidRDefault="00F63961" w:rsidP="00F63961">
      <w:pPr>
        <w:rPr>
          <w:sz w:val="28"/>
          <w:szCs w:val="28"/>
        </w:rPr>
      </w:pPr>
      <w:r>
        <w:rPr>
          <w:sz w:val="28"/>
          <w:szCs w:val="28"/>
        </w:rPr>
        <w:t>Im vierten Absatz beschreibt der Autor wie Anglizismen auch das Deutsche bereichern können, solange man sie intelligent verwende. Manche Wörter sind aber grammatikalisch schwierig, obwohl „Bausparen“ auch unter diese Kategorie fällt.</w:t>
      </w:r>
    </w:p>
    <w:p w14:paraId="0517BF54" w14:textId="0A07EE06" w:rsidR="00F63961" w:rsidRPr="00F63961" w:rsidRDefault="00F54F31" w:rsidP="00F63961">
      <w:pPr>
        <w:rPr>
          <w:sz w:val="28"/>
          <w:szCs w:val="28"/>
        </w:rPr>
      </w:pPr>
      <w:r>
        <w:rPr>
          <w:sz w:val="28"/>
          <w:szCs w:val="28"/>
        </w:rPr>
        <w:t>Der Autor legt eine neutralere und subjektivere Sicht ein.</w:t>
      </w:r>
    </w:p>
    <w:sectPr w:rsidR="00F63961" w:rsidRPr="00F639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A0"/>
    <w:rsid w:val="000505A0"/>
    <w:rsid w:val="001A3E30"/>
    <w:rsid w:val="00F54F31"/>
    <w:rsid w:val="00F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EA83"/>
  <w15:chartTrackingRefBased/>
  <w15:docId w15:val="{3F2D3269-60FF-4FA7-9159-67B5F241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2021-09-09T21:15:00Z</dcterms:created>
  <dcterms:modified xsi:type="dcterms:W3CDTF">2021-09-09T21:26:00Z</dcterms:modified>
</cp:coreProperties>
</file>