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TS-18954-Offensive: 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06/12/24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 </w:t>
      </w:r>
      <w:r w:rsidDel="00000000" w:rsidR="00000000" w:rsidRPr="00000000">
        <w:rPr>
          <w:sz w:val="24"/>
          <w:szCs w:val="24"/>
          <w:rtl w:val="0"/>
        </w:rPr>
        <w:t xml:space="preserve">The primary objective of this User Story is to gain a user’s login access to the OWASP Juice Shop Application without using the password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 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Accounts:  bender@juice-sh.op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I conducted initial site reconnaissance and located the Login Page.  I was also able to collect Bender’s email on product reviews on the site.  I was able to conduct a SQL Injection attack by entering “bender@juice-sh.op‘–”, in the email input and I obtained Bender’s user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site is vulnerable to a basic SQL Injection Attack, which would allow an intruder to place product orders in Bender’s name and alter the User Profile, among other actions without the Bender’s consent.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