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9.jpg" ContentType="image/jpeg"/>
  <Override PartName="/word/media/rId83.jpg" ContentType="image/jpeg"/>
  <Override PartName="/word/media/rId87.jpg" ContentType="image/jpeg"/>
  <Override PartName="/word/media/rId91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lab5-1.asm. Внесите изменения в программу (без использования внешнего файла in_out.asm), так чтобы она работала по следующему алгоритму:</w:t>
      </w:r>
    </w:p>
    <w:p>
      <w:pPr>
        <w:numPr>
          <w:ilvl w:val="0"/>
          <w:numId w:val="1002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02"/>
        </w:numPr>
        <w:pStyle w:val="Compact"/>
      </w:pPr>
      <w:r>
        <w:t xml:space="preserve">вывести введённую строку на экран.</w:t>
      </w:r>
    </w:p>
    <w:p>
      <w:pPr>
        <w:numPr>
          <w:ilvl w:val="0"/>
          <w:numId w:val="1003"/>
        </w:numPr>
        <w:pStyle w:val="Compact"/>
      </w:pPr>
      <w:r>
        <w:t xml:space="preserve">Получите исполняемый файл и проверьте его работу. На приглашение ввести строку введите свою фамилию.</w:t>
      </w:r>
    </w:p>
    <w:p>
      <w:pPr>
        <w:numPr>
          <w:ilvl w:val="0"/>
          <w:numId w:val="1003"/>
        </w:numPr>
        <w:pStyle w:val="Compact"/>
      </w:pPr>
      <w:r>
        <w:t xml:space="preserve">Создайте копию файла lab5-2.asm. Исправьте текст программы с использование подпрограмм из внешнего файла in_out.asm, так чтобы она работала по следующему алгоритму:</w:t>
      </w:r>
    </w:p>
    <w:p>
      <w:pPr>
        <w:numPr>
          <w:ilvl w:val="0"/>
          <w:numId w:val="1004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04"/>
        </w:numPr>
        <w:pStyle w:val="Compact"/>
      </w:pPr>
      <w:r>
        <w:t xml:space="preserve">вывести введённую строку на экран</w:t>
      </w:r>
    </w:p>
    <w:p>
      <w:pPr>
        <w:numPr>
          <w:ilvl w:val="0"/>
          <w:numId w:val="1005"/>
        </w:numPr>
        <w:pStyle w:val="Compact"/>
      </w:pPr>
      <w:r>
        <w:t xml:space="preserve">Создайте исполняемый файл и проверьте его работу.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сновы-работы-с-midnight-commander.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Основы работы с Midnight Commander.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Для активации оболочки Midnight Commander достаточно ввести в командной строке mc и нажать клавишу Enter (рис. 5.1). В Midnight Commander используются функциональные клавиши F1 — F10 , к которым привязаны часто выполняемые операции.</w:t>
      </w:r>
    </w:p>
    <w:bookmarkEnd w:id="22"/>
    <w:bookmarkStart w:id="23" w:name="X57e7b7d1db1f0e165a90f37bee8dca49d49e85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</w:p>
    <w:p>
      <w:pPr>
        <w:pStyle w:val="BodyText"/>
      </w:pP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br/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word)— определяет переменную размером в 8 байт (учетверённое слово);</w:t>
      </w:r>
      <w:r>
        <w:t xml:space="preserve"> </w:t>
      </w:r>
      <w:r>
        <w:t xml:space="preserve">- DT (define ten bytes) — определяет переменную размером в 10 байт.</w:t>
      </w:r>
      <w:r>
        <w:br/>
      </w:r>
      <w:r>
        <w:t xml:space="preserve">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</w:p>
    <w:bookmarkEnd w:id="23"/>
    <w:bookmarkStart w:id="24" w:name="элементы-программировани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Элементы программирования</w:t>
      </w:r>
    </w:p>
    <w:p>
      <w:pPr>
        <w:pStyle w:val="FirstParagraph"/>
      </w:pPr>
      <w:r>
        <w:t xml:space="preserve">Инструкция языка ассемблера mov предназначена для дублирования данных источника в приёмнике. В общем виде эта инструкция записывается в виде:</w:t>
      </w:r>
      <w:r>
        <w:br/>
      </w:r>
      <w:r>
        <w:rPr>
          <w:iCs/>
          <w:i/>
        </w:rPr>
        <w:t xml:space="preserve">mov dst,src</w:t>
      </w:r>
      <w:r>
        <w:br/>
      </w:r>
      <w:r>
        <w:t xml:space="preserve">Здесь операнд dst — приёмник, а src — источник.</w:t>
      </w:r>
      <w:r>
        <w:br/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br/>
      </w:r>
      <w:r>
        <w:t xml:space="preserve">ВАЖНО! Переслать значение из одной ячейки памяти в другую нельзя, для этого необходимо использовать две инструкции mov:</w:t>
      </w:r>
      <w:r>
        <w:br/>
      </w:r>
      <w:r>
        <w:rPr>
          <w:iCs/>
          <w:i/>
        </w:rPr>
        <w:t xml:space="preserve">mov eax, x</w:t>
      </w:r>
      <w:r>
        <w:br/>
      </w:r>
      <w:r>
        <w:rPr>
          <w:iCs/>
          <w:i/>
        </w:rPr>
        <w:t xml:space="preserve">mov y, eax</w:t>
      </w:r>
      <w:r>
        <w:br/>
      </w:r>
      <w:r>
        <w:t xml:space="preserve">Также необходимо учитывать то, что размер операндов приемника и источника должны</w:t>
      </w:r>
      <w:r>
        <w:t xml:space="preserve"> </w:t>
      </w:r>
      <w:r>
        <w:t xml:space="preserve">совпадать. Использование слудующих примеров приведет к ошибке: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mov al,1000h — ошибка, попытка записать 2-байтное число в 1-байтный регистр;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mov eax,cx — ошибка, размеры операндов не совпадают.</w:t>
      </w:r>
    </w:p>
    <w:bookmarkEnd w:id="24"/>
    <w:bookmarkEnd w:id="25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bookmarkStart w:id="29" w:name="fig:001"/>
      <w:r>
        <w:drawing>
          <wp:inline>
            <wp:extent cx="5334000" cy="248696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Открываем Midnight Commander.</w:t>
      </w:r>
    </w:p>
    <w:p>
      <w:pPr>
        <w:pStyle w:val="BodyText"/>
      </w:pPr>
      <w:bookmarkStart w:id="33" w:name="fig:001"/>
      <w:r>
        <w:drawing>
          <wp:inline>
            <wp:extent cx="5334000" cy="205325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Переходим в каталог ~/work/arch-pc созданный при выполнении лабораторной работы №4.</w:t>
      </w:r>
    </w:p>
    <w:p>
      <w:pPr>
        <w:pStyle w:val="BodyText"/>
      </w:pPr>
      <w:bookmarkStart w:id="37" w:name="fig:001"/>
      <w:r>
        <w:drawing>
          <wp:inline>
            <wp:extent cx="5334000" cy="172226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2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br/>
      </w:r>
      <w:bookmarkStart w:id="41" w:name="fig:001"/>
      <w:r>
        <w:drawing>
          <wp:inline>
            <wp:extent cx="5334000" cy="631143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С помощью функциональной клавиши F7 создаём папку lab05 и переходим в созданный каталог. Пользуясь строкой ввода и командой touch создаём файл lab5-1.asm</w:t>
      </w:r>
    </w:p>
    <w:p>
      <w:pPr>
        <w:pStyle w:val="BodyText"/>
      </w:pPr>
      <w:bookmarkStart w:id="45" w:name="fig:001"/>
      <w:r>
        <w:drawing>
          <wp:inline>
            <wp:extent cx="5334000" cy="5152159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С помощью функциональной клавиши F4 открываем файл lab5-1.asm для редактирования во встроенном редакторе и вводим предложенный текст программы, сохраняем изменения и закрываем файл.</w:t>
      </w:r>
    </w:p>
    <w:p>
      <w:pPr>
        <w:pStyle w:val="BodyText"/>
      </w:pPr>
      <w:bookmarkStart w:id="49" w:name="fig:001"/>
      <w:r>
        <w:drawing>
          <wp:inline>
            <wp:extent cx="5334000" cy="4734674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4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С помощью функциональной клавиши F3 открываем файл lab5-1.asm для просмотра. Убеждаемся, что файл содержит текст программы.</w:t>
      </w:r>
    </w:p>
    <w:p>
      <w:pPr>
        <w:pStyle w:val="BodyText"/>
      </w:pPr>
      <w:bookmarkStart w:id="53" w:name="fig:001"/>
      <w:r>
        <w:drawing>
          <wp:inline>
            <wp:extent cx="5334000" cy="88608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7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Оттранслируем текст программы lab5-1.asm в объектный файл. Выполняем компоновку объектного файла и запускаем получившийся исполняемый файл. На запрос вводим своё ФИО.</w:t>
      </w:r>
    </w:p>
    <w:p>
      <w:pPr>
        <w:pStyle w:val="BodyText"/>
      </w:pPr>
      <w:bookmarkStart w:id="57" w:name="fig:001"/>
      <w:r>
        <w:drawing>
          <wp:inline>
            <wp:extent cx="5334000" cy="267152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8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br/>
      </w:r>
      <w:bookmarkStart w:id="61" w:name="fig:001"/>
      <w:r>
        <w:drawing>
          <wp:inline>
            <wp:extent cx="5334000" cy="93275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9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2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Скачиваем файл in_out.asm и переносим его в тот же каталог, где лежит и файл с программой, в которой он используется. С помощью функциональной клавиши F6 создаём копию файла lab5-1.asm с именем</w:t>
      </w:r>
      <w:r>
        <w:t xml:space="preserve"> </w:t>
      </w:r>
      <w:r>
        <w:t xml:space="preserve">lab5-2.asm.</w:t>
      </w:r>
    </w:p>
    <w:p>
      <w:pPr>
        <w:pStyle w:val="BodyText"/>
      </w:pPr>
      <w:bookmarkStart w:id="65" w:name="fig:001"/>
      <w:r>
        <w:drawing>
          <wp:inline>
            <wp:extent cx="5334000" cy="214852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Исправляем текст программы в файле lab5-2.asm с использование подпрограмм из внешнего файла in_out.asm.</w:t>
      </w:r>
    </w:p>
    <w:p>
      <w:pPr>
        <w:pStyle w:val="BodyText"/>
      </w:pPr>
      <w:bookmarkStart w:id="69" w:name="fig:001"/>
      <w:r>
        <w:drawing>
          <wp:inline>
            <wp:extent cx="5334000" cy="853907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11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BodyText"/>
      </w:pPr>
      <w:r>
        <w:t xml:space="preserve">Создайте исполняемый файл и проверьте его работу.</w:t>
      </w:r>
    </w:p>
    <w:p>
      <w:pPr>
        <w:pStyle w:val="BodyText"/>
      </w:pPr>
      <w:bookmarkStart w:id="73" w:name="fig:001"/>
      <w:r>
        <w:drawing>
          <wp:inline>
            <wp:extent cx="5334000" cy="2471216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/12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BodyText"/>
      </w:pPr>
      <w:r>
        <w:t xml:space="preserve">В файле lab5-2.asm заменяем подпрограмму sprintLF на sprint.</w:t>
      </w:r>
    </w:p>
    <w:p>
      <w:pPr>
        <w:pStyle w:val="BodyText"/>
      </w:pPr>
      <w:bookmarkStart w:id="77" w:name="fig:001"/>
      <w:r>
        <w:drawing>
          <wp:inline>
            <wp:extent cx="5334000" cy="963486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13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BodyText"/>
      </w:pPr>
      <w:r>
        <w:t xml:space="preserve">Создаём исполняемый файл и проверяем его работу. Замечаем разницу, что sprintLF переводит ввод на следующую строку, в отличии от sprint, где фраза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 </w:t>
      </w:r>
      <w:r>
        <w:t xml:space="preserve">и ввод с клавиатуры находяться на одной строке.</w:t>
      </w:r>
    </w:p>
    <w:bookmarkEnd w:id="78"/>
    <w:bookmarkStart w:id="95" w:name="задание-для-самостоятельной-работ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работы.</w:t>
      </w:r>
    </w:p>
    <w:p>
      <w:pPr>
        <w:pStyle w:val="FirstParagraph"/>
      </w:pPr>
      <w:bookmarkStart w:id="82" w:name="fig:001"/>
      <w:r>
        <w:drawing>
          <wp:inline>
            <wp:extent cx="5334000" cy="629116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image/14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1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r>
        <w:t xml:space="preserve">Создаём копию файла lab5-1.asm (lab5-3.asm). Вносим изменения в программу (без использования внешнего файла in_out.asm), так чтобы она работала по следующему алгоритму:</w:t>
      </w:r>
      <w:r>
        <w:br/>
      </w:r>
      <w:r>
        <w:t xml:space="preserve">-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ввести строку с клавиатуры;</w:t>
      </w:r>
      <w:r>
        <w:t xml:space="preserve"> </w:t>
      </w:r>
      <w:r>
        <w:t xml:space="preserve">- вывести введённую строку на экран.</w:t>
      </w:r>
    </w:p>
    <w:p>
      <w:pPr>
        <w:pStyle w:val="BodyText"/>
      </w:pPr>
      <w:bookmarkStart w:id="86" w:name="fig:001"/>
      <w:r>
        <w:drawing>
          <wp:inline>
            <wp:extent cx="5334000" cy="637506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mage/15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t xml:space="preserve">Получаем исполняемый файл и проверяем его работу. На приглашение ввести строку</w:t>
      </w:r>
      <w:r>
        <w:t xml:space="preserve"> </w:t>
      </w:r>
      <w:r>
        <w:t xml:space="preserve">вводим свою фамилию.</w:t>
      </w:r>
    </w:p>
    <w:p>
      <w:pPr>
        <w:pStyle w:val="BodyText"/>
      </w:pPr>
      <w:bookmarkStart w:id="90" w:name="fig:001"/>
      <w:r>
        <w:drawing>
          <wp:inline>
            <wp:extent cx="5334000" cy="3133258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image/16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BodyText"/>
      </w:pPr>
      <w:r>
        <w:t xml:space="preserve">Создайте копию файла lab5-2.asm (lab5-4.asm). Исправляем текст программы с использование подпрограмм из внешнего файла in_out.asm, так чтобы она работала по следующему алгоритму:</w:t>
      </w:r>
      <w:r>
        <w:br/>
      </w:r>
      <w:r>
        <w:t xml:space="preserve">-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ввести строку с клавиатуры;</w:t>
      </w:r>
      <w:r>
        <w:t xml:space="preserve"> </w:t>
      </w:r>
      <w:r>
        <w:t xml:space="preserve">- вывести введённую строку на экран.</w:t>
      </w:r>
    </w:p>
    <w:p>
      <w:pPr>
        <w:pStyle w:val="BodyText"/>
      </w:pPr>
      <w:bookmarkStart w:id="94" w:name="fig:001"/>
      <w:r>
        <w:drawing>
          <wp:inline>
            <wp:extent cx="5334000" cy="732343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image/17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BodyText"/>
      </w:pPr>
      <w:r>
        <w:t xml:space="preserve">Создаём исполняемый файл и проверяем его работу.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работы в Midnight Commander, освоили инструкции</w:t>
      </w:r>
      <w:r>
        <w:t xml:space="preserve"> </w:t>
      </w:r>
      <w:r>
        <w:t xml:space="preserve">языка ассемблера mov и int.</w:t>
      </w:r>
    </w:p>
    <w:bookmarkEnd w:id="96"/>
    <w:bookmarkStart w:id="98" w:name="список-литературы"/>
    <w:p>
      <w:pPr>
        <w:pStyle w:val="Heading1"/>
      </w:pPr>
      <w:r>
        <w:t xml:space="preserve">Список литературы</w:t>
      </w:r>
    </w:p>
    <w:bookmarkStart w:id="97" w:name="refs"/>
    <w:bookmarkEnd w:id="97"/>
    <w:p>
      <w:pPr>
        <w:numPr>
          <w:ilvl w:val="0"/>
          <w:numId w:val="1006"/>
        </w:numPr>
        <w:pStyle w:val="Compact"/>
      </w:pPr>
      <w:r>
        <w:t xml:space="preserve">GDB: The GNU Project Debugger. — URL: https://www.gnu.org/software/gdb/.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GNU Bash Manual. — 2016. — URL: https://www.gnu.org/software/bash/manual/.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NASM Assembly Language Tutorials. — 2021. — URL: https://asmtutor.com/.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Robbins A. Bash Pocket Reference. — O’Reilly Media, 2016. — 156 с. — ISBN 978-1491941591.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The NASM documentation. — 2021. — URL: https://www.nasm.us/docs.php.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Zarrelli G. Mastering Bash. — Packt Publishing, 2017. — 502 с. — ISBN 9781784396879.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Колдаев В. Д., Лупин С. А. Архитектура ЭВМ. — М. : Форум, 2018.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Новожилов О. П. Архитектура ЭВМ и систем. — М. : Юрайт, 2016.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Расширенный ассемблер: NASM. — 2021. — URL: https://www.opennet.ru/docs/RUS/nasm/.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image" Id="rId87" Target="media/rId87.jpg" /><Relationship Type="http://schemas.openxmlformats.org/officeDocument/2006/relationships/image" Id="rId91" Target="media/rId91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2024-11-09T15:32:18Z</dcterms:created>
  <dcterms:modified xsi:type="dcterms:W3CDTF">2024-11-09T15:32:18Z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