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33.jpg" ContentType="image/jpeg"/>
  <Override PartName="/word/media/rId105.jpg" ContentType="image/jpeg"/>
  <Override PartName="/word/media/rId109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bookmarkStart w:id="22" w:name="команды-безусловного-перех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безусловного перехода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br/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</w:p>
    <w:p>
      <w:pPr>
        <w:pStyle w:val="BodyText"/>
      </w:pPr>
      <w:r>
        <w:t xml:space="preserve">В следующем примере рассмотрим использование инструкции jmp:</w:t>
      </w:r>
    </w:p>
    <w:p>
      <w:pPr>
        <w:pStyle w:val="BodyText"/>
      </w:pPr>
      <w:r>
        <w:t xml:space="preserve">label:</w:t>
      </w:r>
    </w:p>
    <w:p>
      <w:pPr>
        <w:pStyle w:val="SourceCode"/>
      </w:pPr>
      <w:r>
        <w:rPr>
          <w:rStyle w:val="VerbatimChar"/>
        </w:rPr>
        <w:t xml:space="preserve">   ... ;  </w:t>
      </w:r>
      <w:r>
        <w:br/>
      </w:r>
      <w:r>
        <w:rPr>
          <w:rStyle w:val="VerbatimChar"/>
        </w:rPr>
        <w:t xml:space="preserve">   ... ; команды  </w:t>
      </w:r>
      <w:r>
        <w:br/>
      </w:r>
      <w:r>
        <w:rPr>
          <w:rStyle w:val="VerbatimChar"/>
        </w:rPr>
        <w:t xml:space="preserve">   ... ;  </w:t>
      </w:r>
      <w:r>
        <w:br/>
      </w:r>
      <w:r>
        <w:rPr>
          <w:rStyle w:val="VerbatimChar"/>
        </w:rPr>
        <w:t xml:space="preserve">   jmp label  </w:t>
      </w:r>
    </w:p>
    <w:bookmarkEnd w:id="22"/>
    <w:bookmarkStart w:id="26" w:name="команды-условного-перехо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Команды условного перехода</w:t>
      </w:r>
    </w:p>
    <w:p>
      <w:pPr>
        <w:pStyle w:val="FirstParagraph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bookmarkStart w:id="23" w:name="регистр-флаг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Регистр флагов</w:t>
      </w:r>
    </w:p>
    <w:p>
      <w:pPr>
        <w:pStyle w:val="FirstParagraph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</w:t>
      </w:r>
      <w:r>
        <w:t xml:space="preserve"> </w:t>
      </w:r>
      <w:r>
        <w:t xml:space="preserve">флагов в регистре флагов.</w:t>
      </w:r>
    </w:p>
    <w:p>
      <w:pPr>
        <w:pStyle w:val="BodyText"/>
      </w:pPr>
      <w:r>
        <w:t xml:space="preserve">Флаги состояния (биты 0, 2, 4, 6, 7 и 11) отражают результат выполнения арифметических</w:t>
      </w:r>
      <w:r>
        <w:t xml:space="preserve"> </w:t>
      </w:r>
      <w:r>
        <w:t xml:space="preserve">инструкций, таких как ADD, SUB, MUL, DIV</w:t>
      </w:r>
    </w:p>
    <w:bookmarkEnd w:id="23"/>
    <w:bookmarkStart w:id="24" w:name="описание-инструкции-cmp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Описание инструкции cmp</w:t>
      </w:r>
    </w:p>
    <w:p>
      <w:pPr>
        <w:pStyle w:val="FirstParagraph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br/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SourceCode"/>
      </w:pPr>
      <w:r>
        <w:rPr>
          <w:rStyle w:val="VerbatimChar"/>
        </w:rPr>
        <w:t xml:space="preserve">   cmp &lt;операнд_1&gt;, &lt;операнд_2&gt;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bookmarkEnd w:id="24"/>
    <w:bookmarkStart w:id="25" w:name="описание-команд-условного-перехода.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Описание команд условного перехода.</w:t>
      </w:r>
    </w:p>
    <w:p>
      <w:pPr>
        <w:pStyle w:val="FirstParagraph"/>
      </w:pPr>
      <w:r>
        <w:t xml:space="preserve">Команда условного перехода имеет вид</w:t>
      </w:r>
    </w:p>
    <w:p>
      <w:pPr>
        <w:pStyle w:val="SourceCode"/>
      </w:pPr>
      <w:r>
        <w:rPr>
          <w:rStyle w:val="VerbatimChar"/>
        </w:rPr>
        <w:t xml:space="preserve">   j&lt;мнемоника перехода&gt; label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  <w:r>
        <w:br/>
      </w:r>
      <w:r>
        <w:t xml:space="preserve">В табл. 7.3. представлены команды условного перехода, которые обычно ставятся после</w:t>
      </w:r>
      <w:r>
        <w:t xml:space="preserve"> </w:t>
      </w:r>
      <w:r>
        <w:t xml:space="preserve">команды сравнения cmp. В их мнемокодах указывается тот результат сравнения, при котором</w:t>
      </w:r>
      <w:r>
        <w:t xml:space="preserve"> </w:t>
      </w:r>
      <w:r>
        <w:t xml:space="preserve">надо делать переход. Мнемоники, идентичные по своему действию, написаны в таблице</w:t>
      </w:r>
      <w:r>
        <w:t xml:space="preserve"> </w:t>
      </w:r>
      <w:r>
        <w:t xml:space="preserve">через дробь (например, ja и jnbe). Программист выбирает, какую из них применить, чтобы</w:t>
      </w:r>
      <w:r>
        <w:t xml:space="preserve"> </w:t>
      </w:r>
      <w:r>
        <w:t xml:space="preserve">получить более простой для понимания текст программы.</w:t>
      </w:r>
      <w:r>
        <w:br/>
      </w:r>
      <w:r>
        <w:t xml:space="preserve">В качестве примера рассмотрим фрагмент программы, которая выполняет умножение</w:t>
      </w:r>
      <w:r>
        <w:t xml:space="preserve"> </w:t>
      </w:r>
      <w:r>
        <w:t xml:space="preserve">переменных 𝑎 и 𝑏 и если произведение превосходит размер байта, передает управление на</w:t>
      </w:r>
      <w:r>
        <w:t xml:space="preserve"> </w:t>
      </w:r>
      <w:r>
        <w:t xml:space="preserve">метку Error.</w:t>
      </w:r>
    </w:p>
    <w:p>
      <w:pPr>
        <w:pStyle w:val="SourceCode"/>
      </w:pPr>
      <w:r>
        <w:rPr>
          <w:rStyle w:val="VerbatimChar"/>
        </w:rPr>
        <w:t xml:space="preserve">   mov al, a  </w:t>
      </w:r>
      <w:r>
        <w:br/>
      </w:r>
      <w:r>
        <w:rPr>
          <w:rStyle w:val="VerbatimChar"/>
        </w:rPr>
        <w:t xml:space="preserve">   mov bl, b  </w:t>
      </w:r>
      <w:r>
        <w:br/>
      </w:r>
      <w:r>
        <w:rPr>
          <w:rStyle w:val="VerbatimChar"/>
        </w:rPr>
        <w:t xml:space="preserve">   mul bl  </w:t>
      </w:r>
      <w:r>
        <w:br/>
      </w:r>
      <w:r>
        <w:rPr>
          <w:rStyle w:val="VerbatimChar"/>
        </w:rPr>
        <w:t xml:space="preserve">   jc Error  </w:t>
      </w:r>
    </w:p>
    <w:bookmarkEnd w:id="25"/>
    <w:bookmarkEnd w:id="26"/>
    <w:bookmarkStart w:id="27" w:name="файл-листинга-и-его-структу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Файл листинга и его структура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br/>
      </w:r>
      <w:r>
        <w:t xml:space="preserve">Ниже приведён фрагмент файла листинга.</w:t>
      </w:r>
    </w:p>
    <w:p>
      <w:pPr>
        <w:pStyle w:val="SourceCode"/>
      </w:pPr>
      <w:r>
        <w:rPr>
          <w:rStyle w:val="VerbatimChar"/>
        </w:rPr>
        <w:t xml:space="preserve">   10 00000000 B804000000 mov eax,4  </w:t>
      </w:r>
      <w:r>
        <w:br/>
      </w:r>
      <w:r>
        <w:rPr>
          <w:rStyle w:val="VerbatimChar"/>
        </w:rPr>
        <w:t xml:space="preserve">   11 00000005 BB01000000 mov ebx,1  </w:t>
      </w:r>
      <w:r>
        <w:br/>
      </w:r>
      <w:r>
        <w:rPr>
          <w:rStyle w:val="VerbatimChar"/>
        </w:rPr>
        <w:t xml:space="preserve">   12 0000000A B9[00000000] mov ecx,hello  </w:t>
      </w:r>
      <w:r>
        <w:br/>
      </w:r>
      <w:r>
        <w:rPr>
          <w:rStyle w:val="VerbatimChar"/>
        </w:rPr>
        <w:t xml:space="preserve">   13 0000000F BA0D000000 mov edx,helloLen  </w:t>
      </w:r>
      <w:r>
        <w:br/>
      </w:r>
      <w:r>
        <w:rPr>
          <w:rStyle w:val="VerbatimChar"/>
        </w:rPr>
        <w:t xml:space="preserve">   14  </w:t>
      </w:r>
      <w:r>
        <w:br/>
      </w:r>
      <w:r>
        <w:rPr>
          <w:rStyle w:val="VerbatimChar"/>
        </w:rPr>
        <w:t xml:space="preserve">   15 00000014 CD80 int 80h  </w:t>
      </w:r>
    </w:p>
    <w:p>
      <w:pPr>
        <w:pStyle w:val="FirstParagraph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br/>
      </w:r>
      <w:r>
        <w:t xml:space="preserve">Итак, структура листинга:</w:t>
      </w:r>
    </w:p>
    <w:p>
      <w:pPr>
        <w:numPr>
          <w:ilvl w:val="0"/>
          <w:numId w:val="1003"/>
        </w:numPr>
      </w:pPr>
      <w:r>
        <w:t xml:space="preserve">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</w:p>
    <w:p>
      <w:pPr>
        <w:numPr>
          <w:ilvl w:val="0"/>
          <w:numId w:val="1003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</w:p>
    <w:p>
      <w:pPr>
        <w:numPr>
          <w:ilvl w:val="0"/>
          <w:numId w:val="1003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7"/>
    <w:bookmarkEnd w:id="28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32" w:name="fig:001"/>
      <w:r>
        <w:drawing>
          <wp:inline>
            <wp:extent cx="5334000" cy="5076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Переходим в каталог для лабораторной работы № 7 и создаём файл lab7-1.asm.</w:t>
      </w:r>
    </w:p>
    <w:p>
      <w:pPr>
        <w:pStyle w:val="BodyText"/>
      </w:pPr>
      <w:bookmarkStart w:id="36" w:name="fig:001"/>
      <w:r>
        <w:drawing>
          <wp:inline>
            <wp:extent cx="5334000" cy="34856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br/>
      </w:r>
      <w:bookmarkStart w:id="40" w:name="fig:001"/>
      <w:r>
        <w:drawing>
          <wp:inline>
            <wp:extent cx="5334000" cy="65454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Вводим в файл lab7-1.asm текст программы из листинга 7.1. Создаём исполняемый файл и запускаем его.</w:t>
      </w:r>
    </w:p>
    <w:p>
      <w:pPr>
        <w:pStyle w:val="BodyText"/>
      </w:pPr>
      <w:bookmarkStart w:id="44" w:name="fig:001"/>
      <w:r>
        <w:drawing>
          <wp:inline>
            <wp:extent cx="5334000" cy="387927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bookmarkStart w:id="48" w:name="fig:001"/>
      <w:r>
        <w:drawing>
          <wp:inline>
            <wp:extent cx="5334000" cy="63706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Изменяем текст программы в соответствии с листингом 7.2. Создаём исполняемый файл и запускаем его.</w:t>
      </w:r>
    </w:p>
    <w:p>
      <w:pPr>
        <w:pStyle w:val="BodyText"/>
      </w:pPr>
      <w:bookmarkStart w:id="52" w:name="fig:001"/>
      <w:r>
        <w:drawing>
          <wp:inline>
            <wp:extent cx="5334000" cy="406739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br/>
      </w:r>
      <w:bookmarkStart w:id="56" w:name="fig:001"/>
      <w:r>
        <w:drawing>
          <wp:inline>
            <wp:extent cx="5334000" cy="71989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Изменяем текст программы добавив или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   user@dk4n31:~$ ./lab7-1  </w:t>
      </w:r>
      <w:r>
        <w:br/>
      </w:r>
      <w:r>
        <w:rPr>
          <w:rStyle w:val="VerbatimChar"/>
        </w:rPr>
        <w:t xml:space="preserve">   Сообщение № 3  </w:t>
      </w:r>
      <w:r>
        <w:br/>
      </w:r>
      <w:r>
        <w:rPr>
          <w:rStyle w:val="VerbatimChar"/>
        </w:rPr>
        <w:t xml:space="preserve">   Сообщение № 2  </w:t>
      </w:r>
      <w:r>
        <w:br/>
      </w:r>
      <w:r>
        <w:rPr>
          <w:rStyle w:val="VerbatimChar"/>
        </w:rPr>
        <w:t xml:space="preserve">   Сообщение № 1  </w:t>
      </w:r>
      <w:r>
        <w:br/>
      </w:r>
      <w:r>
        <w:rPr>
          <w:rStyle w:val="VerbatimChar"/>
        </w:rPr>
        <w:t xml:space="preserve">   user@dk4n31:~$  </w:t>
      </w:r>
    </w:p>
    <w:p>
      <w:pPr>
        <w:pStyle w:val="FirstParagraph"/>
      </w:pPr>
      <w:r>
        <w:t xml:space="preserve">Проверяем корректность работы.</w:t>
      </w:r>
    </w:p>
    <w:p>
      <w:pPr>
        <w:pStyle w:val="BodyText"/>
      </w:pPr>
      <w:bookmarkStart w:id="60" w:name="fig:001"/>
      <w:r>
        <w:drawing>
          <wp:inline>
            <wp:extent cx="5334000" cy="17734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8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br/>
      </w:r>
      <w:bookmarkStart w:id="64" w:name="fig:001"/>
      <w:r>
        <w:drawing>
          <wp:inline>
            <wp:extent cx="5334000" cy="59578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br/>
      </w:r>
      <w:bookmarkStart w:id="68" w:name="fig:001"/>
      <w:r>
        <w:drawing>
          <wp:inline>
            <wp:extent cx="5334000" cy="95291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Создаём файл lab7-2.asm в каталоге ~/work/arch-pc/lab07. Внимательно изучаем текст</w:t>
      </w:r>
      <w:r>
        <w:t xml:space="preserve"> </w:t>
      </w:r>
      <w:r>
        <w:t xml:space="preserve">программы из листинга 7.3 и вводим в lab7-2.asm. Создаём исполняемый файл и проверяем его работу для разных значений B.</w:t>
      </w:r>
    </w:p>
    <w:p>
      <w:pPr>
        <w:pStyle w:val="BodyText"/>
      </w:pPr>
      <w:bookmarkStart w:id="72" w:name="fig:001"/>
      <w:r>
        <w:drawing>
          <wp:inline>
            <wp:extent cx="5334000" cy="21557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br/>
      </w:r>
      <w:bookmarkStart w:id="76" w:name="fig:001"/>
      <w:r>
        <w:drawing>
          <wp:inline>
            <wp:extent cx="5334000" cy="5789258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Создаём файл листинга для программы из файла lab7-2.asm и открываем его с помощью текстового редактора.</w:t>
      </w:r>
    </w:p>
    <w:p>
      <w:pPr>
        <w:pStyle w:val="BodyText"/>
      </w:pPr>
      <w:r>
        <w:t xml:space="preserve">Пояснение строк:</w:t>
      </w:r>
    </w:p>
    <w:p>
      <w:pPr>
        <w:pStyle w:val="SourceCode"/>
      </w:pPr>
      <w:r>
        <w:rPr>
          <w:rStyle w:val="VerbatimChar"/>
        </w:rPr>
        <w:t xml:space="preserve">   Строка 33: 0000001D-адрес в сегменте кода, BB01000000-машинный код, mov ebx,1-присвоение переменной ecx значения 1  </w:t>
      </w:r>
      <w:r>
        <w:br/>
      </w:r>
      <w:r>
        <w:br/>
      </w:r>
      <w:r>
        <w:rPr>
          <w:rStyle w:val="VerbatimChar"/>
        </w:rPr>
        <w:t xml:space="preserve">   Строка 34: 00000022-адрес в сегменте кода, B804000000-машинный код, mov eax,4-присвоение переменной eax значения 4  </w:t>
      </w:r>
      <w:r>
        <w:br/>
      </w:r>
      <w:r>
        <w:br/>
      </w:r>
      <w:r>
        <w:rPr>
          <w:rStyle w:val="VerbatimChar"/>
        </w:rPr>
        <w:t xml:space="preserve">   Строка 35 00000027-адрес в сегменте кода, CD80-машинный код, int 80h-вызов ядра.  </w:t>
      </w:r>
    </w:p>
    <w:p>
      <w:pPr>
        <w:pStyle w:val="FirstParagraph"/>
      </w:pPr>
      <w:bookmarkStart w:id="80" w:name="fig:001"/>
      <w:r>
        <w:drawing>
          <wp:inline>
            <wp:extent cx="5334000" cy="3350846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br/>
      </w:r>
      <w:bookmarkStart w:id="84" w:name="fig:001"/>
      <w:r>
        <w:drawing>
          <wp:inline>
            <wp:extent cx="5334000" cy="324826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br/>
      </w:r>
      <w:bookmarkStart w:id="88" w:name="fig:001"/>
      <w:r>
        <w:drawing>
          <wp:inline>
            <wp:extent cx="5334000" cy="3821458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Открываем файл с программой lab7-2.asm и в инструкции с двумя операндами</w:t>
      </w:r>
      <w:r>
        <w:t xml:space="preserve"> </w:t>
      </w:r>
      <w:r>
        <w:t xml:space="preserve">удаляем один операнд. Выполняем трансляцию с получением файла листинга. Мы получаем ошибку, однако файлы lab7-2 и lab7-2.lst все равно создаются. Открываем файл листинга и замечаем ошибку в строке, в которой мы удалили один операнд.</w:t>
      </w:r>
    </w:p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Вариант №6</w:t>
      </w:r>
    </w:p>
    <w:p>
      <w:pPr>
        <w:pStyle w:val="BodyText"/>
      </w:pPr>
      <w:bookmarkStart w:id="92" w:name="fig:001"/>
      <w:r>
        <w:drawing>
          <wp:inline>
            <wp:extent cx="5334000" cy="123886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6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  <w:r>
        <w:br/>
      </w:r>
      <w:bookmarkStart w:id="96" w:name="fig:001"/>
      <w:r>
        <w:drawing>
          <wp:inline>
            <wp:extent cx="5334000" cy="539623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mage/1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  <w:r>
        <w:br/>
      </w:r>
      <w:bookmarkStart w:id="100" w:name="fig:001"/>
      <w:r>
        <w:drawing>
          <wp:inline>
            <wp:extent cx="5334000" cy="393673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/18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BodyText"/>
      </w:pPr>
      <w:r>
        <w:t xml:space="preserve">Создаем файл lab7-3.asm, вписываем в него программу, которая будет искать наименьшее из трех чисел. Смотрим на результат выполнения программы и убеждаемся что всве работает верно.</w:t>
      </w:r>
    </w:p>
    <w:p>
      <w:pPr>
        <w:pStyle w:val="BodyText"/>
      </w:pPr>
      <w:bookmarkStart w:id="104" w:name="fig:001"/>
      <w:r>
        <w:drawing>
          <wp:inline>
            <wp:extent cx="5334000" cy="258865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mage/19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  <w:r>
        <w:br/>
      </w:r>
      <w:bookmarkStart w:id="108" w:name="fig:001"/>
      <w:r>
        <w:drawing>
          <wp:inline>
            <wp:extent cx="5334000" cy="6130119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mage/20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  <w:r>
        <w:br/>
      </w:r>
      <w:bookmarkStart w:id="112" w:name="fig:001"/>
      <w:r>
        <w:drawing>
          <wp:inline>
            <wp:extent cx="5334000" cy="1176958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mage/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BodyText"/>
      </w:pPr>
      <w:r>
        <w:t xml:space="preserve">Создаем файл lab7-4.asm, вписываем в него программу, которая будет выполнять действия описанные в данной нам функции. Смотрим на результат выполнения программы и убеждаемся что всве работает верно.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команды условного и безусловного переходов. Мы приобрели навыки написания</w:t>
      </w:r>
      <w:r>
        <w:t xml:space="preserve"> </w:t>
      </w:r>
      <w:r>
        <w:t xml:space="preserve">программ с использованием переходов. Мы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115"/>
    <w:bookmarkStart w:id="117" w:name="список-литературы"/>
    <w:p>
      <w:pPr>
        <w:pStyle w:val="Heading1"/>
      </w:pPr>
      <w:r>
        <w:t xml:space="preserve">Список литературы</w:t>
      </w:r>
    </w:p>
    <w:bookmarkStart w:id="116" w:name="refs"/>
    <w:bookmarkEnd w:id="116"/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33" Target="media/rId33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Петлин Артём Дмитриевич</dc:creator>
  <dc:language>ru-RU</dc:language>
  <cp:keywords/>
  <dcterms:created xsi:type="dcterms:W3CDTF">2024-11-23T19:31:03Z</dcterms:created>
  <dcterms:modified xsi:type="dcterms:W3CDTF">2024-11-23T19:31:03Z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