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Calibri" w:hAnsi="Calibri"/>
          <w:b/>
          <w:color w:val="3D8DFF"/>
          <w:sz w:val="22"/>
        </w:rPr>
        <w:t>DETAILED PROCEDURAL GUIDE</w:t>
      </w:r>
    </w:p>
    <w:p>
      <w:pPr>
        <w:spacing w:after="160"/>
        <w:jc w:val="center"/>
      </w:pPr>
      <w:r>
        <w:rPr>
          <w:rFonts w:ascii="Calibri" w:hAnsi="Calibri"/>
          <w:b/>
          <w:color w:val="111111"/>
          <w:sz w:val="60"/>
        </w:rPr>
        <w:t>Use workplace Copilot safely</w:t>
      </w:r>
    </w:p>
    <w:p>
      <w:pPr>
        <w:spacing w:after="720"/>
        <w:jc w:val="center"/>
      </w:pPr>
      <w:r>
        <w:rPr>
          <w:rFonts w:ascii="Calibri" w:hAnsi="Calibri"/>
          <w:b w:val="0"/>
          <w:color w:val="52606D"/>
          <w:sz w:val="30"/>
        </w:rPr>
        <w:t>Prompt clearly. Refine the result. Review before sharing.</w:t>
      </w:r>
    </w:p>
    <w:p>
      <w:pPr>
        <w:spacing w:after="360"/>
      </w:pPr>
      <w:r>
        <w:rPr>
          <w:rFonts w:ascii="Calibri" w:hAnsi="Calibri"/>
          <w:b/>
          <w:color w:val="3D8DFF"/>
          <w:sz w:val="32"/>
        </w:rPr>
        <w:t>Purpose</w:t>
      </w:r>
    </w:p>
    <w:p>
      <w:r>
        <w:t>Use this guide when creating, catching up on, or asking about work with an approved Copilot experience. It gives a repeatable workflow; your organization’s data-handling and platform policies still govern what may be entered or shared.</w:t>
      </w:r>
    </w:p>
    <w:p>
      <w:pPr>
        <w:spacing w:before="400" w:after="120"/>
      </w:pPr>
      <w:r>
        <w:rPr>
          <w:rFonts w:ascii="Calibri" w:hAnsi="Calibri"/>
          <w:b/>
          <w:color w:val="3D8DFF"/>
          <w:sz w:val="26"/>
        </w:rPr>
        <w:t>The operating rule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You guide Copilot.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Copilot can support the work; it does not replace review, judgment or accountability.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When unsure, pause. Do not include the information until you confirm it is permitted.</w:t>
      </w:r>
    </w:p>
    <w:p>
      <w:r>
        <w:br w:type="page"/>
      </w:r>
    </w:p>
    <w:p>
      <w:pPr>
        <w:pStyle w:val="Heading1"/>
      </w:pPr>
      <w:r>
        <w:t>1. Before you prompt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Confirm the source is approved for this use.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Remove information that is not permitted in the selected Copilot experience.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Know the audience, purpose and required output before you ask.</w:t>
      </w:r>
    </w:p>
    <w:p>
      <w:pPr>
        <w:pStyle w:val="Heading1"/>
      </w:pPr>
      <w:r>
        <w:t>2. Build the prompt with GCSE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11111"/>
                <w:sz w:val="22"/>
              </w:rPr>
              <w:t>Element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11111"/>
                <w:sz w:val="22"/>
              </w:rPr>
              <w:t>What to provide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D8DFF"/>
                <w:sz w:val="22"/>
              </w:rPr>
              <w:t>Goal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11111"/>
                <w:sz w:val="22"/>
              </w:rPr>
              <w:t>The task Copilot should help complete.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D8DFF"/>
                <w:sz w:val="22"/>
              </w:rPr>
              <w:t>Context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11111"/>
                <w:sz w:val="22"/>
              </w:rPr>
              <w:t>Audience, purpose and relevant background.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D8DFF"/>
                <w:sz w:val="22"/>
              </w:rPr>
              <w:t>Source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11111"/>
                <w:sz w:val="22"/>
              </w:rPr>
              <w:t>The approved information Copilot should use.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D8DFF"/>
                <w:sz w:val="22"/>
              </w:rPr>
              <w:t>Expectation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11111"/>
                <w:sz w:val="22"/>
              </w:rPr>
              <w:t>Format, tone, length and other success criteria.</w:t>
            </w:r>
          </w:p>
        </w:tc>
      </w:tr>
    </w:tbl>
    <w:p>
      <w:pPr>
        <w:spacing w:before="240"/>
      </w:pPr>
      <w:r>
        <w:rPr>
          <w:rFonts w:ascii="Calibri" w:hAnsi="Calibri"/>
          <w:b/>
          <w:color w:val="3D8DFF"/>
          <w:sz w:val="24"/>
        </w:rPr>
        <w:t>Prompt starter</w:t>
      </w:r>
    </w:p>
    <w:p>
      <w:pPr>
        <w:ind w:left="360"/>
      </w:pPr>
      <w:r>
        <w:rPr>
          <w:rFonts w:ascii="Calibri" w:hAnsi="Calibri"/>
          <w:b/>
          <w:color w:val="111111"/>
          <w:sz w:val="22"/>
        </w:rPr>
        <w:t>Help me [goal] for [audience and purpose] using [approved source]. Return [format, tone and length].</w:t>
      </w:r>
    </w:p>
    <w:p>
      <w:pPr>
        <w:pStyle w:val="Heading1"/>
      </w:pPr>
      <w:r>
        <w:t>3. Choose a safe use pattern</w:t>
      </w:r>
    </w:p>
    <w:p>
      <w:r>
        <w:rPr>
          <w:rFonts w:ascii="Calibri" w:hAnsi="Calibri"/>
          <w:b/>
          <w:color w:val="3D8DFF"/>
          <w:sz w:val="22"/>
        </w:rPr>
        <w:t xml:space="preserve">Create: </w:t>
      </w:r>
      <w:r>
        <w:rPr>
          <w:rFonts w:ascii="Calibri" w:hAnsi="Calibri"/>
          <w:b w:val="0"/>
          <w:color w:val="111111"/>
          <w:sz w:val="22"/>
        </w:rPr>
        <w:t>Draft or revise an email, summary or update from approved source material.</w:t>
      </w:r>
    </w:p>
    <w:p>
      <w:r>
        <w:rPr>
          <w:rFonts w:ascii="Calibri" w:hAnsi="Calibri"/>
          <w:b/>
          <w:color w:val="3D8DFF"/>
          <w:sz w:val="22"/>
        </w:rPr>
        <w:t xml:space="preserve">Catch up: </w:t>
      </w:r>
      <w:r>
        <w:rPr>
          <w:rFonts w:ascii="Calibri" w:hAnsi="Calibri"/>
          <w:b w:val="0"/>
          <w:color w:val="111111"/>
          <w:sz w:val="22"/>
        </w:rPr>
        <w:t>Summarize a permitted meeting, message thread or document.</w:t>
      </w:r>
    </w:p>
    <w:p>
      <w:r>
        <w:rPr>
          <w:rFonts w:ascii="Calibri" w:hAnsi="Calibri"/>
          <w:b/>
          <w:color w:val="3D8DFF"/>
          <w:sz w:val="22"/>
        </w:rPr>
        <w:t xml:space="preserve">Ask: </w:t>
      </w:r>
      <w:r>
        <w:rPr>
          <w:rFonts w:ascii="Calibri" w:hAnsi="Calibri"/>
          <w:b w:val="0"/>
          <w:color w:val="111111"/>
          <w:sz w:val="22"/>
        </w:rPr>
        <w:t>Explain, compare or organize approved information.</w:t>
      </w:r>
    </w:p>
    <w:p>
      <w:r>
        <w:br w:type="page"/>
      </w:r>
    </w:p>
    <w:p>
      <w:pPr>
        <w:pStyle w:val="Heading1"/>
      </w:pPr>
      <w:r>
        <w:t>4. Refine in the same conversation</w:t>
      </w:r>
    </w:p>
    <w:p>
      <w:r>
        <w:t>Treat the first output as a draft. Give a focused next instruction instead of starting over.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Make this shorter.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Focus on decisions.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Rewrite for a leadership audience.</w:t>
      </w:r>
    </w:p>
    <w:p>
      <w:pPr>
        <w:pStyle w:val="Heading1"/>
      </w:pPr>
      <w:r>
        <w:t>5. Review before sharing</w:t>
      </w:r>
    </w:p>
    <w:p>
      <w:r>
        <w:rPr>
          <w:rFonts w:ascii="Calibri" w:hAnsi="Calibri"/>
          <w:b/>
          <w:color w:val="3D8DFF"/>
          <w:sz w:val="22"/>
        </w:rPr>
        <w:t xml:space="preserve">☐ Accuracy: </w:t>
      </w:r>
      <w:r>
        <w:rPr>
          <w:rFonts w:ascii="Calibri" w:hAnsi="Calibri"/>
          <w:b w:val="0"/>
          <w:color w:val="111111"/>
          <w:sz w:val="22"/>
        </w:rPr>
        <w:t>Compare key facts, names, dates, calculations and citations with trusted sources.</w:t>
      </w:r>
    </w:p>
    <w:p>
      <w:r>
        <w:rPr>
          <w:rFonts w:ascii="Calibri" w:hAnsi="Calibri"/>
          <w:b/>
          <w:color w:val="3D8DFF"/>
          <w:sz w:val="22"/>
        </w:rPr>
        <w:t xml:space="preserve">☐ Fit: </w:t>
      </w:r>
      <w:r>
        <w:rPr>
          <w:rFonts w:ascii="Calibri" w:hAnsi="Calibri"/>
          <w:b w:val="0"/>
          <w:color w:val="111111"/>
          <w:sz w:val="22"/>
        </w:rPr>
        <w:t>Confirm the audience, tone, format and purpose.</w:t>
      </w:r>
    </w:p>
    <w:p>
      <w:r>
        <w:rPr>
          <w:rFonts w:ascii="Calibri" w:hAnsi="Calibri"/>
          <w:b/>
          <w:color w:val="3D8DFF"/>
          <w:sz w:val="22"/>
        </w:rPr>
        <w:t xml:space="preserve">☐ Data: </w:t>
      </w:r>
      <w:r>
        <w:rPr>
          <w:rFonts w:ascii="Calibri" w:hAnsi="Calibri"/>
          <w:b w:val="0"/>
          <w:color w:val="111111"/>
          <w:sz w:val="22"/>
        </w:rPr>
        <w:t>Follow your organization’s data-handling guidance; remove disallowed information.</w:t>
      </w:r>
    </w:p>
    <w:p>
      <w:r>
        <w:rPr>
          <w:rFonts w:ascii="Calibri" w:hAnsi="Calibri"/>
          <w:b/>
          <w:color w:val="3D8DFF"/>
          <w:sz w:val="22"/>
        </w:rPr>
        <w:t xml:space="preserve">☐ Judgment: </w:t>
      </w:r>
      <w:r>
        <w:rPr>
          <w:rFonts w:ascii="Calibri" w:hAnsi="Calibri"/>
          <w:b w:val="0"/>
          <w:color w:val="111111"/>
          <w:sz w:val="22"/>
        </w:rPr>
        <w:t>Decide whether the result is complete, appropriate and ready to share.</w:t>
      </w:r>
    </w:p>
    <w:p>
      <w:pPr>
        <w:pStyle w:val="Heading1"/>
      </w:pPr>
      <w:r>
        <w:t>6. Respond to a policy or platform warning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Stop and read the warning.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Do not dismiss it automatically.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Adjust the prompt or content as directed.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Follow the applicable organizational and platform guidance.</w:t>
      </w:r>
    </w:p>
    <w:p>
      <w:pPr>
        <w:pStyle w:val="Heading1"/>
      </w:pPr>
      <w:r>
        <w:t>Worked example</w:t>
      </w:r>
    </w:p>
    <w:p>
      <w:r>
        <w:rPr>
          <w:rFonts w:ascii="Calibri" w:hAnsi="Calibri"/>
          <w:b/>
          <w:color w:val="111111"/>
          <w:sz w:val="22"/>
        </w:rPr>
        <w:t xml:space="preserve">Weak: </w:t>
      </w:r>
      <w:r>
        <w:rPr>
          <w:rFonts w:ascii="Calibri" w:hAnsi="Calibri"/>
          <w:b w:val="0"/>
          <w:color w:val="111111"/>
          <w:sz w:val="22"/>
        </w:rPr>
        <w:t>“Summarize this.”</w:t>
      </w:r>
    </w:p>
    <w:p>
      <w:r>
        <w:rPr>
          <w:rFonts w:ascii="Calibri" w:hAnsi="Calibri"/>
          <w:b/>
          <w:color w:val="3D8DFF"/>
          <w:sz w:val="22"/>
        </w:rPr>
        <w:t xml:space="preserve">Better: </w:t>
      </w:r>
      <w:r>
        <w:rPr>
          <w:rFonts w:ascii="Calibri" w:hAnsi="Calibri"/>
          <w:b w:val="0"/>
          <w:color w:val="111111"/>
          <w:sz w:val="22"/>
        </w:rPr>
        <w:t>“Summarize the key decisions from this approved meeting thread for a team update. Return five plain-language bullets and include action items.”</w:t>
      </w:r>
    </w:p>
    <w:p>
      <w:r>
        <w:br w:type="page"/>
      </w:r>
    </w:p>
    <w:p>
      <w:pPr>
        <w:pStyle w:val="Heading1"/>
      </w:pPr>
      <w:r>
        <w:t>Five-second final check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Is the prompt clear?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Did I include enough approved context?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Do I understand the output?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Did I review it before sharing?</w:t>
      </w:r>
    </w:p>
    <w:p>
      <w:pPr>
        <w:pStyle w:val="Heading1"/>
      </w:pPr>
      <w:r>
        <w:t>Boundaries and escalation</w:t>
      </w:r>
    </w:p>
    <w:p>
      <w:r>
        <w:t>This source does not name a universal escalation contact. If approval, data handling or a warning remains unclear, stop and use your organization’s established policy or support channel. Do not invent a workaround or include the information while approval is unresolved.</w:t>
      </w:r>
    </w:p>
    <w:p>
      <w:pPr>
        <w:pStyle w:val="Heading1"/>
      </w:pPr>
      <w:r>
        <w:t>Source and maintenance</w:t>
      </w:r>
    </w:p>
    <w:p>
      <w:r>
        <w:t>Source: Copilot Expansion: Week 1 Safe-Copilot, v2.0 (updated June 2026). This public-sanitized pilot derivative removes organization-specific names, contacts, member/customer categories and policy paths. Review the derivative whenever the approved source or governing policy changes.</w:t>
      </w:r>
    </w:p>
    <w:p>
      <w:pPr>
        <w:pStyle w:val="Heading1"/>
      </w:pPr>
      <w:r>
        <w:t>Pilot acceptance checks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Content traceable to the approved source.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No organization-specific or restricted details exposed.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Editable source and distribution PDF retained.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Heading structure and table header verified.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111"/>
          <w:sz w:val="22"/>
        </w:rPr>
        <w:t>All rendered pages visually inspected.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2606D"/>
        <w:sz w:val="18"/>
      </w:rPr>
      <w:t>Public-sanitized pilot derivative · LACE-TMP-102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2606D"/>
        <w:sz w:val="18"/>
      </w:rPr>
      <w:t>LACE PILOT · COPILOT EXPANSION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D8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D8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D8DF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