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0" w:after="280"/>
        <w:rPr>
          <w:kern w:val="2"/>
        </w:rPr>
      </w:pPr>
      <w:r>
        <w:rPr>
          <w:kern w:val="2"/>
        </w:rPr>
        <w:t>AUTOMOTIVE DIAGNOSTIC AND ACTIVITY MONITORING</w:t>
      </w:r>
    </w:p>
    <w:p>
      <w:pPr>
        <w:pStyle w:val="Author"/>
        <w:spacing w:before="280" w:after="280"/>
        <w:rPr>
          <w:sz w:val="16"/>
          <w:szCs w:val="16"/>
        </w:rPr>
      </w:pPr>
      <w:r>
        <w:rPr>
          <w:sz w:val="16"/>
          <w:szCs w:val="16"/>
        </w:rPr>
        <w:t>*Note: Sub-titles are not captured in Xplore and should not be used</w:t>
      </w:r>
    </w:p>
    <w:p>
      <w:pPr>
        <w:pStyle w:val="Author"/>
        <w:spacing w:lineRule="auto" w:line="120" w:before="280" w:after="280"/>
        <w:rPr>
          <w:sz w:val="16"/>
          <w:szCs w:val="16"/>
        </w:rPr>
      </w:pPr>
      <w:r>
        <w:rPr>
          <w:sz w:val="16"/>
          <w:szCs w:val="16"/>
        </w:rPr>
      </w:r>
    </w:p>
    <w:p>
      <w:pPr>
        <w:sectPr>
          <w:footerReference w:type="even" r:id="rId2"/>
          <w:footerReference w:type="default" r:id="rId3"/>
          <w:footerReference w:type="first" r:id="rId4"/>
          <w:type w:val="nextPage"/>
          <w:pgSz w:w="11906" w:h="16838"/>
          <w:pgMar w:left="893" w:right="893" w:gutter="0" w:header="0" w:top="540" w:footer="720" w:bottom="1440"/>
          <w:pgNumType w:fmt="decimal"/>
          <w:formProt w:val="false"/>
          <w:titlePg/>
          <w:textDirection w:val="lrTb"/>
          <w:docGrid w:type="default" w:linePitch="360" w:charSpace="8192"/>
        </w:sectPr>
      </w:pPr>
    </w:p>
    <w:p>
      <w:pPr>
        <w:pStyle w:val="Author"/>
        <w:spacing w:before="280" w:after="40"/>
        <w:rPr>
          <w:sz w:val="18"/>
          <w:szCs w:val="18"/>
        </w:rPr>
      </w:pPr>
      <w:r>
        <w:rPr>
          <w:sz w:val="18"/>
          <w:szCs w:val="18"/>
        </w:rPr>
        <w:t xml:space="preserve">Travis Samson Fernandes </w:t>
        <w:br/>
        <w:t>Department of Computer Engineering</w:t>
      </w:r>
      <w:r>
        <w:rPr>
          <w:i/>
          <w:sz w:val="18"/>
          <w:szCs w:val="18"/>
        </w:rPr>
        <w:t xml:space="preserve">(of </w:t>
      </w:r>
      <w:r>
        <w:rPr>
          <w:i/>
          <w:iCs/>
          <w:sz w:val="18"/>
          <w:szCs w:val="18"/>
        </w:rPr>
        <w:t>Affiliation</w:t>
      </w:r>
      <w:r>
        <w:rPr>
          <w:i/>
          <w:sz w:val="18"/>
          <w:szCs w:val="18"/>
        </w:rPr>
        <w:t>)</w:t>
      </w:r>
      <w:r>
        <w:rPr>
          <w:sz w:val="18"/>
          <w:szCs w:val="18"/>
        </w:rPr>
        <w:br/>
        <w:t>Padre Conceicao College Of Engineering</w:t>
      </w:r>
      <w:r>
        <w:rPr>
          <w:i/>
          <w:sz w:val="18"/>
          <w:szCs w:val="18"/>
        </w:rPr>
        <w:t>(Goa University)</w:t>
        <w:br/>
        <w:t>Verna,Goa</w:t>
      </w:r>
      <w:r>
        <w:rPr>
          <w:sz w:val="18"/>
          <w:szCs w:val="18"/>
        </w:rPr>
        <w:br/>
        <w:t>21ce72.travis@pccegoa.edu.in</w:t>
      </w:r>
    </w:p>
    <w:p>
      <w:pPr>
        <w:pStyle w:val="Author"/>
        <w:spacing w:before="280" w:after="40"/>
        <w:rPr>
          <w:sz w:val="18"/>
          <w:szCs w:val="18"/>
        </w:rPr>
      </w:pPr>
      <w:r>
        <w:rPr>
          <w:sz w:val="18"/>
          <w:szCs w:val="18"/>
        </w:rPr>
      </w:r>
    </w:p>
    <w:p>
      <w:pPr>
        <w:pStyle w:val="Normal"/>
        <w:spacing w:before="0" w:after="0"/>
        <w:ind w:hanging="0"/>
        <w:rPr>
          <w:sz w:val="18"/>
          <w:szCs w:val="18"/>
        </w:rPr>
      </w:pPr>
      <w:r>
        <w:br w:type="column"/>
      </w:r>
      <w:r>
        <w:rPr>
          <w:sz w:val="18"/>
          <w:szCs w:val="18"/>
        </w:rPr>
        <w:t>Mangesh Phadte</w:t>
      </w:r>
      <w:r>
        <w:rPr>
          <w:sz w:val="18"/>
          <w:szCs w:val="18"/>
        </w:rPr>
        <w:br/>
        <w:t>Department of Computer Engineering</w:t>
      </w:r>
      <w:r>
        <w:rPr>
          <w:i/>
          <w:sz w:val="18"/>
          <w:szCs w:val="18"/>
        </w:rPr>
        <w:t xml:space="preserve">(of </w:t>
      </w:r>
      <w:r>
        <w:rPr>
          <w:i/>
          <w:iCs/>
          <w:sz w:val="18"/>
          <w:szCs w:val="18"/>
        </w:rPr>
        <w:t>Affiliation</w:t>
      </w:r>
      <w:r>
        <w:rPr>
          <w:i/>
          <w:sz w:val="18"/>
          <w:szCs w:val="18"/>
        </w:rPr>
        <w:t>)</w:t>
      </w:r>
      <w:r>
        <w:rPr>
          <w:sz w:val="18"/>
          <w:szCs w:val="18"/>
        </w:rPr>
        <w:br/>
        <w:t>Padre Conceicao College Of Engineering</w:t>
      </w:r>
      <w:r>
        <w:rPr>
          <w:i/>
          <w:sz w:val="18"/>
          <w:szCs w:val="18"/>
        </w:rPr>
        <w:t>(Goa University)</w:t>
        <w:br/>
        <w:t>Verna,Goa</w:t>
      </w:r>
      <w:r>
        <w:rPr>
          <w:sz w:val="18"/>
          <w:szCs w:val="18"/>
        </w:rPr>
        <w:br/>
        <w:t>line 5: email address or ORCID</w:t>
      </w:r>
    </w:p>
    <w:p>
      <w:pPr>
        <w:pStyle w:val="Normal"/>
        <w:spacing w:before="0" w:after="0"/>
        <w:ind w:hanging="0"/>
        <w:rPr>
          <w:sz w:val="18"/>
          <w:szCs w:val="18"/>
        </w:rPr>
      </w:pPr>
      <w:r>
        <w:br w:type="column"/>
      </w:r>
      <w:r>
        <w:rPr>
          <w:sz w:val="18"/>
          <w:szCs w:val="18"/>
        </w:rPr>
        <w:t>Chetan Naik</w:t>
      </w:r>
      <w:r>
        <w:rPr>
          <w:sz w:val="18"/>
          <w:szCs w:val="18"/>
        </w:rPr>
        <w:br/>
        <w:t>Department of Computer Engineering</w:t>
      </w:r>
      <w:r>
        <w:rPr>
          <w:i/>
          <w:sz w:val="18"/>
          <w:szCs w:val="18"/>
        </w:rPr>
        <w:t xml:space="preserve">(of </w:t>
      </w:r>
      <w:r>
        <w:rPr>
          <w:i/>
          <w:iCs/>
          <w:sz w:val="18"/>
          <w:szCs w:val="18"/>
        </w:rPr>
        <w:t>Affiliation</w:t>
      </w:r>
      <w:r>
        <w:rPr>
          <w:i/>
          <w:sz w:val="18"/>
          <w:szCs w:val="18"/>
        </w:rPr>
        <w:t>)</w:t>
      </w:r>
      <w:r>
        <w:rPr>
          <w:sz w:val="18"/>
          <w:szCs w:val="18"/>
        </w:rPr>
        <w:br/>
        <w:t>Padre Conceicao College Of Engineering</w:t>
      </w:r>
      <w:r>
        <w:rPr>
          <w:i/>
          <w:sz w:val="18"/>
          <w:szCs w:val="18"/>
        </w:rPr>
        <w:t>(Goa University)</w:t>
        <w:br/>
        <w:t>Verna,Goa</w:t>
      </w:r>
      <w:r>
        <w:rPr>
          <w:sz w:val="18"/>
          <w:szCs w:val="18"/>
        </w:rPr>
        <w:br/>
        <w:t>line 5: email address or ORCID</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8192"/>
        </w:sectPr>
      </w:pPr>
    </w:p>
    <w:p>
      <w:pPr>
        <w:pStyle w:val="Abstract"/>
        <w:rPr>
          <w:i/>
          <w:i/>
          <w:iCs/>
        </w:rPr>
      </w:pPr>
      <w:r>
        <w:rPr>
          <w:i/>
          <w:iCs/>
        </w:rPr>
        <w:t>Abstract</w:t>
      </w:r>
      <w:r>
        <w:rPr/>
        <w:t>—The Automotive Diagnostic and Activity Monitoring system help owners to know about their 4 wheeler vehicle engine health and also offers blackbox for forensic purposes. The ADAM system is a collections of various modules such as GLOBAL POSITIONING SYSTEM (GPS), GYROSCOPE &amp; ACCELEROMETER (MPU6050), VIBRATION SENSOR (SW-420) along with this it monitors ELECTRONIC CONTROLLER UNIT (ECU) using communication interface called ON-Board Diagnostic (OBD) port.This adam system collects and monitors all the sensor data and store it securely in sd card. The collected data is stored in postgres database and accessed by machine learning models 1.Engine Health Monitoring 2. Fuel Economy 3. Driver Behaviour 4. Predictive Maintaenance . All this models result is reflected on a dedicated mobile application which visualise in terms of graph and charts along with this we implemented an interactive chatbot that helps find user queries and provides neccessary actions to performs.</w:t>
      </w:r>
    </w:p>
    <w:p>
      <w:pPr>
        <w:pStyle w:val="Keywords"/>
        <w:rPr/>
      </w:pPr>
      <w:r>
        <w:rPr/>
        <w:t>Keywords—raspberry pi 5,elm327,mpu6050,sw-420,neo 6m, &amp; Nodemcu</w:t>
      </w:r>
    </w:p>
    <w:p>
      <w:pPr>
        <w:pStyle w:val="Heading1"/>
        <w:ind w:hanging="0" w:start="0"/>
        <w:rPr/>
      </w:pPr>
      <w:r>
        <w:rPr/>
        <w:t xml:space="preserve">Introduction </w:t>
      </w:r>
    </w:p>
    <w:p>
      <w:pPr>
        <w:pStyle w:val="BodyText"/>
        <w:rPr/>
      </w:pPr>
      <w:r>
        <w:rPr/>
        <w:t>This Automotive Diagnostice And Activity Monitoring aims to provide an overview about their cars through monitoring the enigine and providing an detailed reports which will be feed to ai model who can interprets the data and provides and explain the health and current state  of their car in the form of chatbot.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ind w:hanging="0" w:start="0"/>
        <w:rPr/>
      </w:pPr>
      <w:r>
        <w:rPr/>
        <w:t>Ease of Use</w:t>
      </w:r>
    </w:p>
    <w:p>
      <w:pPr>
        <w:pStyle w:val="Heading2"/>
        <w:ind w:hanging="0" w:start="0"/>
        <w:rPr/>
      </w:pPr>
      <w:r>
        <w:rPr/>
        <w:t>Selecting a Template (Heading 2)</w:t>
      </w:r>
    </w:p>
    <w:p>
      <w:pPr>
        <w:pStyle w:val="BodyText"/>
        <w:rPr/>
      </w:pPr>
      <w:r>
        <w:rPr/>
        <w:t xml:space="preserve">First, confirm that you have the correct template for your paper size. This template has been tailored for output on the </w:t>
      </w:r>
      <w:r>
        <w:rPr>
          <w:lang w:val="en-US"/>
        </w:rPr>
        <w:t>A4</w:t>
      </w:r>
      <w:r>
        <w:rPr/>
        <w:t xml:space="preserve"> paper size. If you are using </w:t>
      </w:r>
      <w:r>
        <w:rPr>
          <w:lang w:val="en-US"/>
        </w:rPr>
        <w:t>US letter</w:t>
      </w:r>
      <w:r>
        <w:rPr/>
        <w:t xml:space="preserve">-sized paper, please close this file and download the </w:t>
      </w:r>
      <w:r>
        <w:rPr>
          <w:lang w:val="en-US"/>
        </w:rPr>
        <w:t xml:space="preserve">Microsoft Word, Letter </w:t>
      </w:r>
      <w:r>
        <w:rPr/>
        <w:t>file.</w:t>
      </w:r>
    </w:p>
    <w:p>
      <w:pPr>
        <w:pStyle w:val="Heading2"/>
        <w:ind w:hanging="0" w:start="0"/>
        <w:rPr/>
      </w:pPr>
      <w:r>
        <w:rPr/>
        <w:t>Maintaining the Integrity of the Specifications</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ind w:hanging="0" w:start="0"/>
        <w:rPr/>
      </w:pPr>
      <w:r>
        <w:rPr/>
        <w:t>Prepare Your Paper Before Styling</w:t>
      </w:r>
    </w:p>
    <w:p>
      <w:pPr>
        <w:pStyle w:val="BodyText"/>
        <w:rPr>
          <w:lang w:val="en-US"/>
        </w:rPr>
      </w:pPr>
      <w:r>
        <w:rP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pPr>
        <w:pStyle w:val="BodyText"/>
        <w:rPr/>
      </w:pPr>
      <w:r>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Heading2"/>
        <w:ind w:hanging="0" w:start="0"/>
        <w:rPr/>
      </w:pPr>
      <w:r>
        <w:rPr/>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ind w:hanging="0" w:start="0"/>
        <w:rPr/>
      </w:pPr>
      <w:r>
        <w:rPr/>
        <w:t>Units</w:t>
      </w:r>
    </w:p>
    <w:p>
      <w:pPr>
        <w:pStyle w:val="bulletlist"/>
        <w:numPr>
          <w:ilvl w:val="0"/>
          <w:numId w:val="2"/>
        </w:numPr>
        <w:ind w:hanging="288" w:start="576"/>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hanging="288" w:start="576"/>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hanging="288" w:start="576"/>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hanging="288" w:start="576"/>
        <w:rPr/>
      </w:pPr>
      <w:r>
        <w:rPr/>
        <w:t>Use a zero before decimal points: “0.25”, not “.25”. Use “cm3”, not “cc”. (</w:t>
      </w:r>
      <w:r>
        <w:rPr>
          <w:i/>
          <w:iCs/>
        </w:rPr>
        <w:t>bullet list</w:t>
      </w:r>
      <w:r>
        <w:rPr/>
        <mc:AlternateContent>
          <mc:Choice Requires="wps">
            <w:drawing>
              <wp:anchor behindDoc="0" distT="0" distB="0" distL="0" distR="0" simplePos="0" locked="0" layoutInCell="0" allowOverlap="1" relativeHeight="2">
                <wp:simplePos x="0" y="0"/>
                <wp:positionH relativeFrom="page">
                  <wp:posOffset>582930</wp:posOffset>
                </wp:positionH>
                <wp:positionV relativeFrom="page">
                  <wp:posOffset>9601835</wp:posOffset>
                </wp:positionV>
                <wp:extent cx="2915920" cy="265430"/>
                <wp:effectExtent l="0" t="0" r="0" b="0"/>
                <wp:wrapSquare wrapText="largest"/>
                <wp:docPr id="1" name="Frame1"/>
                <a:graphic xmlns:a="http://schemas.openxmlformats.org/drawingml/2006/main">
                  <a:graphicData uri="http://schemas.microsoft.com/office/word/2010/wordprocessingShape">
                    <wps:wsp>
                      <wps:cNvSpPr/>
                      <wps:spPr>
                        <a:xfrm>
                          <a:off x="0" y="0"/>
                          <a:ext cx="2916000" cy="265320"/>
                        </a:xfrm>
                        <a:prstGeom prst="rect">
                          <a:avLst/>
                        </a:prstGeom>
                        <a:noFill/>
                        <a:ln w="0">
                          <a:noFill/>
                        </a:ln>
                      </wps:spPr>
                      <wps:style>
                        <a:lnRef idx="0"/>
                        <a:fillRef idx="0"/>
                        <a:effectRef idx="0"/>
                        <a:fontRef idx="minor"/>
                      </wps:style>
                      <wps:txbx>
                        <w:txbxContent>
                          <w:p>
                            <w:pPr>
                              <w:pStyle w:val="sponsors"/>
                              <w:pBdr>
                                <w:top w:val="nil"/>
                              </w:pBdr>
                              <w:ind w:firstLine="289"/>
                              <w:rPr/>
                            </w:pPr>
                            <w:r>
                              <w:rPr/>
                              <w:t xml:space="preserve">Identify applicable funding agency here. </w:t>
                            </w:r>
                            <w:r>
                              <w:rPr>
                                <w:iCs/>
                              </w:rPr>
                              <w:t>If none, delete this text box.</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45.9pt;margin-top:756.05pt;width:229.55pt;height:20.85pt;mso-wrap-style:square;v-text-anchor:top;mso-position-horizontal-relative:page;mso-position-vertical-relative:page">
                <v:fill o:detectmouseclick="t" type="solid" color2="black" opacity="0"/>
                <v:stroke color="#3465a4" joinstyle="round" endcap="flat"/>
                <v:textbox>
                  <w:txbxContent>
                    <w:p>
                      <w:pPr>
                        <w:pStyle w:val="sponsors"/>
                        <w:pBdr>
                          <w:top w:val="nil"/>
                        </w:pBdr>
                        <w:ind w:firstLine="289"/>
                        <w:rPr/>
                      </w:pPr>
                      <w:r>
                        <w:rPr/>
                        <w:t xml:space="preserve">Identify applicable funding agency here. </w:t>
                      </w:r>
                      <w:r>
                        <w:rPr>
                          <w:iCs/>
                        </w:rPr>
                        <w:t>If none, delete this text box.</w:t>
                      </w:r>
                    </w:p>
                  </w:txbxContent>
                </v:textbox>
                <w10:wrap type="square" side="largest"/>
              </v:rect>
            </w:pict>
          </mc:Fallback>
        </mc:AlternateContent>
      </w:r>
      <w:r>
        <w:rPr/>
        <w:t>)</w:t>
      </w:r>
    </w:p>
    <w:p>
      <w:pPr>
        <w:pStyle w:val="Heading2"/>
        <w:ind w:hanging="0" w:start="0"/>
        <w:rPr/>
      </w:pPr>
      <w:r>
        <w:rPr/>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pPr>
        <w:pStyle w:val="BodyText"/>
        <w:rPr>
          <w:lang w:val="en-US"/>
        </w:rPr>
      </w:pPr>
      <w:r>
        <w:rP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pPr>
        <w:pStyle w:val="equation"/>
        <w:rPr/>
      </w:pPr>
      <w:r>
        <w:rPr/>
        <w:tab/>
      </w:r>
      <w:r>
        <w:rPr>
          <w:rFonts w:cs="Times New Roman" w:ascii="Times New Roman" w:hAnsi="Times New Roman"/>
          <w:i/>
        </w:rPr>
        <w:t>a</w:t>
      </w:r>
      <w:r>
        <w:rPr/>
        <w:t></w:t>
      </w:r>
      <w:r>
        <w:rPr>
          <w:rFonts w:cs="Times New Roman" w:ascii="Times New Roman" w:hAnsi="Times New Roman"/>
          <w:i/>
        </w:rPr>
        <w:t>b</w:t>
      </w:r>
      <w:r>
        <w:rPr/>
        <w:t></w:t>
        <w:tab/>
        <w:t></w:t>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ind w:hanging="0" w:start="0"/>
        <w:rPr/>
      </w:pPr>
      <w:r>
        <w:rPr/>
        <w:t>Some Common Mistakes</w:t>
      </w:r>
    </w:p>
    <w:p>
      <w:pPr>
        <w:pStyle w:val="bulletlist"/>
        <w:numPr>
          <w:ilvl w:val="0"/>
          <w:numId w:val="2"/>
        </w:numPr>
        <w:ind w:hanging="288" w:start="576"/>
        <w:rPr/>
      </w:pPr>
      <w:r>
        <w:rPr/>
        <w:t>The word “data” is plural, not singular.</w:t>
      </w:r>
    </w:p>
    <w:p>
      <w:pPr>
        <w:pStyle w:val="bulletlist"/>
        <w:numPr>
          <w:ilvl w:val="0"/>
          <w:numId w:val="2"/>
        </w:numPr>
        <w:ind w:hanging="288" w:start="576"/>
        <w:rPr/>
      </w:pPr>
      <w:r>
        <w:rPr/>
        <w:t xml:space="preserve">The subscript for the permeability of vacuum </w:t>
      </w:r>
      <w:r>
        <w:rPr>
          <w:rFonts w:cs="Symbol" w:ascii="Symbol" w:hAnsi="Symbol"/>
          <w:i/>
          <w:iCs/>
        </w:rPr>
        <w:t></w:t>
      </w:r>
      <w:r>
        <w:rPr>
          <w:vertAlign w:val="subscript"/>
        </w:rPr>
        <w:t>0</w:t>
      </w:r>
      <w:r>
        <w:rPr/>
        <w:t>, and other common scientific constants, is zero with subscript formatting, not a lowercase letter “o”.</w:t>
      </w:r>
    </w:p>
    <w:p>
      <w:pPr>
        <w:pStyle w:val="bulletlist"/>
        <w:numPr>
          <w:ilvl w:val="0"/>
          <w:numId w:val="2"/>
        </w:numPr>
        <w:ind w:hanging="288" w:start="576"/>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hanging="288" w:start="576"/>
        <w:rPr/>
      </w:pPr>
      <w:r>
        <w:rPr/>
        <w:t>A graph within a graph is an “inset”, not an “insert”. The word alternatively is preferred to the word “alternately” (unless you really mean something that alternates).</w:t>
      </w:r>
    </w:p>
    <w:p>
      <w:pPr>
        <w:pStyle w:val="bulletlist"/>
        <w:numPr>
          <w:ilvl w:val="0"/>
          <w:numId w:val="2"/>
        </w:numPr>
        <w:ind w:hanging="288" w:start="576"/>
        <w:rPr/>
      </w:pPr>
      <w:r>
        <w:rPr/>
        <w:t>Do not use the word “essentially” to mean “approximately” or “effectively”.</w:t>
      </w:r>
    </w:p>
    <w:p>
      <w:pPr>
        <w:pStyle w:val="bulletlist"/>
        <w:numPr>
          <w:ilvl w:val="0"/>
          <w:numId w:val="2"/>
        </w:numPr>
        <w:ind w:hanging="288" w:start="576"/>
        <w:rPr/>
      </w:pPr>
      <w:r>
        <w:rPr/>
        <w:t>In your paper title, if the words “that uses” can accurately replace the word “using”, capitalize the “u”; if not, keep using lower-cased.</w:t>
      </w:r>
    </w:p>
    <w:p>
      <w:pPr>
        <w:pStyle w:val="bulletlist"/>
        <w:numPr>
          <w:ilvl w:val="0"/>
          <w:numId w:val="2"/>
        </w:numPr>
        <w:ind w:hanging="288" w:start="576"/>
        <w:rPr/>
      </w:pPr>
      <w:r>
        <w:rPr/>
        <w:t>Be aware of the different meanings of the homophones “affect” and “effect”, “complement” and “compliment”, “discreet” and “discrete”, “principal” and “principle”.</w:t>
      </w:r>
    </w:p>
    <w:p>
      <w:pPr>
        <w:pStyle w:val="bulletlist"/>
        <w:numPr>
          <w:ilvl w:val="0"/>
          <w:numId w:val="2"/>
        </w:numPr>
        <w:ind w:hanging="288" w:start="576"/>
        <w:rPr/>
      </w:pPr>
      <w:r>
        <w:rPr/>
        <w:t>Do not confuse “imply” and “infer”.</w:t>
      </w:r>
    </w:p>
    <w:p>
      <w:pPr>
        <w:pStyle w:val="bulletlist"/>
        <w:numPr>
          <w:ilvl w:val="0"/>
          <w:numId w:val="2"/>
        </w:numPr>
        <w:ind w:hanging="288" w:start="576"/>
        <w:rPr/>
      </w:pPr>
      <w:r>
        <w:rPr/>
        <w:t>The prefix “non” is not a word; it should be joined to the word it modifies, usually without a hyphen.</w:t>
      </w:r>
    </w:p>
    <w:p>
      <w:pPr>
        <w:pStyle w:val="bulletlist"/>
        <w:numPr>
          <w:ilvl w:val="0"/>
          <w:numId w:val="2"/>
        </w:numPr>
        <w:ind w:hanging="288" w:start="576"/>
        <w:rPr/>
      </w:pPr>
      <w:r>
        <w:rPr/>
        <w:t>There is no period after the “et” in the Latin abbreviation “et al.”.</w:t>
      </w:r>
    </w:p>
    <w:p>
      <w:pPr>
        <w:pStyle w:val="bulletlist"/>
        <w:numPr>
          <w:ilvl w:val="0"/>
          <w:numId w:val="2"/>
        </w:numPr>
        <w:ind w:hanging="288" w:start="576"/>
        <w:rPr/>
      </w:pPr>
      <w:r>
        <w:rPr/>
        <w:t>The abbreviation “i.e.” means “that is”, and the abbreviation “e.g.” means “for example”.</w:t>
      </w:r>
    </w:p>
    <w:p>
      <w:pPr>
        <w:pStyle w:val="BodyText"/>
        <w:rPr/>
      </w:pPr>
      <w:r>
        <w:rPr/>
        <w:t>An excellent style manual for science writers is [7].</w:t>
      </w:r>
    </w:p>
    <w:p>
      <w:pPr>
        <w:pStyle w:val="Heading1"/>
        <w:ind w:hanging="0" w:start="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ind w:hanging="0" w:start="0"/>
        <w:rPr/>
      </w:pPr>
      <w:r>
        <w:rPr/>
        <w:t>Authors and Affiliations</w:t>
      </w:r>
    </w:p>
    <w:p>
      <w:pPr>
        <w:pStyle w:val="BodyText"/>
        <w:rPr/>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rP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rPr/>
        <w:t>Please keep your affiliations as succinct as possible (for example, do not differentiate among departments of the same organization).</w:t>
      </w:r>
    </w:p>
    <w:p>
      <w:pPr>
        <w:pStyle w:val="Heading3"/>
        <w:ind w:firstLine="288" w:start="0"/>
        <w:rPr/>
      </w:pPr>
      <w:r>
        <w:rPr/>
        <w:t xml:space="preserve">For papers with more than six authors: </w:t>
      </w:r>
      <w:r>
        <w:rPr>
          <w:i w:val="false"/>
        </w:rPr>
        <w:t>Add author names horizontally, moving to a third row if needed for more than 8 authors.</w:t>
      </w:r>
    </w:p>
    <w:p>
      <w:pPr>
        <w:pStyle w:val="Heading3"/>
        <w:ind w:firstLine="288" w:start="0"/>
        <w:rPr/>
      </w:pPr>
      <w:r>
        <w:rPr/>
        <w:t xml:space="preserve">For papers with less than six authors: </w:t>
      </w:r>
      <w:r>
        <w:rPr>
          <w:i w:val="false"/>
        </w:rPr>
        <w:t>To change the default, adjust the template as follows.</w:t>
      </w:r>
    </w:p>
    <w:p>
      <w:pPr>
        <w:pStyle w:val="Heading4"/>
        <w:ind w:firstLine="504" w:start="0"/>
        <w:rPr/>
      </w:pPr>
      <w:r>
        <w:rPr/>
        <w:t xml:space="preserve">Selection: </w:t>
      </w:r>
      <w:r>
        <w:rPr>
          <w:i w:val="false"/>
        </w:rPr>
        <w:t>Highlight all author and affiliation lines.</w:t>
      </w:r>
    </w:p>
    <w:p>
      <w:pPr>
        <w:pStyle w:val="Heading4"/>
        <w:ind w:firstLine="504" w:start="0"/>
        <w:rPr/>
      </w:pPr>
      <w:r>
        <w:rPr/>
        <w:t xml:space="preserve">Change number of columns: </w:t>
      </w:r>
      <w:r>
        <w:rPr>
          <w:i w:val="false"/>
        </w:rPr>
        <w:t>Select the Columns icon from the MS Word Standard toolbar and then select the correct number of columns from the selection palette.</w:t>
      </w:r>
    </w:p>
    <w:p>
      <w:pPr>
        <w:pStyle w:val="Heading4"/>
        <w:ind w:firstLine="504" w:start="0"/>
        <w:rPr>
          <w:i w:val="false"/>
          <w:i w:val="false"/>
        </w:rPr>
      </w:pPr>
      <w:r>
        <w:rPr/>
        <w:t xml:space="preserve">Deletion: </w:t>
      </w:r>
      <w:r>
        <w:rPr>
          <w:i w:val="false"/>
        </w:rPr>
        <w:t>Delete the author and affiliation lines for the extra authors.</w:t>
      </w:r>
    </w:p>
    <w:p>
      <w:pPr>
        <w:pStyle w:val="Normal"/>
        <w:jc w:val="start"/>
        <w:rPr>
          <w:i/>
          <w:i/>
          <w:iCs/>
        </w:rPr>
      </w:pPr>
      <w:r>
        <w:rPr>
          <w:i/>
          <w:iCs/>
        </w:rPr>
      </w:r>
    </w:p>
    <w:p>
      <w:pPr>
        <w:pStyle w:val="Heading2"/>
        <w:ind w:hanging="0" w:start="0"/>
        <w:rPr/>
      </w:pPr>
      <w:r>
        <w:rPr/>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ind w:hanging="0" w:start="0"/>
        <w:rPr/>
      </w:pPr>
      <w:r>
        <w:rPr/>
        <w:t>Figures and Tables</w:t>
      </w:r>
    </w:p>
    <w:p>
      <w:pPr>
        <w:pStyle w:val="Heading4"/>
        <w:ind w:firstLine="504" w:start="0"/>
        <w:rPr/>
      </w:pPr>
      <w:r>
        <w:rPr/>
        <w:t xml:space="preserve"> </w:t>
      </w:r>
      <w:r>
        <w:rPr/>
        <w:t xml:space="preserve">Positioning Figures and Tables: </w:t>
      </w:r>
      <w:r>
        <w:rPr>
          <w:i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6"/>
        </w:numPr>
        <w:rPr/>
      </w:pPr>
      <w:r>
        <w:rPr/>
        <w:t>Table Type Styles</w:t>
      </w:r>
    </w:p>
    <w:tbl>
      <w:tblPr>
        <w:tblW w:w="4860" w:type="dxa"/>
        <w:jc w:val="center"/>
        <w:tblInd w:w="0" w:type="dxa"/>
        <w:tblLayout w:type="fixed"/>
        <w:tblCellMar>
          <w:top w:w="0" w:type="dxa"/>
          <w:start w:w="108" w:type="dxa"/>
          <w:bottom w:w="0" w:type="dxa"/>
          <w:end w:w="108" w:type="dxa"/>
        </w:tblCellMar>
      </w:tblPr>
      <w:tblGrid>
        <w:gridCol w:w="718"/>
        <w:gridCol w:w="2340"/>
        <w:gridCol w:w="900"/>
        <w:gridCol w:w="901"/>
      </w:tblGrid>
      <w:tr>
        <w:trPr>
          <w:tblHeader w:val="true"/>
          <w:trHeight w:val="240" w:hRule="atLeast"/>
          <w:cantSplit w:val="true"/>
        </w:trPr>
        <w:tc>
          <w:tcPr>
            <w:tcW w:w="718" w:type="dxa"/>
            <w:vMerge w:val="restart"/>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Head</w:t>
            </w:r>
          </w:p>
        </w:tc>
        <w:tc>
          <w:tcPr>
            <w:tcW w:w="4141" w:type="dxa"/>
            <w:gridSpan w:val="3"/>
            <w:tcBorders>
              <w:top w:val="single" w:sz="2" w:space="0" w:color="000000"/>
              <w:start w:val="single" w:sz="2" w:space="0" w:color="000000"/>
              <w:bottom w:val="single" w:sz="2" w:space="0" w:color="000000"/>
              <w:end w:val="single" w:sz="2" w:space="0" w:color="000000"/>
            </w:tcBorders>
            <w:vAlign w:val="center"/>
          </w:tcPr>
          <w:p>
            <w:pPr>
              <w:pStyle w:val="tablecolhead"/>
              <w:rPr/>
            </w:pPr>
            <w:r>
              <w:rPr/>
              <w:t>Table Column Head</w:t>
            </w:r>
          </w:p>
        </w:tc>
      </w:tr>
      <w:tr>
        <w:trPr>
          <w:tblHeader w:val="true"/>
          <w:trHeight w:val="240" w:hRule="atLeast"/>
          <w:cantSplit w:val="true"/>
        </w:trPr>
        <w:tc>
          <w:tcPr>
            <w:tcW w:w="718" w:type="dxa"/>
            <w:vMerge w:val="continue"/>
            <w:tcBorders>
              <w:top w:val="single" w:sz="2" w:space="0" w:color="000000"/>
              <w:start w:val="single" w:sz="2" w:space="0" w:color="000000"/>
              <w:bottom w:val="single" w:sz="2" w:space="0" w:color="000000"/>
              <w:end w:val="single" w:sz="2" w:space="0" w:color="000000"/>
            </w:tcBorders>
          </w:tcPr>
          <w:p>
            <w:pPr>
              <w:pStyle w:val="Normal"/>
              <w:rPr/>
            </w:pPr>
            <w:r>
              <w:rPr/>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Table column subhead</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tablecolsubhead"/>
              <w:rPr/>
            </w:pPr>
            <w:r>
              <w:rPr/>
              <w:t>Subhead</w:t>
            </w:r>
          </w:p>
        </w:tc>
      </w:tr>
      <w:tr>
        <w:trPr>
          <w:trHeight w:val="320" w:hRule="atLeast"/>
        </w:trPr>
        <w:tc>
          <w:tcPr>
            <w:tcW w:w="718" w:type="dxa"/>
            <w:tcBorders>
              <w:top w:val="single" w:sz="2" w:space="0" w:color="000000"/>
              <w:start w:val="single" w:sz="2" w:space="0" w:color="000000"/>
              <w:bottom w:val="single" w:sz="2" w:space="0" w:color="000000"/>
              <w:end w:val="single" w:sz="2" w:space="0" w:color="000000"/>
            </w:tcBorders>
            <w:vAlign w:val="center"/>
          </w:tcPr>
          <w:p>
            <w:pPr>
              <w:pStyle w:val="tablecopy"/>
              <w:rPr>
                <w:sz w:val="8"/>
                <w:szCs w:val="8"/>
              </w:rPr>
            </w:pPr>
            <w:r>
              <w:rPr/>
              <w:t>copy</w:t>
            </w:r>
          </w:p>
        </w:tc>
        <w:tc>
          <w:tcPr>
            <w:tcW w:w="2340" w:type="dxa"/>
            <w:tcBorders>
              <w:top w:val="single" w:sz="2" w:space="0" w:color="000000"/>
              <w:start w:val="single" w:sz="2" w:space="0" w:color="000000"/>
              <w:bottom w:val="single" w:sz="2" w:space="0" w:color="000000"/>
              <w:end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c>
          <w:tcPr>
            <w:tcW w:w="901" w:type="dxa"/>
            <w:tcBorders>
              <w:top w:val="single" w:sz="2" w:space="0" w:color="000000"/>
              <w:start w:val="single" w:sz="2" w:space="0" w:color="000000"/>
              <w:bottom w:val="single" w:sz="2" w:space="0" w:color="000000"/>
              <w:end w:val="single" w:sz="2" w:space="0" w:color="000000"/>
            </w:tcBorders>
            <w:vAlign w:val="center"/>
          </w:tcPr>
          <w:p>
            <w:pPr>
              <w:pStyle w:val="Normal"/>
              <w:rPr>
                <w:sz w:val="16"/>
                <w:szCs w:val="16"/>
              </w:rPr>
            </w:pPr>
            <w:r>
              <w:rPr>
                <w:sz w:val="16"/>
                <w:szCs w:val="16"/>
              </w:rPr>
            </w:r>
          </w:p>
        </w:tc>
      </w:tr>
    </w:tbl>
    <w:p>
      <w:pPr>
        <w:pStyle w:val="tablefootnote"/>
        <w:numPr>
          <w:ilvl w:val="0"/>
          <w:numId w:val="7"/>
        </w:numPr>
        <w:ind w:hanging="29" w:start="58"/>
        <w:rPr/>
      </w:pPr>
      <w:r>
        <w:rPr/>
        <w:t>Sample of a Table footnote. (</w:t>
      </w:r>
      <w:r>
        <w:rPr>
          <w:i/>
        </w:rPr>
        <w:t>Table footnote</w:t>
      </w:r>
      <w:r>
        <w:rPr/>
        <w:t>)</w:t>
      </w:r>
    </w:p>
    <w:p>
      <w:pPr>
        <w:pStyle w:val="figurecaption"/>
        <w:numPr>
          <w:ilvl w:val="0"/>
          <w:numId w:val="3"/>
        </w:numPr>
        <w:ind w:hanging="0" w:start="0"/>
        <w:rPr/>
      </w:pPr>
      <w:r>
        <w:rPr/>
        <w:t xml:space="preserve">Example of a figure caption. </w:t>
      </w:r>
      <w:r>
        <w:rPr>
          <w:iCs/>
        </w:rPr>
        <w:t>(</w:t>
      </w:r>
      <w:r>
        <w:rPr>
          <w:i/>
          <w:iCs/>
        </w:rPr>
        <w:t>figure caption</w:t>
      </w:r>
      <w:r>
        <w:rPr>
          <w:iCs/>
        </w:rPr>
        <w:t>)</w:t>
      </w:r>
    </w:p>
    <w:p>
      <w:pPr>
        <w:pStyle w:val="Body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5"/>
        <w:ind w:hanging="0" w:start="0"/>
        <w:rPr/>
      </w:pPr>
      <w:r>
        <w:rPr/>
        <w:t xml:space="preserve">Acknowledgment </w:t>
      </w:r>
      <w:r>
        <w:rPr>
          <w:i/>
          <w:iCs/>
        </w:rPr>
        <w:t>(</w:t>
      </w:r>
      <w:r>
        <w:rPr>
          <w:i/>
          <w:iCs/>
          <w:caps w:val="false"/>
          <w:smallCaps w:val="false"/>
        </w:rPr>
        <w:t>Heading 5</w:t>
      </w:r>
      <w:r>
        <w:rPr>
          <w:i/>
          <w:iCs/>
        </w:rPr>
        <w:t>)</w:t>
      </w:r>
    </w:p>
    <w:p>
      <w:pPr>
        <w:pStyle w:val="BodyText"/>
        <w:rPr/>
      </w:pPr>
      <w:r>
        <w:rPr/>
        <w:t>The preferred spelling of the word “acknowledgment” in America is without an “e” after the “g”. Avoid the stilted expression “</w:t>
      </w:r>
      <w:r>
        <w:rPr>
          <w:lang w:val="en-US"/>
        </w:rPr>
        <w:t>o</w:t>
      </w:r>
      <w:r>
        <w:rPr/>
        <w:t>ne of us (R. B. G.) thanks ...</w:t>
      </w:r>
      <w:r>
        <w:rPr>
          <w:lang w:val="en-US"/>
        </w:rPr>
        <w:t xml:space="preserve">”.  </w:t>
      </w:r>
      <w:r>
        <w:rPr/>
        <w:t>Instead, try “R. B. G. thanks...”.</w:t>
      </w:r>
      <w:r>
        <w:rPr>
          <w:lang w:val="en-US"/>
        </w:rPr>
        <w:t xml:space="preserve"> </w:t>
      </w:r>
      <w:r>
        <w:rPr/>
        <w:t>Put sponsor acknowledgments in the unnumbered footnote on the first page.</w:t>
      </w:r>
    </w:p>
    <w:p>
      <w:pPr>
        <w:pStyle w:val="Heading5"/>
        <w:ind w:hanging="0" w:start="0"/>
        <w:rPr/>
      </w:pPr>
      <w:r>
        <w:rPr/>
        <w:t>References</w:t>
      </w:r>
    </w:p>
    <w:p>
      <w:pPr>
        <w:pStyle w:val="BodyText"/>
        <w:rPr/>
      </w:pPr>
      <w:r>
        <w:rP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rPr/>
        <w:t>...”</w:t>
      </w:r>
    </w:p>
    <w:p>
      <w:pPr>
        <w:pStyle w:val="BodyText"/>
        <w:rPr/>
      </w:pPr>
      <w:r>
        <w:rPr/>
        <w:t>Number footnotes separately in superscripts. Place the actual footnote at the bottom of the column in which it was cited. Do not put footnotes in the</w:t>
      </w:r>
      <w:r>
        <w:rPr>
          <w:lang w:val="en-US"/>
        </w:rPr>
        <w:t xml:space="preserve"> abstract or</w:t>
      </w:r>
      <w:r>
        <w:rPr/>
        <w:t xml:space="preserve"> reference list. Use letters for table footnotes.</w:t>
      </w:r>
    </w:p>
    <w:p>
      <w:pPr>
        <w:pStyle w:val="BodyText"/>
        <w:rPr/>
      </w:pPr>
      <w:r>
        <w:rPr/>
        <w:t>Unless there are six authors or more give all authors</w:t>
      </w:r>
      <w:r>
        <w:rPr>
          <w:lang w:val="en-US"/>
        </w:rPr>
        <w:t xml:space="preserve">’ </w:t>
      </w:r>
      <w:r>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pPr>
        <w:pStyle w:val="BodyText"/>
        <w:rPr/>
      </w:pPr>
      <w:r>
        <w:rPr/>
        <w:t>For papers published in translation journals, please give the English citation first, followed by the original foreign-language citation [6].</w:t>
      </w:r>
    </w:p>
    <w:p>
      <w:pPr>
        <w:pStyle w:val="Normal"/>
        <w:rPr/>
      </w:pPr>
      <w:r>
        <w:rPr/>
      </w:r>
    </w:p>
    <w:p>
      <w:pPr>
        <w:pStyle w:val="references"/>
        <w:numPr>
          <w:ilvl w:val="0"/>
          <w:numId w:val="5"/>
        </w:numPr>
        <w:ind w:hanging="354" w:start="354"/>
        <w:rPr/>
      </w:pPr>
      <w:r>
        <w:rPr/>
        <w:t xml:space="preserve">G. Eason, B. Noble, and I. N. Sneddon, “On certain integrals of Lipschitz-Hankel type involving products of Bessel functions,” Phil. Trans. Roy. Soc. London, vol. A247, pp. 529–551, April 1955. </w:t>
      </w:r>
      <w:r>
        <w:rPr>
          <w:i/>
          <w:iCs/>
        </w:rPr>
        <w:t>(references)</w:t>
      </w:r>
    </w:p>
    <w:p>
      <w:pPr>
        <w:pStyle w:val="references"/>
        <w:numPr>
          <w:ilvl w:val="0"/>
          <w:numId w:val="5"/>
        </w:numPr>
        <w:ind w:hanging="354" w:start="354"/>
        <w:rPr/>
      </w:pPr>
      <w:r>
        <w:rPr/>
        <w:t>J. Clerk Maxwell, A Treatise on Electricity and Magnetism, 3rd ed., vol. 2. Oxford: Clarendon, 1892, pp.68–73.</w:t>
      </w:r>
    </w:p>
    <w:p>
      <w:pPr>
        <w:pStyle w:val="references"/>
        <w:numPr>
          <w:ilvl w:val="0"/>
          <w:numId w:val="5"/>
        </w:numPr>
        <w:ind w:hanging="354" w:start="354"/>
        <w:rPr/>
      </w:pPr>
      <w:r>
        <w:rPr/>
        <w:t>I. S. Jacobs and C. P. Bean, “Fine particles, thin films and exchange anisotropy,” in Magnetism, vol. III, G. T. Rado and H. Suhl, Eds. New York: Academic, 1963, pp. 271–350.</w:t>
      </w:r>
    </w:p>
    <w:p>
      <w:pPr>
        <w:pStyle w:val="references"/>
        <w:numPr>
          <w:ilvl w:val="0"/>
          <w:numId w:val="5"/>
        </w:numPr>
        <w:ind w:hanging="354" w:start="354"/>
        <w:rPr/>
      </w:pPr>
      <w:r>
        <w:rPr/>
        <w:t>K. Elissa, “Title of paper if known,” unpublished.</w:t>
      </w:r>
    </w:p>
    <w:p>
      <w:pPr>
        <w:pStyle w:val="references"/>
        <w:numPr>
          <w:ilvl w:val="0"/>
          <w:numId w:val="5"/>
        </w:numPr>
        <w:ind w:hanging="354" w:start="354"/>
        <w:rPr/>
      </w:pPr>
      <w:r>
        <w:rPr/>
        <w:t>R. Nicole, “Title of paper with only first word capitalized,” J. Name Stand. Abbrev., in press.</w:t>
      </w:r>
    </w:p>
    <w:p>
      <w:pPr>
        <w:pStyle w:val="references"/>
        <w:numPr>
          <w:ilvl w:val="0"/>
          <w:numId w:val="5"/>
        </w:numPr>
        <w:ind w:hanging="354" w:start="354"/>
        <w:rPr/>
      </w:pPr>
      <w:r>
        <w:rPr/>
        <w:t>Y. Yorozu, M. Hirano, K. Oka, and Y. Tagawa, “Electron spectroscopy studies on magneto-optical media and plastic substrate interface,” IEEE Transl. J. Magn. Japan, vol. 2, pp. 740–741, August 1987 [Digests 9th Annual Conf. Magnetics Japan, p. 301, 1982].</w:t>
      </w:r>
    </w:p>
    <w:p>
      <w:pPr>
        <w:pStyle w:val="references"/>
        <w:numPr>
          <w:ilvl w:val="0"/>
          <w:numId w:val="5"/>
        </w:numPr>
        <w:ind w:hanging="354" w:start="354"/>
        <w:rPr/>
      </w:pPr>
      <w:r>
        <w:rPr/>
        <w:t>M. Young, The Technical Writer’s Handbook. Mill Valley, CA: University Science, 1989.</w:t>
      </w:r>
    </w:p>
    <w:p>
      <w:pPr>
        <w:pStyle w:val="references"/>
        <w:numPr>
          <w:ilvl w:val="0"/>
          <w:numId w:val="5"/>
        </w:numPr>
        <w:ind w:hanging="354" w:start="354"/>
        <w:rPr>
          <w:rFonts w:ascii="NimbusRomNo9L-Regu" w:hAnsi="NimbusRomNo9L-Regu" w:eastAsia="NimbusRomNo9L-Regu" w:cs="NimbusRomNo9L-Regu"/>
        </w:rPr>
      </w:pPr>
      <w:r>
        <w:rPr/>
        <w:t xml:space="preserve">K. Eves and J. Valasek, “Adaptive control for singularly perturbed systems examples,” Code Ocean, Aug. 2023. [Online]. Available: </w:t>
      </w:r>
      <w:hyperlink r:id="rId5">
        <w:r>
          <w:rPr>
            <w:rStyle w:val="Style4"/>
          </w:rPr>
          <w:t>https://codeocean.com/capsule/4989235/tree</w:t>
        </w:r>
      </w:hyperlink>
      <w:r>
        <w:rPr/>
        <w:t xml:space="preserve"> </w:t>
      </w:r>
    </w:p>
    <w:p>
      <w:pPr>
        <w:pStyle w:val="references"/>
        <w:numPr>
          <w:ilvl w:val="0"/>
          <w:numId w:val="5"/>
        </w:numPr>
        <w:ind w:hanging="354" w:start="354"/>
        <w:jc w:val="start"/>
        <w:rPr/>
      </w:pPr>
      <w:r>
        <w:rPr/>
        <w:t xml:space="preserve">D. P. Kingma and M. Welling, “Auto-encoding variational Bayes,” 2013, arXiv:1312.6114. [Online]. Available: </w:t>
      </w:r>
      <w:hyperlink r:id="rId6">
        <w:r>
          <w:rPr>
            <w:rStyle w:val="Style4"/>
          </w:rPr>
          <w:t>https://arxiv.org/abs/1312.6114</w:t>
        </w:r>
      </w:hyperlink>
    </w:p>
    <w:p>
      <w:pPr>
        <w:pStyle w:val="references"/>
        <w:numPr>
          <w:ilvl w:val="0"/>
          <w:numId w:val="5"/>
        </w:numPr>
        <w:ind w:hanging="354" w:start="354"/>
        <w:jc w:val="start"/>
        <w:rPr/>
      </w:pPr>
      <w:r>
        <w:rPr/>
        <w:t xml:space="preserve">S. Liu, “Wi-Fi Energy Detection Testbed (12MTC),” 2023, gitHub repository. [Online]. Available: https://github.com/liustone99/Wi-Fi-Energy-Detection-Testbed-12MTC </w:t>
      </w:r>
    </w:p>
    <w:p>
      <w:pPr>
        <w:pStyle w:val="references"/>
        <w:numPr>
          <w:ilvl w:val="0"/>
          <w:numId w:val="5"/>
        </w:numPr>
        <w:ind w:hanging="354" w:start="354"/>
        <w:jc w:val="start"/>
        <w:rPr/>
      </w:pPr>
      <w:r>
        <w:rPr/>
        <w:t>“</w:t>
      </w:r>
      <w:r>
        <w:rPr/>
        <w:t>Treatment episode data set: discharges (TEDS-D): concatenated, 2006 to 2009.” U.S. Department of Health and Human Services, Substance Abuse and Mental Health Services Administration, Office of Applied Studies, August, 2013, DOI:10.3886/ICPSR30122.v2</w:t>
      </w:r>
    </w:p>
    <w:p>
      <w:pPr>
        <w:pStyle w:val="references"/>
        <w:numPr>
          <w:ilvl w:val="0"/>
          <w:numId w:val="0"/>
        </w:numPr>
        <w:ind w:hanging="0" w:start="354"/>
        <w:rPr/>
      </w:pPr>
      <w:r>
        <w:rPr/>
      </w:r>
    </w:p>
    <w:p>
      <w:pPr>
        <w:pStyle w:val="references"/>
        <w:numPr>
          <w:ilvl w:val="0"/>
          <w:numId w:val="0"/>
        </w:numPr>
        <w:ind w:hanging="360" w:start="360"/>
        <w:rPr/>
      </w:pPr>
      <w:r>
        <w:rPr/>
      </w:r>
    </w:p>
    <w:p>
      <w:pPr>
        <w:pStyle w:val="references"/>
        <w:numPr>
          <w:ilvl w:val="0"/>
          <w:numId w:val="0"/>
        </w:numPr>
        <w:spacing w:lineRule="auto" w:line="240"/>
        <w:ind w:hanging="360" w:start="360"/>
        <w:jc w:val="center"/>
        <w:rPr>
          <w:rFonts w:eastAsia="SimSun"/>
          <w:b/>
          <w:color w:val="FF0000"/>
          <w:spacing w:val="-1"/>
          <w:sz w:val="20"/>
          <w:szCs w:val="20"/>
          <w:lang w:val="x-none" w:eastAsia="x-none"/>
        </w:rPr>
      </w:pPr>
      <w:r>
        <w:rPr>
          <w:rFonts w:eastAsia="SimSun"/>
          <w:b/>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x-none"/>
        </w:rPr>
        <w:t>may</w:t>
      </w:r>
      <w:r>
        <w:rPr>
          <w:rFonts w:eastAsia="SimSun"/>
          <w:b/>
          <w:color w:val="FF0000"/>
          <w:spacing w:val="-1"/>
          <w:sz w:val="20"/>
          <w:szCs w:val="20"/>
          <w:lang w:val="x-none" w:eastAsia="x-none"/>
        </w:rPr>
        <w:t xml:space="preserve"> result in your paper not being published.</w:t>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8192"/>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NimbusRomNo9L-Regu">
    <w:charset w:val="01" w:characterSet="utf-8"/>
    <w:family w:val="auto"/>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5"/>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hyphenationZone w:val="36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pPr>
      <w:numPr>
        <w:ilvl w:val="2"/>
        <w:numId w:val="1"/>
      </w:numPr>
      <w:spacing w:lineRule="exact" w:line="240"/>
      <w:ind w:firstLine="288"/>
      <w:jc w:val="both"/>
      <w:outlineLvl w:val="2"/>
    </w:pPr>
    <w:rPr>
      <w:i/>
      <w:iCs/>
    </w:rPr>
  </w:style>
  <w:style w:type="paragraph" w:styleId="Heading4">
    <w:name w:val="heading 4"/>
    <w:basedOn w:val="Normal"/>
    <w:next w:val="Normal"/>
    <w:qFormat/>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numPr>
        <w:ilvl w:val="0"/>
        <w:numId w:val="0"/>
      </w:numPr>
      <w:tabs>
        <w:tab w:val="clear" w:pos="720"/>
        <w:tab w:val="left" w:pos="360" w:leader="none"/>
      </w:tabs>
      <w:spacing w:before="160" w:after="80"/>
      <w:outlineLvl w:val="4"/>
    </w:pPr>
    <w:rPr>
      <w:smallCaps/>
    </w:rPr>
  </w:style>
  <w:style w:type="character" w:styleId="DefaultParagraphFont">
    <w:name w:val="Default Paragraph Font"/>
    <w:qFormat/>
    <w:rPr/>
  </w:style>
  <w:style w:type="character" w:styleId="BodyTextChar">
    <w:name w:val="Body Text Char"/>
    <w:qFormat/>
    <w:rPr>
      <w:spacing w:val="-1"/>
      <w:lang w:val="x-none" w:eastAsia="x-none"/>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name w:val="Abstract"/>
    <w:qFormat/>
    <w:pPr>
      <w:widowControl/>
      <w:suppressAutoHyphens w:val="true"/>
      <w:overflowPunct w:val="fals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name w:val="Affiliation"/>
    <w:qFormat/>
    <w:pPr>
      <w:widowControl/>
      <w:suppressAutoHyphens w:val="true"/>
      <w:overflowPunct w:val="fals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name w:val="Author"/>
    <w:qFormat/>
    <w:pPr>
      <w:widowControl/>
      <w:suppressAutoHyphens w:val="true"/>
      <w:overflowPunct w:val="fals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name w:val="bullet list"/>
    <w:basedOn w:val="BodyText"/>
    <w:qFormat/>
    <w:pPr>
      <w:numPr>
        <w:ilvl w:val="0"/>
        <w:numId w:val="2"/>
      </w:numPr>
      <w:ind w:hanging="288" w:start="576"/>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3"/>
      </w:numPr>
      <w:tabs>
        <w:tab w:val="clear" w:pos="720"/>
        <w:tab w:val="left" w:pos="533" w:leader="none"/>
      </w:tabs>
      <w:suppressAutoHyphens w:val="true"/>
      <w:overflowPunct w:val="fals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name w:val="footnote"/>
    <w:qFormat/>
    <w:pPr>
      <w:widowControl/>
      <w:numPr>
        <w:ilvl w:val="0"/>
        <w:numId w:val="4"/>
      </w:numPr>
      <w:suppressAutoHyphens w:val="true"/>
      <w:overflowPunct w:val="fals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name w:val="paper subtitle"/>
    <w:qFormat/>
    <w:pPr>
      <w:widowControl/>
      <w:suppressAutoHyphens w:val="true"/>
      <w:overflowPunct w:val="fals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name w:val="paper title"/>
    <w:qFormat/>
    <w:pPr>
      <w:widowControl/>
      <w:suppressAutoHyphens w:val="true"/>
      <w:overflowPunct w:val="fals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name w:val="references"/>
    <w:qFormat/>
    <w:pPr>
      <w:widowControl/>
      <w:numPr>
        <w:ilvl w:val="0"/>
        <w:numId w:val="5"/>
      </w:numPr>
      <w:suppressAutoHyphens w:val="true"/>
      <w:overflowPunct w:val="fals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name w:val="sponsors"/>
    <w:qFormat/>
    <w:pPr>
      <w:widowControl/>
      <w:pBdr>
        <w:top w:val="single" w:sz="4" w:space="2" w:color="000000"/>
      </w:pBdr>
      <w:suppressAutoHyphens w:val="true"/>
      <w:overflowPunct w:val="fals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overflowPunct w:val="fals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name w:val="table footnote"/>
    <w:qFormat/>
    <w:pPr>
      <w:widowControl/>
      <w:numPr>
        <w:ilvl w:val="0"/>
        <w:numId w:val="7"/>
      </w:numPr>
      <w:suppressAutoHyphens w:val="true"/>
      <w:overflowPunct w:val="fals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name w:val="table head"/>
    <w:qFormat/>
    <w:pPr>
      <w:widowControl/>
      <w:numPr>
        <w:ilvl w:val="0"/>
        <w:numId w:val="6"/>
      </w:numPr>
      <w:suppressAutoHyphens w:val="true"/>
      <w:overflowPunct w:val="fals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name w:val="Keywords"/>
    <w:basedOn w:val="Abstract"/>
    <w:qFormat/>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pPr>
    <w:rPr/>
  </w:style>
  <w:style w:type="paragraph" w:styleId="Footer">
    <w:name w:val="footer"/>
    <w:basedOn w:val="Normal"/>
    <w:link w:val="FooterChar"/>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54</TotalTime>
  <Application>LibreOffice/24.8.4.2$Linux_X86_64 LibreOffice_project/480$Build-2</Application>
  <AppVersion>15.0000</AppVersion>
  <Pages>3</Pages>
  <Words>2476</Words>
  <Characters>13062</Characters>
  <CharactersWithSpaces>15392</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en-IN</dc:language>
  <cp:lastModifiedBy/>
  <cp:lastPrinted>2025-03-03T23:40:31Z</cp:lastPrinted>
  <dcterms:modified xsi:type="dcterms:W3CDTF">2025-03-04T23:24:09Z</dcterms:modified>
  <cp:revision>6</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