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0" w:after="280"/>
        <w:rPr>
          <w:kern w:val="2"/>
        </w:rPr>
      </w:pPr>
      <w:r>
        <w:rPr>
          <w:kern w:val="2"/>
        </w:rPr>
        <w:t>AUTOMOTIVE DIAGNOSTIC AND ACTIVITY MONITORING</w:t>
      </w:r>
    </w:p>
    <w:p>
      <w:pPr>
        <w:pStyle w:val="Author"/>
        <w:spacing w:before="280" w:after="280"/>
        <w:rPr>
          <w:sz w:val="16"/>
          <w:szCs w:val="16"/>
        </w:rPr>
      </w:pPr>
      <w:r>
        <w:rPr>
          <w:sz w:val="16"/>
          <w:szCs w:val="16"/>
        </w:rPr>
        <w:t>*Note: Sub-titles are not captured in Xplore and should not be used</w:t>
      </w:r>
    </w:p>
    <w:p>
      <w:pPr>
        <w:pStyle w:val="Author"/>
        <w:spacing w:lineRule="auto" w:line="120" w:before="280" w:after="280"/>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280" w:after="40"/>
        <w:rPr>
          <w:sz w:val="18"/>
          <w:szCs w:val="18"/>
        </w:rPr>
      </w:pPr>
      <w:r>
        <w:rPr>
          <w:sz w:val="18"/>
          <w:szCs w:val="18"/>
        </w:rPr>
        <w:t xml:space="preserve">Travis Samson Fernandes </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21ce72.travis@pccegoa.edu.in</w:t>
      </w:r>
    </w:p>
    <w:p>
      <w:pPr>
        <w:pStyle w:val="Author"/>
        <w:spacing w:before="280" w:after="40"/>
        <w:rPr>
          <w:sz w:val="18"/>
          <w:szCs w:val="18"/>
        </w:rPr>
      </w:pPr>
      <w:r>
        <w:rPr>
          <w:sz w:val="18"/>
          <w:szCs w:val="18"/>
        </w:rPr>
      </w:r>
    </w:p>
    <w:p>
      <w:pPr>
        <w:pStyle w:val="Normal"/>
        <w:spacing w:before="0" w:after="0"/>
        <w:ind w:hanging="0"/>
        <w:rPr>
          <w:sz w:val="18"/>
          <w:szCs w:val="18"/>
        </w:rPr>
      </w:pPr>
      <w:r>
        <w:br w:type="column"/>
      </w:r>
      <w:r>
        <w:rPr>
          <w:sz w:val="18"/>
          <w:szCs w:val="18"/>
        </w:rPr>
        <w:t>Mangesh Phadte</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21ce42.mangesh@pccegoa.edu.in</w:t>
      </w:r>
    </w:p>
    <w:p>
      <w:pPr>
        <w:pStyle w:val="Normal"/>
        <w:spacing w:before="0" w:after="0"/>
        <w:ind w:hanging="0"/>
        <w:rPr>
          <w:sz w:val="18"/>
          <w:szCs w:val="18"/>
        </w:rPr>
      </w:pPr>
      <w:r>
        <w:br w:type="column"/>
      </w:r>
      <w:r>
        <w:rPr>
          <w:sz w:val="18"/>
          <w:szCs w:val="18"/>
        </w:rPr>
        <w:t>Chetan Naik</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21ce17.chetan@pccegoa.edu.in</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ind w:hanging="0"/>
        <w:rPr>
          <w:sz w:val="18"/>
          <w:szCs w:val="18"/>
        </w:rPr>
      </w:pPr>
      <w:r>
        <w:br w:type="column"/>
      </w:r>
      <w:r>
        <w:rPr>
          <w:sz w:val="18"/>
          <w:szCs w:val="18"/>
        </w:rPr>
        <w:t>Guarang Madkaiker</w:t>
        <w:br/>
        <w:t>Department of Computer Engineering</w:t>
      </w:r>
      <w:r>
        <w:rPr>
          <w:i/>
          <w:sz w:val="18"/>
          <w:szCs w:val="18"/>
        </w:rPr>
        <w:t xml:space="preserve">(of </w:t>
      </w:r>
      <w:r>
        <w:rPr>
          <w:i/>
          <w:iCs/>
          <w:sz w:val="18"/>
          <w:szCs w:val="18"/>
        </w:rPr>
        <w:t>Affiliation</w:t>
      </w:r>
      <w:r>
        <w:rPr>
          <w:i/>
          <w:sz w:val="18"/>
          <w:szCs w:val="18"/>
        </w:rPr>
        <w:t>)</w:t>
      </w:r>
    </w:p>
    <w:p>
      <w:pPr>
        <w:pStyle w:val="Normal"/>
        <w:spacing w:before="0" w:after="0"/>
        <w:ind w:hanging="0"/>
        <w:rPr>
          <w:sz w:val="18"/>
          <w:szCs w:val="18"/>
        </w:rPr>
      </w:pPr>
      <w:r>
        <w:rPr>
          <w:i/>
          <w:sz w:val="18"/>
          <w:szCs w:val="18"/>
        </w:rPr>
        <w:t>Padre Conceicao College Of Engineering(Goa University) Verna,Goa</w:t>
      </w:r>
    </w:p>
    <w:p>
      <w:pPr>
        <w:pStyle w:val="Normal"/>
        <w:spacing w:before="0" w:after="0"/>
        <w:ind w:hanging="0"/>
        <w:rPr>
          <w:sz w:val="18"/>
          <w:szCs w:val="18"/>
        </w:rPr>
      </w:pPr>
      <w:r>
        <w:rPr>
          <w:i/>
          <w:sz w:val="18"/>
          <w:szCs w:val="18"/>
        </w:rPr>
        <w:t>21ce20.gaurang@pccegoa.edu.in</w:t>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r>
    </w:p>
    <w:p>
      <w:pPr>
        <w:pStyle w:val="Abstract"/>
        <w:rPr>
          <w:i/>
          <w:i/>
          <w:iCs/>
        </w:rPr>
      </w:pPr>
      <w:r>
        <w:rPr>
          <w:i/>
          <w:iCs/>
        </w:rPr>
        <w:t>Abstract</w:t>
      </w:r>
      <w:r>
        <w:rPr/>
        <w:t>—The Automotive Diagnostic and Activity Monitoring system help owners to know about their 4 wheeler vehicle engine health and also offers blackbox for forensic purposes. The ADAM system is a collections of various modules such as GLOBAL POSITIONING SYSTEM (GPS), GYROSCOPE &amp; ACCELEROMETER (MPU6050), VIBRATION SENSOR (SW-420) along with this it monitors ELECTRONIC CONTROLLER UNIT (ECU) using communication interface called ON-Board Diagnostic (OBD) port.This adam system collects and monitors all the sensor data and store it securely in sd card. The collected data is stored in postgres database and accessed by machine learning models 1.Engine Health Monitoring 2. Fuel Economy 3. Driver Behaviour 4. Predictive Maintaenance . All this models result is reflected on a dedicated mobile application which visualise in terms of graph and charts along with this we implemented an interactive chatbot that helps find user queries and provides neccessary actions to performs.</w:t>
      </w:r>
    </w:p>
    <w:p>
      <w:pPr>
        <w:pStyle w:val="Keywords"/>
        <w:rPr/>
      </w:pPr>
      <w:r>
        <w:rPr/>
        <w:t>Keywords—raspberry pi 5, vehicle safety,</w:t>
      </w:r>
      <w:r>
        <w:rPr/>
        <w:t>machine learning</w:t>
      </w:r>
    </w:p>
    <w:p>
      <w:pPr>
        <w:pStyle w:val="Heading1"/>
        <w:ind w:hanging="0" w:start="0"/>
        <w:rPr/>
      </w:pPr>
      <w:r>
        <w:rPr/>
        <w:t xml:space="preserve">Introduction </w:t>
      </w:r>
    </w:p>
    <w:p>
      <w:pPr>
        <w:pStyle w:val="BodyText"/>
        <w:rPr/>
      </w:pPr>
      <w:r>
        <w:rPr/>
        <w:t xml:space="preserve"> </w:t>
      </w:r>
      <w:r>
        <w:rPr/>
        <w:t>The on-board diagnostic (OBD) system is a 16 pins connector which is a standardised port in all modern cars which was devloped by the society of Automotive Engineers (SAE). Reading sensors real time and diagnostic codes can be measured from Electronic Control Unit (ECU).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pPr>
        <w:pStyle w:val="Heading1"/>
        <w:ind w:hanging="0" w:start="0"/>
        <w:rPr/>
      </w:pPr>
      <w:r>
        <w:rPr/>
        <w:t>Ease of Use</w:t>
      </w:r>
    </w:p>
    <w:p>
      <w:pPr>
        <w:pStyle w:val="Heading2"/>
        <w:ind w:hanging="0" w:start="0"/>
        <w:rPr/>
      </w:pPr>
      <w:r>
        <w:rPr/>
        <w:t>Selecting a Template (Heading 2)</w:t>
      </w:r>
    </w:p>
    <w:p>
      <w:pPr>
        <w:pStyle w:val="BodyText"/>
        <w:rPr/>
      </w:pPr>
      <w:r>
        <w:rPr/>
        <w:t xml:space="preserve">First, confirm that you have the correct template for your paper size. This template has been tailored for output on the </w:t>
      </w:r>
      <w:r>
        <w:rPr>
          <w:lang w:val="en-US"/>
        </w:rPr>
        <w:t>A4</w:t>
      </w:r>
      <w:r>
        <w:rPr/>
        <w:t xml:space="preserve"> paper size. If you are using </w:t>
      </w:r>
      <w:r>
        <w:rPr>
          <w:lang w:val="en-US"/>
        </w:rPr>
        <w:t>US letter</w:t>
      </w:r>
      <w:r>
        <w:rPr/>
        <w:t xml:space="preserve">-sized paper, please close this file and download the </w:t>
      </w:r>
      <w:r>
        <w:rPr>
          <w:lang w:val="en-US"/>
        </w:rPr>
        <w:t xml:space="preserve">Microsoft Word, Letter </w:t>
      </w:r>
      <w:r>
        <w:rPr/>
        <w:t>file.</w:t>
      </w:r>
    </w:p>
    <w:p>
      <w:pPr>
        <w:pStyle w:val="Heading2"/>
        <w:ind w:hanging="0" w:start="0"/>
        <w:rPr/>
      </w:pPr>
      <w:r>
        <w:rPr/>
        <w:t>Maintaining the Integrity of the Specifications</w:t>
      </w:r>
    </w:p>
    <w:p>
      <w:pPr>
        <w:pStyle w:val="BodyText"/>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start="0"/>
        <w:rPr/>
      </w:pPr>
      <w:r>
        <w:rPr/>
        <w:t>Prepare Your Paper Before Styling</w:t>
      </w:r>
    </w:p>
    <w:p>
      <w:pPr>
        <w:pStyle w:val="BodyText"/>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BodyText"/>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ind w:hanging="0" w:start="0"/>
        <w:rPr/>
      </w:pPr>
      <w:r>
        <w:rPr/>
        <w:t>Abbreviations and Acronyms</w:t>
      </w:r>
    </w:p>
    <w:p>
      <w:pPr>
        <w:pStyle w:val="BodyText"/>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ind w:hanging="0" w:start="0"/>
        <w:rPr/>
      </w:pPr>
      <w:r>
        <w:rPr/>
        <w:t>Units</w:t>
      </w:r>
    </w:p>
    <w:p>
      <w:pPr>
        <w:pStyle w:val="bulletlist"/>
        <w:numPr>
          <w:ilvl w:val="0"/>
          <w:numId w:val="2"/>
        </w:numPr>
        <w:ind w:hanging="288" w:start="576"/>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hanging="288" w:start="576"/>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hanging="288" w:start="576"/>
        <w:rPr/>
      </w:pPr>
      <w:r>
        <w:rPr/>
        <w:t>Do not mix complete spellings and abbreviations of units: “Wb/m2” or “webers per square meter”, not “webers/m2”.  Spell out units when they appear in text: “. . . a few henries”, not “. . . a few H”.</w:t>
      </w:r>
    </w:p>
    <w:p>
      <w:pPr>
        <w:pStyle w:val="bulletlist"/>
        <w:numPr>
          <w:ilvl w:val="0"/>
          <w:numId w:val="2"/>
        </w:numPr>
        <w:ind w:hanging="288" w:start="576"/>
        <w:rPr/>
      </w:pPr>
      <w:r>
        <w:rPr/>
        <w:t>Use a zero before decimal points: “0.25”, not “.25”. Use “cm3”, not “cc”. (</w:t>
      </w:r>
      <w:r>
        <w:rPr>
          <w:i/>
          <w:iCs/>
        </w:rPr>
        <w:t>bullet list</w:t>
      </w:r>
      <w:r>
        <mc:AlternateContent>
          <mc:Choice Requires="wps">
            <w:drawing>
              <wp:anchor behindDoc="0" distT="0" distB="0" distL="0" distR="0" simplePos="0" locked="0" layoutInCell="0" allowOverlap="1" relativeHeight="2">
                <wp:simplePos x="0" y="0"/>
                <wp:positionH relativeFrom="page">
                  <wp:posOffset>582930</wp:posOffset>
                </wp:positionH>
                <wp:positionV relativeFrom="page">
                  <wp:posOffset>9601835</wp:posOffset>
                </wp:positionV>
                <wp:extent cx="2915920" cy="265430"/>
                <wp:effectExtent l="0" t="0" r="0" b="0"/>
                <wp:wrapSquare wrapText="largest"/>
                <wp:docPr id="1" name="Frame1"/>
                <a:graphic xmlns:a="http://schemas.openxmlformats.org/drawingml/2006/main">
                  <a:graphicData uri="http://schemas.microsoft.com/office/word/2010/wordprocessingShape">
                    <wps:wsp>
                      <wps:cNvSpPr/>
                      <wps:spPr>
                        <a:xfrm>
                          <a:off x="0" y="0"/>
                          <a:ext cx="2916000" cy="265320"/>
                        </a:xfrm>
                        <a:prstGeom prst="rect">
                          <a:avLst/>
                        </a:prstGeom>
                        <a:noFill/>
                        <a:ln w="0">
                          <a:noFill/>
                        </a:ln>
                      </wps:spPr>
                      <wps:style>
                        <a:lnRef idx="0"/>
                        <a:fillRef idx="0"/>
                        <a:effectRef idx="0"/>
                        <a:fontRef idx="minor"/>
                      </wps:style>
                      <wps:txbx>
                        <w:txbxContent>
                          <w:p>
                            <w:pPr>
                              <w:pStyle w:val="sponsors"/>
                              <w:pBdr>
                                <w:top w:val="nil"/>
                              </w:pBdr>
                              <w:ind w:firstLine="289"/>
                              <w:rPr/>
                            </w:pPr>
                            <w:r>
                              <w:rPr>
                                <w:color w:val="000000"/>
                              </w:rPr>
                              <w:t xml:space="preserve">Identify applicable funding agency here. </w:t>
                            </w:r>
                            <w:r>
                              <w:rPr>
                                <w:iCs/>
                                <w:color w:val="000000"/>
                              </w:rPr>
                              <w:t>If none, delete this text box.</w:t>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45.9pt;margin-top:756.05pt;width:229.55pt;height:20.85pt;mso-wrap-style:square;v-text-anchor:top;mso-position-horizontal-relative:page;mso-position-vertical-relative:page">
                <v:fill o:detectmouseclick="t" on="false"/>
                <v:stroke color="#3465a4" joinstyle="round" endcap="flat"/>
                <v:textbox>
                  <w:txbxContent>
                    <w:p>
                      <w:pPr>
                        <w:pStyle w:val="sponsors"/>
                        <w:pBdr>
                          <w:top w:val="nil"/>
                        </w:pBdr>
                        <w:ind w:firstLine="289"/>
                        <w:rPr/>
                      </w:pPr>
                      <w:r>
                        <w:rPr>
                          <w:color w:val="000000"/>
                        </w:rPr>
                        <w:t xml:space="preserve">Identify applicable funding agency here. </w:t>
                      </w:r>
                      <w:r>
                        <w:rPr>
                          <w:iCs/>
                          <w:color w:val="000000"/>
                        </w:rPr>
                        <w:t>If none, delete this text box.</w:t>
                      </w:r>
                    </w:p>
                  </w:txbxContent>
                </v:textbox>
                <w10:wrap type="square" side="largest"/>
              </v:rect>
            </w:pict>
          </mc:Fallback>
        </mc:AlternateContent>
      </w:r>
      <w:r>
        <w:rPr/>
        <w:t>)</w:t>
      </w:r>
    </w:p>
    <w:p>
      <w:pPr>
        <w:pStyle w:val="Heading2"/>
        <w:ind w:hanging="0" w:start="0"/>
        <w:rPr/>
      </w:pPr>
      <w:r>
        <w:rPr/>
        <w:t>Equations</w:t>
      </w:r>
    </w:p>
    <w:p>
      <w:pPr>
        <w:pStyle w:val="BodyText"/>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BodyText"/>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BodyText"/>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ind w:hanging="0" w:start="0"/>
        <w:rPr/>
      </w:pPr>
      <w:r>
        <w:rPr/>
        <w:t>Some Common Mistakes</w:t>
      </w:r>
    </w:p>
    <w:p>
      <w:pPr>
        <w:pStyle w:val="bulletlist"/>
        <w:numPr>
          <w:ilvl w:val="0"/>
          <w:numId w:val="2"/>
        </w:numPr>
        <w:ind w:hanging="288" w:start="576"/>
        <w:rPr/>
      </w:pPr>
      <w:r>
        <w:rPr/>
        <w:t>The word “data” is plural, not singular.</w:t>
      </w:r>
    </w:p>
    <w:p>
      <w:pPr>
        <w:pStyle w:val="bulletlist"/>
        <w:numPr>
          <w:ilvl w:val="0"/>
          <w:numId w:val="2"/>
        </w:numPr>
        <w:ind w:hanging="288" w:start="576"/>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hanging="288" w:start="576"/>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hanging="288" w:start="576"/>
        <w:rPr/>
      </w:pPr>
      <w:r>
        <w:rPr/>
        <w:t>A graph within a graph is an “inset”, not an “insert”. The word alternatively is preferred to the word “alternately” (unless you really mean something that alternates).</w:t>
      </w:r>
    </w:p>
    <w:p>
      <w:pPr>
        <w:pStyle w:val="bulletlist"/>
        <w:numPr>
          <w:ilvl w:val="0"/>
          <w:numId w:val="2"/>
        </w:numPr>
        <w:ind w:hanging="288" w:start="576"/>
        <w:rPr/>
      </w:pPr>
      <w:r>
        <w:rPr/>
        <w:t>Do not use the word “essentially” to mean “approximately” or “effectively”.</w:t>
      </w:r>
    </w:p>
    <w:p>
      <w:pPr>
        <w:pStyle w:val="bulletlist"/>
        <w:numPr>
          <w:ilvl w:val="0"/>
          <w:numId w:val="2"/>
        </w:numPr>
        <w:ind w:hanging="288" w:start="576"/>
        <w:rPr/>
      </w:pPr>
      <w:r>
        <w:rPr/>
        <w:t>In your paper title, if the words “that uses” can accurately replace the word “using”, capitalize the “u”; if not, keep using lower-cased.</w:t>
      </w:r>
    </w:p>
    <w:p>
      <w:pPr>
        <w:pStyle w:val="bulletlist"/>
        <w:numPr>
          <w:ilvl w:val="0"/>
          <w:numId w:val="2"/>
        </w:numPr>
        <w:ind w:hanging="288" w:start="576"/>
        <w:rPr/>
      </w:pPr>
      <w:r>
        <w:rPr/>
        <w:t>Be aware of the different meanings of the homophones “affect” and “effect”, “complement” and “compliment”, “discreet” and “discrete”, “principal” and “principle”.</w:t>
      </w:r>
    </w:p>
    <w:p>
      <w:pPr>
        <w:pStyle w:val="bulletlist"/>
        <w:numPr>
          <w:ilvl w:val="0"/>
          <w:numId w:val="2"/>
        </w:numPr>
        <w:ind w:hanging="288" w:start="576"/>
        <w:rPr/>
      </w:pPr>
      <w:r>
        <w:rPr/>
        <w:t>Do not confuse “imply” and “infer”.</w:t>
      </w:r>
    </w:p>
    <w:p>
      <w:pPr>
        <w:pStyle w:val="bulletlist"/>
        <w:numPr>
          <w:ilvl w:val="0"/>
          <w:numId w:val="2"/>
        </w:numPr>
        <w:ind w:hanging="288" w:start="576"/>
        <w:rPr/>
      </w:pPr>
      <w:r>
        <w:rPr/>
        <w:t>The prefix “non” is not a word; it should be joined to the word it modifies, usually without a hyphen.</w:t>
      </w:r>
    </w:p>
    <w:p>
      <w:pPr>
        <w:pStyle w:val="bulletlist"/>
        <w:numPr>
          <w:ilvl w:val="0"/>
          <w:numId w:val="2"/>
        </w:numPr>
        <w:ind w:hanging="288" w:start="576"/>
        <w:rPr/>
      </w:pPr>
      <w:r>
        <w:rPr/>
        <w:t>There is no period after the “et” in the Latin abbreviation “et al.”.</w:t>
      </w:r>
    </w:p>
    <w:p>
      <w:pPr>
        <w:pStyle w:val="bulletlist"/>
        <w:numPr>
          <w:ilvl w:val="0"/>
          <w:numId w:val="2"/>
        </w:numPr>
        <w:ind w:hanging="288" w:start="576"/>
        <w:rPr/>
      </w:pPr>
      <w:r>
        <w:rPr/>
        <w:t>The abbreviation “i.e.” means “that is”, and the abbreviation “e.g.” means “for example”.</w:t>
      </w:r>
    </w:p>
    <w:p>
      <w:pPr>
        <w:pStyle w:val="BodyText"/>
        <w:rPr/>
      </w:pPr>
      <w:r>
        <w:rPr/>
        <w:t>An excellent style manual for science writers is [7].</w:t>
      </w:r>
    </w:p>
    <w:p>
      <w:pPr>
        <w:pStyle w:val="Heading1"/>
        <w:ind w:hanging="0" w:start="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ind w:hanging="0" w:start="0"/>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start="0"/>
        <w:rPr/>
      </w:pPr>
      <w:r>
        <w:rPr/>
        <w:t xml:space="preserve">For papers with more than six authors: </w:t>
      </w:r>
      <w:r>
        <w:rPr>
          <w:i w:val="false"/>
        </w:rPr>
        <w:t>Add author names horizontally, moving to a third row if needed for more than 8 authors.</w:t>
      </w:r>
    </w:p>
    <w:p>
      <w:pPr>
        <w:pStyle w:val="Heading3"/>
        <w:ind w:firstLine="288" w:start="0"/>
        <w:rPr/>
      </w:pPr>
      <w:r>
        <w:rPr/>
        <w:t xml:space="preserve">For papers with less than six authors: </w:t>
      </w:r>
      <w:r>
        <w:rPr>
          <w:i w:val="false"/>
        </w:rPr>
        <w:t>To change the default, adjust the template as follows.</w:t>
      </w:r>
    </w:p>
    <w:p>
      <w:pPr>
        <w:pStyle w:val="Heading4"/>
        <w:ind w:firstLine="504" w:start="0"/>
        <w:rPr/>
      </w:pPr>
      <w:r>
        <w:rPr/>
        <w:t xml:space="preserve">Selection: </w:t>
      </w:r>
      <w:r>
        <w:rPr>
          <w:i w:val="false"/>
        </w:rPr>
        <w:t>Highlight all author and affiliation lines.</w:t>
      </w:r>
    </w:p>
    <w:p>
      <w:pPr>
        <w:pStyle w:val="Heading4"/>
        <w:ind w:firstLine="504" w:start="0"/>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start="0"/>
        <w:rPr>
          <w:i w:val="false"/>
          <w:i w:val="false"/>
        </w:rPr>
      </w:pPr>
      <w:r>
        <w:rPr/>
        <w:t xml:space="preserve">Deletion: </w:t>
      </w:r>
      <w:r>
        <w:rPr>
          <w:i w:val="false"/>
        </w:rPr>
        <w:t>Delete the author and affiliation lines for the extra authors.</w:t>
      </w:r>
    </w:p>
    <w:p>
      <w:pPr>
        <w:pStyle w:val="Normal"/>
        <w:jc w:val="start"/>
        <w:rPr>
          <w:i/>
          <w:i/>
          <w:iCs/>
        </w:rPr>
      </w:pPr>
      <w:r>
        <w:rPr>
          <w:i/>
          <w:iCs/>
        </w:rPr>
      </w:r>
    </w:p>
    <w:p>
      <w:pPr>
        <w:pStyle w:val="Heading2"/>
        <w:ind w:hanging="0" w:start="0"/>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ind w:hanging="0" w:start="0"/>
        <w:rPr/>
      </w:pPr>
      <w:r>
        <w:rPr/>
        <w:t>Figures and Tables</w:t>
      </w:r>
    </w:p>
    <w:p>
      <w:pPr>
        <w:pStyle w:val="Heading4"/>
        <w:ind w:firstLine="504" w:start="0"/>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start w:w="108" w:type="dxa"/>
          <w:bottom w:w="0" w:type="dxa"/>
          <w:end w:w="108" w:type="dxa"/>
        </w:tblCellMar>
      </w:tblPr>
      <w:tblGrid>
        <w:gridCol w:w="718"/>
        <w:gridCol w:w="2340"/>
        <w:gridCol w:w="900"/>
        <w:gridCol w:w="901"/>
      </w:tblGrid>
      <w:tr>
        <w:trPr>
          <w:tblHeader w:val="true"/>
          <w:trHeight w:val="240" w:hRule="atLeast"/>
          <w:cantSplit w:val="true"/>
        </w:trPr>
        <w:tc>
          <w:tcPr>
            <w:tcW w:w="718"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141" w:type="dxa"/>
            <w:gridSpan w:val="3"/>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8" w:type="dxa"/>
            <w:vMerge w:val="continue"/>
            <w:tcBorders>
              <w:top w:val="single" w:sz="2" w:space="0" w:color="000000"/>
              <w:start w:val="single" w:sz="2" w:space="0" w:color="000000"/>
              <w:bottom w:val="single" w:sz="2" w:space="0" w:color="000000"/>
              <w:end w:val="single" w:sz="2" w:space="0" w:color="000000"/>
            </w:tcBorders>
          </w:tcPr>
          <w:p>
            <w:pPr>
              <w:pStyle w:val="Normal"/>
              <w:rPr/>
            </w:pPr>
            <w:r>
              <w:rPr/>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r>
      <w:tr>
        <w:trPr>
          <w:trHeight w:val="320" w:hRule="atLeast"/>
        </w:trPr>
        <w:tc>
          <w:tcPr>
            <w:tcW w:w="718"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ind w:hanging="0" w:start="0"/>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Heading5"/>
        <w:ind w:hanging="0" w:start="0"/>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t xml:space="preserve">K. Eves and J. Valasek, “Adaptive control for singularly perturbed systems examples,” Code Ocean, Aug. 2023. [Online]. Available: </w:t>
      </w:r>
      <w:hyperlink r:id="rId5">
        <w:r>
          <w:rPr>
            <w:rStyle w:val="Style4"/>
          </w:rPr>
          <w:t>https://codeocean.com/capsule/4989235/tree</w:t>
        </w:r>
      </w:hyperlink>
      <w:r>
        <w:rPr/>
        <w:t xml:space="preserve"> </w:t>
      </w:r>
    </w:p>
    <w:p>
      <w:pPr>
        <w:pStyle w:val="references"/>
        <w:numPr>
          <w:ilvl w:val="0"/>
          <w:numId w:val="5"/>
        </w:numPr>
        <w:ind w:hanging="354" w:start="354"/>
        <w:jc w:val="start"/>
        <w:rPr/>
      </w:pPr>
      <w:r>
        <w:rPr/>
        <w:t xml:space="preserve">D. P. Kingma and M. Welling, “Auto-encoding variational Bayes,” 2013, arXiv:1312.6114. [Online]. Available: </w:t>
      </w:r>
      <w:hyperlink r:id="rId6">
        <w:r>
          <w:rPr>
            <w:rStyle w:val="Style4"/>
          </w:rPr>
          <w:t>https://arxiv.org/abs/1312.6114</w:t>
        </w:r>
      </w:hyperlink>
    </w:p>
    <w:p>
      <w:pPr>
        <w:pStyle w:val="references"/>
        <w:numPr>
          <w:ilvl w:val="0"/>
          <w:numId w:val="5"/>
        </w:numPr>
        <w:ind w:hanging="354" w:start="354"/>
        <w:jc w:val="start"/>
        <w:rPr/>
      </w:pPr>
      <w:r>
        <w:rPr/>
        <w:t xml:space="preserve">S. Liu, “Wi-Fi Energy Detection Testbed (12MTC),” 2023, gitHub repository. [Online]. Available: https://github.com/liustone99/Wi-Fi-Energy-Detection-Testbed-12MTC </w:t>
      </w:r>
    </w:p>
    <w:p>
      <w:pPr>
        <w:pStyle w:val="references"/>
        <w:numPr>
          <w:ilvl w:val="0"/>
          <w:numId w:val="5"/>
        </w:numPr>
        <w:ind w:hanging="354" w:start="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360" w:start="360"/>
        <w:jc w:val="center"/>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5"/>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hyphenationZone w:val="36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pPr>
      <w:numPr>
        <w:ilvl w:val="2"/>
        <w:numId w:val="1"/>
      </w:numPr>
      <w:spacing w:lineRule="exact" w:line="240"/>
      <w:ind w:firstLine="288"/>
      <w:jc w:val="both"/>
      <w:outlineLvl w:val="2"/>
    </w:pPr>
    <w:rPr>
      <w:i/>
      <w:iCs/>
    </w:rPr>
  </w:style>
  <w:style w:type="paragraph" w:styleId="Heading4">
    <w:name w:val="heading 4"/>
    <w:basedOn w:val="Normal"/>
    <w:next w:val="Normal"/>
    <w:qFormat/>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numPr>
        <w:ilvl w:val="0"/>
        <w:numId w:val="0"/>
      </w:numPr>
      <w:tabs>
        <w:tab w:val="clear" w:pos="720"/>
        <w:tab w:val="left" w:pos="360" w:leader="none"/>
      </w:tabs>
      <w:spacing w:before="160" w:after="80"/>
      <w:outlineLvl w:val="4"/>
    </w:pPr>
    <w:rPr>
      <w:smallCaps/>
    </w:rPr>
  </w:style>
  <w:style w:type="character" w:styleId="DefaultParagraphFont">
    <w:name w:val="Default Paragraph Font"/>
    <w:qFormat/>
    <w:rPr/>
  </w:style>
  <w:style w:type="character" w:styleId="BodyTextChar">
    <w:name w:val="Body Text Char"/>
    <w:qFormat/>
    <w:rPr>
      <w:spacing w:val="-1"/>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name w:val="Abstract"/>
    <w:qFormat/>
    <w:pPr>
      <w:widowControl/>
      <w:suppressAutoHyphens w:val="true"/>
      <w:overflowPunct w:val="fals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name w:val="Affiliation"/>
    <w:qFormat/>
    <w:pPr>
      <w:widowControl/>
      <w:suppressAutoHyphens w:val="true"/>
      <w:overflowPunct w:val="fals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name w:val="Author"/>
    <w:qFormat/>
    <w:pPr>
      <w:widowControl/>
      <w:suppressAutoHyphens w:val="true"/>
      <w:overflowPunct w:val="fals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name w:val="bullet list"/>
    <w:basedOn w:val="BodyText"/>
    <w:qFormat/>
    <w:pPr>
      <w:numPr>
        <w:ilvl w:val="0"/>
        <w:numId w:val="2"/>
      </w:numPr>
      <w:ind w:hanging="288" w:start="576"/>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3"/>
      </w:numPr>
      <w:tabs>
        <w:tab w:val="clear" w:pos="720"/>
        <w:tab w:val="left" w:pos="533" w:leader="none"/>
      </w:tabs>
      <w:suppressAutoHyphens w:val="true"/>
      <w:overflowPunct w:val="fals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name w:val="footnote"/>
    <w:qFormat/>
    <w:pPr>
      <w:widowControl/>
      <w:numPr>
        <w:ilvl w:val="0"/>
        <w:numId w:val="4"/>
      </w:numPr>
      <w:suppressAutoHyphens w:val="true"/>
      <w:overflowPunct w:val="fals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name w:val="paper subtitle"/>
    <w:qFormat/>
    <w:pPr>
      <w:widowControl/>
      <w:suppressAutoHyphens w:val="true"/>
      <w:overflowPunct w:val="fals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name w:val="paper title"/>
    <w:qFormat/>
    <w:pPr>
      <w:widowControl/>
      <w:suppressAutoHyphens w:val="true"/>
      <w:overflowPunct w:val="fals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name w:val="references"/>
    <w:qFormat/>
    <w:pPr>
      <w:widowControl/>
      <w:numPr>
        <w:ilvl w:val="0"/>
        <w:numId w:val="5"/>
      </w:numPr>
      <w:suppressAutoHyphens w:val="true"/>
      <w:overflowPunct w:val="fals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name w:val="sponsors"/>
    <w:qFormat/>
    <w:pPr>
      <w:widowControl/>
      <w:pBdr>
        <w:top w:val="single" w:sz="4" w:space="2" w:color="000000"/>
      </w:pBdr>
      <w:suppressAutoHyphens w:val="true"/>
      <w:overflowPunct w:val="fals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suppressAutoHyphens w:val="true"/>
      <w:overflowPunct w:val="fals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name w:val="table footnote"/>
    <w:qFormat/>
    <w:pPr>
      <w:widowControl/>
      <w:numPr>
        <w:ilvl w:val="0"/>
        <w:numId w:val="7"/>
      </w:numPr>
      <w:suppressAutoHyphens w:val="true"/>
      <w:overflowPunct w:val="fals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name w:val="table head"/>
    <w:qFormat/>
    <w:pPr>
      <w:widowControl/>
      <w:numPr>
        <w:ilvl w:val="0"/>
        <w:numId w:val="6"/>
      </w:numPr>
      <w:suppressAutoHyphens w:val="true"/>
      <w:overflowPunct w:val="fals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name w:val="Keywords"/>
    <w:basedOn w:val="Abstract"/>
    <w:qFormat/>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pPr>
    <w:rPr/>
  </w:style>
  <w:style w:type="paragraph" w:styleId="Footer">
    <w:name w:val="footer"/>
    <w:basedOn w:val="Normal"/>
    <w:link w:val="FooterChar"/>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419</TotalTime>
  <Application>LibreOffice/24.8.4.2$Linux_X86_64 LibreOffice_project/480$Build-2</Application>
  <AppVersion>15.0000</AppVersion>
  <Pages>3</Pages>
  <Words>2473</Words>
  <Characters>13179</Characters>
  <CharactersWithSpaces>15503</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en-IN</dc:language>
  <cp:lastModifiedBy/>
  <cp:lastPrinted>2025-03-03T23:40:31Z</cp:lastPrinted>
  <dcterms:modified xsi:type="dcterms:W3CDTF">2025-03-08T01:13:16Z</dcterms:modified>
  <cp:revision>9</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