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40"/>
          <w:szCs w:val="40"/>
        </w:rPr>
        <w:t xml:space="preserve">Recruiting OS — Full Audit &amp; Remediation Plan</w:t>
      </w:r>
    </w:p>
    <w:p>
      <w:pPr>
        <w:spacing w:after="40"/>
      </w:pPr>
      <w:r>
        <w:rPr>
          <w:color w:val="2E2E2E"/>
          <w:sz w:val="24"/>
          <w:szCs w:val="24"/>
        </w:rPr>
        <w:t xml:space="preserve">Candidate Prescreen &amp; Tracking Automation</w:t>
      </w:r>
    </w:p>
    <w:p>
      <w:pPr>
        <w:spacing w:after="200"/>
      </w:pPr>
      <w:r>
        <w:rPr>
          <w:color w:val="595959"/>
          <w:sz w:val="20"/>
          <w:szCs w:val="20"/>
        </w:rPr>
        <w:t xml:space="preserve">Prepared for Travis Burd, General Manager  •  June 18, 2026</w:t>
      </w:r>
    </w:p>
    <w:p>
      <w:pPr>
        <w:spacing w:after="120"/>
      </w:pPr>
      <w:r>
        <w:rPr>
          <w:i/>
          <w:iCs/>
          <w:color w:val="595959"/>
          <w:sz w:val="20"/>
          <w:szCs w:val="20"/>
        </w:rPr>
        <w:t xml:space="preserve">Scope: full review of the uploaded Apps Script project (41 files, ~18,700 lines) and the live “_Frank’s Recruiting OS [LIVE]” workbook, targeting three questions — why some tabs aren’t loading with data, why automation steps fail silently, and whether the system is over-complicated versus best practice. The companion file Franks_Recruiting_OS_Fix_Tracker.xlsx contains all 25 findings as a working checklist.</w:t>
      </w:r>
    </w:p>
    <w:p>
      <w:pPr>
        <w:spacing w:after="200"/>
      </w:pPr>
      <w:r>
        <w:rPr>
          <w:i/>
          <w:iCs/>
          <w:color w:val="595959"/>
          <w:sz w:val="18"/>
          <w:szCs w:val="18"/>
        </w:rPr>
        <w:t xml:space="preserve">Note: the Candidate Tracker spreadsheet could not be opened through the connector (blocked from AI access), so this audit reflects the Recruiting OS workbook and the code. Re-run against the Tracker once access is granted.</w:t>
      </w:r>
    </w:p>
    <w:p>
      <w:pPr>
        <w:pStyle w:val="Heading1"/>
      </w:pPr>
      <w:r>
        <w:t xml:space="preserve">1. Current Status</w:t>
      </w:r>
    </w:p>
    <w:p>
      <w:pPr>
        <w:spacing w:after="120"/>
      </w:pPr>
      <w:r>
        <w:t xml:space="preserve">The system is structurally sound and, in places, genuinely well-built — the email-safety design (TEST/LIVE mode, recipient rerouting, once-only send ledger) is excellent. The problem is not broken code so much as a system that is muted, under-configured, and far larger than a single shop needs, with failures that hide instead of surfacing.</w:t>
      </w:r>
    </w:p>
    <w:p>
      <w:pPr>
        <w:spacing w:after="120"/>
      </w:pPr>
      <w:r>
        <w:rPr>
          <w:b/>
          <w:bCs/>
        </w:rPr>
        <w:t xml:space="preserve">What’s working: </w:t>
      </w:r>
      <w:r>
        <w:t xml:space="preserve">Intake, pre-screen scoring, the manager pipeline + dropdown, and the email queue itself all run; 174 emails have sent, the Event Log has 5,000+ rows, and the daily digest fires.</w:t>
      </w:r>
    </w:p>
    <w:p>
      <w:pPr>
        <w:spacing w:after="120"/>
      </w:pPr>
      <w:r>
        <w:rPr>
          <w:b/>
          <w:bCs/>
        </w:rPr>
        <w:t xml:space="preserve">What’s not: </w:t>
      </w:r>
      <w:r>
        <w:t xml:space="preserve">The single biggest factor is that the OS is still in TEST mode with sending disabled (SEND_ENABLED=FALSE). In that state the code deliberately blanks every candidate address, which then permanently blocks queued mail and starves every tab that depends on candidates replying or submitting forms. Layered on top are real defects: an email queue that can’t drain, a risk-audit writer wired to nothing, an AI key missing from Config, transcript sources switched off, and repair jobs that quietly give up halfway.</w:t>
      </w:r>
    </w:p>
    <w:p>
      <w:pPr>
        <w:spacing w:after="120"/>
      </w:pPr>
      <w:r>
        <w:rPr>
          <w:b/>
          <w:bCs/>
        </w:rPr>
        <w:t xml:space="preserve">What needs attention most: </w:t>
      </w:r>
      <w:r>
        <w:t xml:space="preserve">The empty tabs and “silent failures” are mostly explained by five Critical items (F1–F5). Fix those and the majority of symptoms resolve. The deeper risk is complexity: at ~18,700 lines with ~150 error-swallowing catch blocks, the system has many quiet ways to stop working — which is exactly what you’re experiencing.</w:t>
      </w:r>
    </w:p>
    <w:p>
      <w:pPr>
        <w:pStyle w:val="Heading1"/>
      </w:pPr>
      <w:r>
        <w:t xml:space="preserve">2. Findings</w:t>
      </w:r>
    </w:p>
    <w:p>
      <w:pPr>
        <w:spacing w:after="120"/>
      </w:pPr>
      <w:r>
        <w:t xml:space="preserve">25 findings, grouped by severity. Full impact and step-level fixes are in the tracker; the table below is the summary.</w:t>
      </w:r>
    </w:p>
    <w:p>
      <w:pPr>
        <w:spacing w:after="120"/>
      </w:pPr>
      <w:r>
        <w:rPr>
          <w:i/>
          <w:iCs/>
          <w:color w:val="595959"/>
          <w:sz w:val="18"/>
          <w:szCs w:val="18"/>
        </w:rPr>
        <w:t xml:space="preserve">Severity key: Critical = candidates lost / wrong or no emails / failure with no visibility. High = breaks an important workflow (manual workaround exists). Medium = inefficiency, confusion, or reporting gaps. Info = not a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150"/>
        <w:gridCol w:w="3700"/>
        <w:gridCol w:w="3690"/>
      </w:tblGrid>
      <w:tr>
        <w:trPr>
          <w:tblHeader/>
        </w:trPr>
        <w:tc>
          <w:tcPr>
            <w:tcW w:type="dxa" w:w="82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8"/>
                <w:szCs w:val="18"/>
              </w:rPr>
              <w:t xml:space="preserve">ID</w:t>
            </w:r>
          </w:p>
        </w:tc>
        <w:tc>
          <w:tcPr>
            <w:tcW w:type="dxa" w:w="115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8"/>
                <w:szCs w:val="18"/>
              </w:rPr>
              <w:t xml:space="preserve">Severity</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8"/>
                <w:szCs w:val="18"/>
              </w:rPr>
              <w:t xml:space="preserve">Issue</w:t>
            </w:r>
          </w:p>
        </w:tc>
        <w:tc>
          <w:tcPr>
            <w:tcW w:type="dxa" w:w="369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8"/>
                <w:szCs w:val="18"/>
              </w:rPr>
              <w:t xml:space="preserve">Recommended Fix</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w:t>
            </w:r>
          </w:p>
        </w:tc>
        <w:tc>
          <w:tcPr>
            <w:tcW w:type="dxa" w:w="1150"/>
            <w:tcBorders>
              <w:top w:val="single" w:color="BFBFBF" w:sz="1"/>
              <w:left w:val="single" w:color="BFBFBF" w:sz="1"/>
              <w:bottom w:val="single" w:color="BFBFBF" w:sz="1"/>
              <w:right w:val="single" w:color="BFBFBF" w:sz="1"/>
            </w:tcBorders>
            <w:shd w:fill="C00000" w:val="clear"/>
            <w:tcMar>
              <w:top w:type="dxa" w:w="60"/>
              <w:left w:type="dxa" w:w="100"/>
              <w:bottom w:type="dxa" w:w="60"/>
              <w:right w:type="dxa" w:w="100"/>
            </w:tcMar>
          </w:tcPr>
          <w:p>
            <w:pPr>
              <w:spacing w:after="0"/>
              <w:jc w:val="center"/>
            </w:pPr>
            <w:r>
              <w:rPr>
                <w:b/>
                <w:bCs/>
                <w:color w:val="FFFFFF"/>
                <w:sz w:val="18"/>
                <w:szCs w:val="18"/>
              </w:rPr>
              <w:t xml:space="preserve">Critical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System is in TEST mode with SEND_ENABLED=FALSE — the master switch silently blanks every recipient and prevents real sends.</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Treat as the intended pre-launch state; add a TEST-MODE banner; only go LIVE after the queue fix (F2).</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F2</w:t>
            </w:r>
          </w:p>
        </w:tc>
        <w:tc>
          <w:tcPr>
            <w:tcW w:type="dxa" w:w="1150"/>
            <w:tcBorders>
              <w:top w:val="single" w:color="BFBFBF" w:sz="1"/>
              <w:left w:val="single" w:color="BFBFBF" w:sz="1"/>
              <w:bottom w:val="single" w:color="BFBFBF" w:sz="1"/>
              <w:right w:val="single" w:color="BFBFBF" w:sz="1"/>
            </w:tcBorders>
            <w:shd w:fill="C00000" w:val="clear"/>
            <w:tcMar>
              <w:top w:type="dxa" w:w="60"/>
              <w:left w:type="dxa" w:w="100"/>
              <w:bottom w:type="dxa" w:w="60"/>
              <w:right w:type="dxa" w:w="100"/>
            </w:tcMar>
          </w:tcPr>
          <w:p>
            <w:pPr>
              <w:spacing w:after="0"/>
              <w:jc w:val="center"/>
            </w:pPr>
            <w:r>
              <w:rPr>
                <w:b/>
                <w:bCs/>
                <w:color w:val="FFFFFF"/>
                <w:sz w:val="18"/>
                <w:szCs w:val="18"/>
              </w:rPr>
              <w:t xml:space="preserve">Critical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45 queue rows are BLOCKED and never auto-recover; 25 have a blank recipient baked in. 2 stuck PENDING.</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Add BLOCKED to PENDING recovery; recompute recipient at send time; show BLOCKED count in the digest.</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F3</w:t>
            </w:r>
          </w:p>
        </w:tc>
        <w:tc>
          <w:tcPr>
            <w:tcW w:type="dxa" w:w="1150"/>
            <w:tcBorders>
              <w:top w:val="single" w:color="BFBFBF" w:sz="1"/>
              <w:left w:val="single" w:color="BFBFBF" w:sz="1"/>
              <w:bottom w:val="single" w:color="BFBFBF" w:sz="1"/>
              <w:right w:val="single" w:color="BFBFBF" w:sz="1"/>
            </w:tcBorders>
            <w:shd w:fill="C00000" w:val="clear"/>
            <w:tcMar>
              <w:top w:type="dxa" w:w="60"/>
              <w:left w:type="dxa" w:w="100"/>
              <w:bottom w:type="dxa" w:w="60"/>
              <w:right w:type="dxa" w:w="100"/>
            </w:tcMar>
          </w:tcPr>
          <w:p>
            <w:pPr>
              <w:spacing w:after="0"/>
              <w:jc w:val="center"/>
            </w:pPr>
            <w:r>
              <w:rPr>
                <w:b/>
                <w:bCs/>
                <w:color w:val="FFFFFF"/>
                <w:sz w:val="18"/>
                <w:szCs w:val="18"/>
              </w:rPr>
              <w:t xml:space="preserve">Critical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Email queue flush runs only once per day and caps at 50 per run, so a backlog can never drain.</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Reinstall the flush trigger to run every 15 minutes (already safe to run often).</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F4</w:t>
            </w:r>
          </w:p>
        </w:tc>
        <w:tc>
          <w:tcPr>
            <w:tcW w:type="dxa" w:w="1150"/>
            <w:tcBorders>
              <w:top w:val="single" w:color="BFBFBF" w:sz="1"/>
              <w:left w:val="single" w:color="BFBFBF" w:sz="1"/>
              <w:bottom w:val="single" w:color="BFBFBF" w:sz="1"/>
              <w:right w:val="single" w:color="BFBFBF" w:sz="1"/>
            </w:tcBorders>
            <w:shd w:fill="C00000" w:val="clear"/>
            <w:tcMar>
              <w:top w:type="dxa" w:w="60"/>
              <w:left w:type="dxa" w:w="100"/>
              <w:bottom w:type="dxa" w:w="60"/>
              <w:right w:type="dxa" w:w="100"/>
            </w:tcMar>
          </w:tcPr>
          <w:p>
            <w:pPr>
              <w:spacing w:after="0"/>
              <w:jc w:val="center"/>
            </w:pPr>
            <w:r>
              <w:rPr>
                <w:b/>
                <w:bCs/>
                <w:color w:val="FFFFFF"/>
                <w:sz w:val="18"/>
                <w:szCs w:val="18"/>
              </w:rPr>
              <w:t xml:space="preserve">Critical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'Risk Flags' tab is empty — its writer is on a manual menu only, never on a trigger; the live path doesn't write.</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Add a trigger for the risk review, or write the audit row inline during pre-screen scoring.</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F5</w:t>
            </w:r>
          </w:p>
        </w:tc>
        <w:tc>
          <w:tcPr>
            <w:tcW w:type="dxa" w:w="1150"/>
            <w:tcBorders>
              <w:top w:val="single" w:color="BFBFBF" w:sz="1"/>
              <w:left w:val="single" w:color="BFBFBF" w:sz="1"/>
              <w:bottom w:val="single" w:color="BFBFBF" w:sz="1"/>
              <w:right w:val="single" w:color="BFBFBF" w:sz="1"/>
            </w:tcBorders>
            <w:shd w:fill="C00000" w:val="clear"/>
            <w:tcMar>
              <w:top w:type="dxa" w:w="60"/>
              <w:left w:type="dxa" w:w="100"/>
              <w:bottom w:type="dxa" w:w="60"/>
              <w:right w:type="dxa" w:w="100"/>
            </w:tcMar>
          </w:tcPr>
          <w:p>
            <w:pPr>
              <w:spacing w:after="0"/>
              <w:jc w:val="center"/>
            </w:pPr>
            <w:r>
              <w:rPr>
                <w:b/>
                <w:bCs/>
                <w:color w:val="FFFFFF"/>
                <w:sz w:val="18"/>
                <w:szCs w:val="18"/>
              </w:rPr>
              <w:t xml:space="preserve">Critical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GEMINI_API_KEY is missing from Config while AI grading is enabled — AI results likely failing silently.</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Confirm the key is in Script Properties; add a health check that fails loudly if AI is on but unkeyed.</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F6</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'Transcript Inbox' / 'Ingested Sources Log' empty because all 3 transcript sources are set Active=FALSE.</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Activate one source with its Gmail query or Drive folder; pick a single path (see Complexity).</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F7</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'Form Responses 1' (Culture form) empty — the Google Form isn't linked to this sheet / no submissions.</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Link the Culture form to this spreadsheet; confirm the tab name; submit one live test after go-live.</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F8</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'Fix Everything' heavy steps defer 'out of time budget' and never auto-resume (3 deferred in the log).</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Auto-create a one-shot trigger to re-run until nothing is deferred, or move backfills to their own triggers.</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F9</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CRITICAL error email alerts are blocked when SEND_ENABLED is off — alerts vanish exactly when things break.</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Send internal critical alerts regardless of SEND_ENABLED; verify the alert recipient is set.</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F10</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'Trigger Health' shows Last Fired = none for all triggers though they clearly fired — false confidence.</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Stamp real last-fired/status from each handler; assert the full expected trigger set is installed.</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F11</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'Override Log' empty; manager dropdown decisions are never logged — almost no audit trail.</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Log every dropdown-driven status change to the Override Log.</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F12</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Short/failed transcripts are skipped silently and never resurfaced; parse failures retry forever unseen.</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Route skipped/failing transcripts to a visible review surface and the digest; add a failure counter.</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F13</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Several control flags (incl. EMAIL_QUEUE_ENABLED) are missing from Config and run on invisible code defaults.</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Add every flag the code reads as an explicit Config row; never rely on defaults for sending.</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F14</w:t>
            </w:r>
          </w:p>
        </w:tc>
        <w:tc>
          <w:tcPr>
            <w:tcW w:type="dxa" w:w="1150"/>
            <w:tcBorders>
              <w:top w:val="single" w:color="BFBFBF" w:sz="1"/>
              <w:left w:val="single" w:color="BFBFBF" w:sz="1"/>
              <w:bottom w:val="single" w:color="BFBFBF" w:sz="1"/>
              <w:right w:val="single" w:color="BFBFBF" w:sz="1"/>
            </w:tcBorders>
            <w:shd w:fill="BF9000" w:val="clear"/>
            <w:tcMar>
              <w:top w:type="dxa" w:w="60"/>
              <w:left w:type="dxa" w:w="100"/>
              <w:bottom w:type="dxa" w:w="60"/>
              <w:right w:type="dxa" w:w="100"/>
            </w:tcMar>
          </w:tcPr>
          <w:p>
            <w:pPr>
              <w:spacing w:after="0"/>
              <w:jc w:val="center"/>
            </w:pPr>
            <w:r>
              <w:rPr>
                <w:b/>
                <w:bCs/>
                <w:color w:val="FFFFFF"/>
                <w:sz w:val="18"/>
                <w:szCs w:val="18"/>
              </w:rPr>
              <w:t xml:space="preserve">Medium</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Config drift: 'OLD Config' and 'Config [WITH DRIFT]' tabs coexist with the live Config.</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Reconcile to one Config as the single source of truth; archive and delete the copies.</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F15</w:t>
            </w:r>
          </w:p>
        </w:tc>
        <w:tc>
          <w:tcPr>
            <w:tcW w:type="dxa" w:w="1150"/>
            <w:tcBorders>
              <w:top w:val="single" w:color="BFBFBF" w:sz="1"/>
              <w:left w:val="single" w:color="BFBFBF" w:sz="1"/>
              <w:bottom w:val="single" w:color="BFBFBF" w:sz="1"/>
              <w:right w:val="single" w:color="BFBFBF" w:sz="1"/>
            </w:tcBorders>
            <w:shd w:fill="BF9000" w:val="clear"/>
            <w:tcMar>
              <w:top w:type="dxa" w:w="60"/>
              <w:left w:type="dxa" w:w="100"/>
              <w:bottom w:type="dxa" w:w="60"/>
              <w:right w:type="dxa" w:w="100"/>
            </w:tcMar>
          </w:tcPr>
          <w:p>
            <w:pPr>
              <w:spacing w:after="0"/>
              <w:jc w:val="center"/>
            </w:pPr>
            <w:r>
              <w:rPr>
                <w:b/>
                <w:bCs/>
                <w:color w:val="FFFFFF"/>
                <w:sz w:val="18"/>
                <w:szCs w:val="18"/>
              </w:rPr>
              <w:t xml:space="preserve">Medium</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Flag-off gates return silently (e.g. booking/rejection skipped) with no record of why.</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Log an event on each skip so the digest shows why an expected email didn't send.</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F16</w:t>
            </w:r>
          </w:p>
        </w:tc>
        <w:tc>
          <w:tcPr>
            <w:tcW w:type="dxa" w:w="1150"/>
            <w:tcBorders>
              <w:top w:val="single" w:color="BFBFBF" w:sz="1"/>
              <w:left w:val="single" w:color="BFBFBF" w:sz="1"/>
              <w:bottom w:val="single" w:color="BFBFBF" w:sz="1"/>
              <w:right w:val="single" w:color="BFBFBF" w:sz="1"/>
            </w:tcBorders>
            <w:shd w:fill="BF9000" w:val="clear"/>
            <w:tcMar>
              <w:top w:type="dxa" w:w="60"/>
              <w:left w:type="dxa" w:w="100"/>
              <w:bottom w:type="dxa" w:w="60"/>
              <w:right w:type="dxa" w:w="100"/>
            </w:tcMar>
          </w:tcPr>
          <w:p>
            <w:pPr>
              <w:spacing w:after="0"/>
              <w:jc w:val="center"/>
            </w:pPr>
            <w:r>
              <w:rPr>
                <w:b/>
                <w:bCs/>
                <w:color w:val="FFFFFF"/>
                <w:sz w:val="18"/>
                <w:szCs w:val="18"/>
              </w:rPr>
              <w:t xml:space="preserve">Medium</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appendRowByHeader_ silently drops unknown columns — a future header rename loses data with no error.</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Warn-log dropped keys; fail loud on schema mismatch for critical tabs.</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F17</w:t>
            </w:r>
          </w:p>
        </w:tc>
        <w:tc>
          <w:tcPr>
            <w:tcW w:type="dxa" w:w="1150"/>
            <w:tcBorders>
              <w:top w:val="single" w:color="BFBFBF" w:sz="1"/>
              <w:left w:val="single" w:color="BFBFBF" w:sz="1"/>
              <w:bottom w:val="single" w:color="BFBFBF" w:sz="1"/>
              <w:right w:val="single" w:color="BFBFBF" w:sz="1"/>
            </w:tcBorders>
            <w:shd w:fill="BF9000" w:val="clear"/>
            <w:tcMar>
              <w:top w:type="dxa" w:w="60"/>
              <w:left w:type="dxa" w:w="100"/>
              <w:bottom w:type="dxa" w:w="60"/>
              <w:right w:type="dxa" w:w="100"/>
            </w:tcMar>
          </w:tcPr>
          <w:p>
            <w:pPr>
              <w:spacing w:after="0"/>
              <w:jc w:val="center"/>
            </w:pPr>
            <w:r>
              <w:rPr>
                <w:b/>
                <w:bCs/>
                <w:color w:val="FFFFFF"/>
                <w:sz w:val="18"/>
                <w:szCs w:val="18"/>
              </w:rPr>
              <w:t xml:space="preserve">Medium</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DIGEST_sendNow bypasses the queue, dedup ledger, and TEST rerouting.</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Route the digest through the queue, or at least honor the TEST-mode recipient rule.</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F18</w:t>
            </w:r>
          </w:p>
        </w:tc>
        <w:tc>
          <w:tcPr>
            <w:tcW w:type="dxa" w:w="1150"/>
            <w:tcBorders>
              <w:top w:val="single" w:color="BFBFBF" w:sz="1"/>
              <w:left w:val="single" w:color="BFBFBF" w:sz="1"/>
              <w:bottom w:val="single" w:color="BFBFBF" w:sz="1"/>
              <w:right w:val="single" w:color="BFBFBF" w:sz="1"/>
            </w:tcBorders>
            <w:shd w:fill="BF9000" w:val="clear"/>
            <w:tcMar>
              <w:top w:type="dxa" w:w="60"/>
              <w:left w:type="dxa" w:w="100"/>
              <w:bottom w:type="dxa" w:w="60"/>
              <w:right w:type="dxa" w:w="100"/>
            </w:tcMar>
          </w:tcPr>
          <w:p>
            <w:pPr>
              <w:spacing w:after="0"/>
              <w:jc w:val="center"/>
            </w:pPr>
            <w:r>
              <w:rPr>
                <w:b/>
                <w:bCs/>
                <w:color w:val="FFFFFF"/>
                <w:sz w:val="18"/>
                <w:szCs w:val="18"/>
              </w:rPr>
              <w:t xml:space="preserve">Medium</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Per-run caps of 25 have no 'still behind' alert, so backlogs build quietly.</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Warn and show backlog count in the digest when a run hits its cap with rows remaining.</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F19</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Over-built for one shop: 18,661 lines, 495 functions, 45 tabs, 171 config keys, 13 triggers, ~55 menu items.</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Adopt the consolidation plan; target ~80% smaller with the same outcome.</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F20</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Redundant engines: two risk engines, five AI scoring paths, five transcript ingestion paths.</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Pick one risk approach, collapse AI scoring to 1-2, choose a single transcript path.</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F21</w:t>
            </w:r>
          </w:p>
        </w:tc>
        <w:tc>
          <w:tcPr>
            <w:tcW w:type="dxa" w:w="1150"/>
            <w:tcBorders>
              <w:top w:val="single" w:color="BFBFBF" w:sz="1"/>
              <w:left w:val="single" w:color="BFBFBF" w:sz="1"/>
              <w:bottom w:val="single" w:color="BFBFBF" w:sz="1"/>
              <w:right w:val="single" w:color="BFBFBF" w:sz="1"/>
            </w:tcBorders>
            <w:shd w:fill="BF9000" w:val="clear"/>
            <w:tcMar>
              <w:top w:type="dxa" w:w="60"/>
              <w:left w:type="dxa" w:w="100"/>
              <w:bottom w:type="dxa" w:w="60"/>
              <w:right w:type="dxa" w:w="100"/>
            </w:tcMar>
          </w:tcPr>
          <w:p>
            <w:pPr>
              <w:spacing w:after="0"/>
              <w:jc w:val="center"/>
            </w:pPr>
            <w:r>
              <w:rPr>
                <w:b/>
                <w:bCs/>
                <w:color w:val="FFFFFF"/>
                <w:sz w:val="18"/>
                <w:szCs w:val="18"/>
              </w:rPr>
              <w:t xml:space="preserve">Medium</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11 log/audit tabs (incl. a 2,472-row Setup Registry) — observability for a team, run by one person.</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Collapse to ~2 logs; archive/clear the Setup Registry.</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F22</w:t>
            </w:r>
          </w:p>
        </w:tc>
        <w:tc>
          <w:tcPr>
            <w:tcW w:type="dxa" w:w="1150"/>
            <w:tcBorders>
              <w:top w:val="single" w:color="BFBFBF" w:sz="1"/>
              <w:left w:val="single" w:color="BFBFBF" w:sz="1"/>
              <w:bottom w:val="single" w:color="BFBFBF" w:sz="1"/>
              <w:right w:val="single" w:color="BFBFBF" w:sz="1"/>
            </w:tcBorders>
            <w:shd w:fill="BF9000" w:val="clear"/>
            <w:tcMar>
              <w:top w:type="dxa" w:w="60"/>
              <w:left w:type="dxa" w:w="100"/>
              <w:bottom w:type="dxa" w:w="60"/>
              <w:right w:type="dxa" w:w="100"/>
            </w:tcMar>
          </w:tcPr>
          <w:p>
            <w:pPr>
              <w:spacing w:after="0"/>
              <w:jc w:val="center"/>
            </w:pPr>
            <w:r>
              <w:rPr>
                <w:b/>
                <w:bCs/>
                <w:color w:val="FFFFFF"/>
                <w:sz w:val="18"/>
                <w:szCs w:val="18"/>
              </w:rPr>
              <w:t xml:space="preserve">Medium</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Repair/scaffolding tooling lives in production (Backfill 1,241 ln, Fix Everything, Dedup, Cleanup, Worksheets 1,744 ln).</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Move one-time repair and dev scaffolding to a separate project.</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F23</w:t>
            </w:r>
          </w:p>
        </w:tc>
        <w:tc>
          <w:tcPr>
            <w:tcW w:type="dxa" w:w="1150"/>
            <w:tcBorders>
              <w:top w:val="single" w:color="BFBFBF" w:sz="1"/>
              <w:left w:val="single" w:color="BFBFBF" w:sz="1"/>
              <w:bottom w:val="single" w:color="BFBFBF" w:sz="1"/>
              <w:right w:val="single" w:color="BFBFBF" w:sz="1"/>
            </w:tcBorders>
            <w:shd w:fill="BF9000" w:val="clear"/>
            <w:tcMar>
              <w:top w:type="dxa" w:w="60"/>
              <w:left w:type="dxa" w:w="100"/>
              <w:bottom w:type="dxa" w:w="60"/>
              <w:right w:type="dxa" w:w="100"/>
            </w:tcMar>
          </w:tcPr>
          <w:p>
            <w:pPr>
              <w:spacing w:after="0"/>
              <w:jc w:val="center"/>
            </w:pPr>
            <w:r>
              <w:rPr>
                <w:b/>
                <w:bCs/>
                <w:color w:val="FFFFFF"/>
                <w:sz w:val="18"/>
                <w:szCs w:val="18"/>
              </w:rPr>
              <w:t xml:space="preserve">Medium</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13 polling triggers for a shop receiving a few applicants a day.</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Cut toward ~3 triggers: form-submit, frequent flush, daily digest.</w:t>
            </w:r>
          </w:p>
        </w:tc>
      </w:tr>
      <w:tr>
        <w:tc>
          <w:tcPr>
            <w:tcW w:type="dxa" w:w="8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8"/>
                <w:szCs w:val="18"/>
              </w:rPr>
              <w:t xml:space="preserve">F24</w:t>
            </w:r>
          </w:p>
        </w:tc>
        <w:tc>
          <w:tcPr>
            <w:tcW w:type="dxa" w:w="1150"/>
            <w:tcBorders>
              <w:top w:val="single" w:color="BFBFBF" w:sz="1"/>
              <w:left w:val="single" w:color="BFBFBF" w:sz="1"/>
              <w:bottom w:val="single" w:color="BFBFBF" w:sz="1"/>
              <w:right w:val="single" w:color="BFBFBF" w:sz="1"/>
            </w:tcBorders>
            <w:shd w:fill="ED7D31" w:val="clear"/>
            <w:tcMar>
              <w:top w:type="dxa" w:w="60"/>
              <w:left w:type="dxa" w:w="100"/>
              <w:bottom w:type="dxa" w:w="60"/>
              <w:right w:type="dxa" w:w="100"/>
            </w:tcMar>
          </w:tcPr>
          <w:p>
            <w:pPr>
              <w:spacing w:after="0"/>
              <w:jc w:val="center"/>
            </w:pPr>
            <w:r>
              <w:rPr>
                <w:b/>
                <w:bCs/>
                <w:color w:val="FFFFFF"/>
                <w:sz w:val="18"/>
                <w:szCs w:val="18"/>
              </w:rPr>
              <w:t xml:space="preserve">High</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Design defaults to fail-silent (~150 swallowed try/catch); scoring logic hidden in script, not sheet formulas.</w:t>
            </w:r>
          </w:p>
        </w:tc>
        <w:tc>
          <w:tcPr>
            <w:tcW w:type="dxa" w:w="369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8"/>
                <w:szCs w:val="18"/>
              </w:rPr>
              <w:t xml:space="preserve">Shift to fail-loud (surface to digest/email); move thresholds into visible sheet formulas where practical.</w:t>
            </w:r>
          </w:p>
        </w:tc>
      </w:tr>
    </w:tbl>
    <w:p>
      <w:pPr>
        <w:spacing w:after="0" w:before="120"/>
      </w:pPr>
      <w:r>
        <w:rPr>
          <w:i/>
          <w:iCs/>
          <w:color w:val="595959"/>
          <w:sz w:val="18"/>
          <w:szCs w:val="18"/>
        </w:rPr>
        <w:t xml:space="preserve">Also reviewed and confirmed NOT broken (empty by design): ‘Backfill Review Queue’, ‘Backfill Transcripts’ (manual input tabs), and ‘Transcript Inbox’ (fills only with unmatched items). Don’t chase these. Risk Flags is the exception — see F4.</w:t>
      </w:r>
    </w:p>
    <w:p>
      <w:r>
        <w:br w:type="page"/>
      </w:r>
    </w:p>
    <w:p>
      <w:pPr>
        <w:pStyle w:val="Heading1"/>
      </w:pPr>
      <w:r>
        <w:t xml:space="preserve">3. Immediate Fixes (first, in order)</w:t>
      </w:r>
    </w:p>
    <w:p>
      <w:pPr>
        <w:spacing w:after="120"/>
      </w:pPr>
      <w:r>
        <w:t xml:space="preserve">These five resolve most of what you’re seeing. Do them before anything else.</w:t>
      </w:r>
    </w:p>
    <w:p>
      <w:pPr>
        <w:pStyle w:val="ListParagraph"/>
        <w:numPr>
          <w:ilvl w:val="0"/>
          <w:numId w:val="2"/>
        </w:numPr>
        <w:spacing w:after="80"/>
      </w:pPr>
      <w:r>
        <w:rPr>
          <w:b/>
          <w:bCs/>
        </w:rPr>
        <w:t xml:space="preserve">Decide and label the mode.</w:t>
      </w:r>
      <w:r>
        <w:t xml:space="preserve"> Confirm whether you intend to be LIVE. Today you are in TEST with sending OFF, so no candidate email is going out. Until you go LIVE, add a banner to the Dashboard so this is never mistaken for a malfunction. (F1)</w:t>
      </w:r>
    </w:p>
    <w:p>
      <w:pPr>
        <w:pStyle w:val="ListParagraph"/>
        <w:numPr>
          <w:ilvl w:val="0"/>
          <w:numId w:val="2"/>
        </w:numPr>
        <w:spacing w:after="80"/>
      </w:pPr>
      <w:r>
        <w:rPr>
          <w:b/>
          <w:bCs/>
        </w:rPr>
        <w:t xml:space="preserve">Unstick the email queue.</w:t>
      </w:r>
      <w:r>
        <w:t xml:space="preserve"> Before going LIVE, add the BLOCKED-to-PENDING recovery and make the recipient recompute at send time — otherwise the 45 blocked messages stay dead forever and new ones will block too. (F2)</w:t>
      </w:r>
    </w:p>
    <w:p>
      <w:pPr>
        <w:pStyle w:val="ListParagraph"/>
        <w:numPr>
          <w:ilvl w:val="0"/>
          <w:numId w:val="2"/>
        </w:numPr>
        <w:spacing w:after="80"/>
      </w:pPr>
      <w:r>
        <w:rPr>
          <w:b/>
          <w:bCs/>
        </w:rPr>
        <w:t xml:space="preserve">Flush every 15 minutes.</w:t>
      </w:r>
      <w:r>
        <w:t xml:space="preserve"> Change the queue-flush trigger from once-daily to every 15 minutes so mail actually leaves and backlogs drain. (F3)</w:t>
      </w:r>
    </w:p>
    <w:p>
      <w:pPr>
        <w:pStyle w:val="ListParagraph"/>
        <w:numPr>
          <w:ilvl w:val="0"/>
          <w:numId w:val="2"/>
        </w:numPr>
        <w:spacing w:after="80"/>
      </w:pPr>
      <w:r>
        <w:rPr>
          <w:b/>
          <w:bCs/>
        </w:rPr>
        <w:t xml:space="preserve">Confirm the Gemini key.</w:t>
      </w:r>
      <w:r>
        <w:t xml:space="preserve"> Verify GEMINI_API_KEY is saved in Script Properties (it’s blank in Config) and that AI grading returns OK, not parse failures. If you don’t want AI grading yet, turn it off explicitly. (F5)</w:t>
      </w:r>
    </w:p>
    <w:p>
      <w:pPr>
        <w:pStyle w:val="ListParagraph"/>
        <w:numPr>
          <w:ilvl w:val="0"/>
          <w:numId w:val="2"/>
        </w:numPr>
        <w:spacing w:after="80"/>
      </w:pPr>
      <w:r>
        <w:rPr>
          <w:b/>
          <w:bCs/>
        </w:rPr>
        <w:t xml:space="preserve">Wire up Risk Flags.</w:t>
      </w:r>
      <w:r>
        <w:t xml:space="preserve"> Add a trigger (or inline write) so risk audit rows actually get written; right now the tab can never fill. (F4)</w:t>
      </w:r>
    </w:p>
    <w:p>
      <w:pPr>
        <w:pStyle w:val="Heading1"/>
      </w:pPr>
      <w:r>
        <w:t xml:space="preserve">4. Build / Implementation Steps</w:t>
      </w:r>
    </w:p>
    <w:p>
      <w:pPr>
        <w:pStyle w:val="Heading2"/>
      </w:pPr>
      <w:r>
        <w:t xml:space="preserve">A. Stop the silent failures (make the system fail loud)</w:t>
      </w:r>
    </w:p>
    <w:p>
      <w:pPr>
        <w:pStyle w:val="ListParagraph"/>
        <w:numPr>
          <w:ilvl w:val="0"/>
          <w:numId w:val="3"/>
        </w:numPr>
        <w:spacing w:after="80"/>
      </w:pPr>
      <w:r>
        <w:t xml:space="preserve">Send CRITICAL error alerts to your email regardless of SEND_ENABLED, and verify ERROR_ALERT_RECIPIENTS is set. (F9)</w:t>
      </w:r>
    </w:p>
    <w:p>
      <w:pPr>
        <w:pStyle w:val="ListParagraph"/>
        <w:numPr>
          <w:ilvl w:val="0"/>
          <w:numId w:val="3"/>
        </w:numPr>
        <w:spacing w:after="80"/>
      </w:pPr>
      <w:r>
        <w:t xml:space="preserve">Have each trigger stamp its own Last Fired / Last Status, and have the health check assert the full expected trigger set is installed — so a dead trigger looks different from a healthy one. (F10)</w:t>
      </w:r>
    </w:p>
    <w:p>
      <w:pPr>
        <w:pStyle w:val="ListParagraph"/>
        <w:numPr>
          <w:ilvl w:val="0"/>
          <w:numId w:val="3"/>
        </w:numPr>
        <w:spacing w:after="80"/>
      </w:pPr>
      <w:r>
        <w:t xml:space="preserve">Log an event whenever a flag-off gate skips an expected action, and warn when a run hits its 25-row cap with rows remaining. (F15, F18)</w:t>
      </w:r>
    </w:p>
    <w:p>
      <w:pPr>
        <w:pStyle w:val="ListParagraph"/>
        <w:numPr>
          <w:ilvl w:val="0"/>
          <w:numId w:val="3"/>
        </w:numPr>
        <w:spacing w:after="80"/>
      </w:pPr>
      <w:r>
        <w:t xml:space="preserve">Make the daily digest report the real risk surface: BLOCKED queue count, transcript failures, and any deferred repair steps. (F2, F12)</w:t>
      </w:r>
    </w:p>
    <w:p>
      <w:pPr>
        <w:pStyle w:val="Heading2"/>
      </w:pPr>
      <w:r>
        <w:t xml:space="preserve">B. Finish the data plumbing</w:t>
      </w:r>
    </w:p>
    <w:p>
      <w:pPr>
        <w:pStyle w:val="ListParagraph"/>
        <w:numPr>
          <w:ilvl w:val="0"/>
          <w:numId w:val="3"/>
        </w:numPr>
        <w:spacing w:after="80"/>
      </w:pPr>
      <w:r>
        <w:t xml:space="preserve">Activate one transcript source (Gmail query or Drive folder) and confirm rows land in Ingested Sources Log. (F6)</w:t>
      </w:r>
    </w:p>
    <w:p>
      <w:pPr>
        <w:pStyle w:val="ListParagraph"/>
        <w:numPr>
          <w:ilvl w:val="0"/>
          <w:numId w:val="3"/>
        </w:numPr>
        <w:spacing w:after="80"/>
      </w:pPr>
      <w:r>
        <w:t xml:space="preserve">Link the Culture form to this spreadsheet and submit a test so Form Responses 1 begins collecting. (F7)</w:t>
      </w:r>
    </w:p>
    <w:p>
      <w:pPr>
        <w:pStyle w:val="ListParagraph"/>
        <w:numPr>
          <w:ilvl w:val="0"/>
          <w:numId w:val="3"/>
        </w:numPr>
        <w:spacing w:after="80"/>
      </w:pPr>
      <w:r>
        <w:t xml:space="preserve">Make ‘Fix Everything’ auto-resume deferred heavy steps via a one-shot follow-up trigger until nothing is deferred. (F8)</w:t>
      </w:r>
    </w:p>
    <w:p>
      <w:pPr>
        <w:pStyle w:val="ListParagraph"/>
        <w:numPr>
          <w:ilvl w:val="0"/>
          <w:numId w:val="3"/>
        </w:numPr>
        <w:spacing w:after="80"/>
      </w:pPr>
      <w:r>
        <w:t xml:space="preserve">Log manager dropdown decisions to the Override Log for a real audit trail. (F11)</w:t>
      </w:r>
    </w:p>
    <w:p>
      <w:pPr>
        <w:pStyle w:val="Heading2"/>
      </w:pPr>
      <w:r>
        <w:t xml:space="preserve">C. Lock down configuration</w:t>
      </w:r>
    </w:p>
    <w:p>
      <w:pPr>
        <w:pStyle w:val="ListParagraph"/>
        <w:numPr>
          <w:ilvl w:val="0"/>
          <w:numId w:val="3"/>
        </w:numPr>
        <w:spacing w:after="80"/>
      </w:pPr>
      <w:r>
        <w:t xml:space="preserve">Add every control flag the code reads (incl. EMAIL_QUEUE_ENABLED) as an explicit Config row — stop relying on hidden defaults. (F13)</w:t>
      </w:r>
    </w:p>
    <w:p>
      <w:pPr>
        <w:pStyle w:val="ListParagraph"/>
        <w:numPr>
          <w:ilvl w:val="0"/>
          <w:numId w:val="3"/>
        </w:numPr>
        <w:spacing w:after="80"/>
      </w:pPr>
      <w:r>
        <w:t xml:space="preserve">Reconcile to a single Config tab; archive and delete ‘OLD Config’ and ‘Config [WITH DRIFT]’. (F14)</w:t>
      </w:r>
    </w:p>
    <w:p>
      <w:pPr>
        <w:pStyle w:val="ListParagraph"/>
        <w:numPr>
          <w:ilvl w:val="0"/>
          <w:numId w:val="3"/>
        </w:numPr>
        <w:spacing w:after="80"/>
      </w:pPr>
      <w:r>
        <w:t xml:space="preserve">Add a warn-log to appendRowByHeader_ so a header rename can’t silently drop data. (F16)</w:t>
      </w:r>
    </w:p>
    <w:p>
      <w:pPr>
        <w:pStyle w:val="Heading1"/>
      </w:pPr>
      <w:r>
        <w:t xml:space="preserve">5. Testing Plan</w:t>
      </w:r>
    </w:p>
    <w:p>
      <w:pPr>
        <w:spacing w:after="120"/>
      </w:pPr>
      <w:r>
        <w:t xml:space="preserve">Verify each change in TEST mode (emails route only to you) before trusting it in LIVE.</w:t>
      </w:r>
    </w:p>
    <w:p>
      <w:pPr>
        <w:pStyle w:val="ListParagraph"/>
        <w:numPr>
          <w:ilvl w:val="0"/>
          <w:numId w:val="3"/>
        </w:numPr>
        <w:spacing w:after="80"/>
      </w:pPr>
      <w:r>
        <w:rPr>
          <w:b/>
          <w:bCs/>
        </w:rPr>
        <w:t xml:space="preserve">Queue recovery (F2/F3):</w:t>
      </w:r>
      <w:r>
        <w:t xml:space="preserve"> queue a test email while SEND_ENABLED=FALSE, confirm it BLOCKS; flip SEND_ENABLED=TRUE, run recovery, confirm it flips to PENDING, gets a correct recipient, and sends on the next 15-minute flush.</w:t>
      </w:r>
    </w:p>
    <w:p>
      <w:pPr>
        <w:pStyle w:val="ListParagraph"/>
        <w:numPr>
          <w:ilvl w:val="0"/>
          <w:numId w:val="3"/>
        </w:numPr>
        <w:spacing w:after="80"/>
      </w:pPr>
      <w:r>
        <w:rPr>
          <w:b/>
          <w:bCs/>
        </w:rPr>
        <w:t xml:space="preserve">Risk Flags (F4):</w:t>
      </w:r>
      <w:r>
        <w:t xml:space="preserve"> score one test candidate end-to-end; confirm exactly one audit row appears with the right score and reasons.</w:t>
      </w:r>
    </w:p>
    <w:p>
      <w:pPr>
        <w:pStyle w:val="ListParagraph"/>
        <w:numPr>
          <w:ilvl w:val="0"/>
          <w:numId w:val="3"/>
        </w:numPr>
        <w:spacing w:after="80"/>
      </w:pPr>
      <w:r>
        <w:rPr>
          <w:b/>
          <w:bCs/>
        </w:rPr>
        <w:t xml:space="preserve">AI grading (F5):</w:t>
      </w:r>
      <w:r>
        <w:t xml:space="preserve"> grade one candidate; open AI Grading Logs and confirm status OK (not PARSE_FAIL); confirm the score writes.</w:t>
      </w:r>
    </w:p>
    <w:p>
      <w:pPr>
        <w:pStyle w:val="ListParagraph"/>
        <w:numPr>
          <w:ilvl w:val="0"/>
          <w:numId w:val="3"/>
        </w:numPr>
        <w:spacing w:after="80"/>
      </w:pPr>
      <w:r>
        <w:rPr>
          <w:b/>
          <w:bCs/>
        </w:rPr>
        <w:t xml:space="preserve">Transcripts (F6):</w:t>
      </w:r>
      <w:r>
        <w:t xml:space="preserve"> drop one known transcript into the active source; confirm Ingested Sources Log records it and it’s matched to the candidate.</w:t>
      </w:r>
    </w:p>
    <w:p>
      <w:pPr>
        <w:pStyle w:val="ListParagraph"/>
        <w:numPr>
          <w:ilvl w:val="0"/>
          <w:numId w:val="3"/>
        </w:numPr>
        <w:spacing w:after="80"/>
      </w:pPr>
      <w:r>
        <w:rPr>
          <w:b/>
          <w:bCs/>
        </w:rPr>
        <w:t xml:space="preserve">Culture form (F7):</w:t>
      </w:r>
      <w:r>
        <w:t xml:space="preserve"> submit one response; confirm Form Responses 1 fills and the pipeline culture score updates.</w:t>
      </w:r>
    </w:p>
    <w:p>
      <w:pPr>
        <w:pStyle w:val="ListParagraph"/>
        <w:numPr>
          <w:ilvl w:val="0"/>
          <w:numId w:val="3"/>
        </w:numPr>
        <w:spacing w:after="80"/>
      </w:pPr>
      <w:r>
        <w:rPr>
          <w:b/>
          <w:bCs/>
        </w:rPr>
        <w:t xml:space="preserve">Fail-loud (F9/F10):</w:t>
      </w:r>
      <w:r>
        <w:t xml:space="preserve"> force a deliberate error; confirm you get an email alert and the Error Log + Trigger Health reflect it.</w:t>
      </w:r>
    </w:p>
    <w:p>
      <w:pPr>
        <w:pStyle w:val="ListParagraph"/>
        <w:numPr>
          <w:ilvl w:val="0"/>
          <w:numId w:val="3"/>
        </w:numPr>
        <w:spacing w:after="80"/>
      </w:pPr>
      <w:r>
        <w:rPr>
          <w:b/>
          <w:bCs/>
        </w:rPr>
        <w:t xml:space="preserve">Go-live gate:</w:t>
      </w:r>
      <w:r>
        <w:t xml:space="preserve"> only switch SYSTEM_MODE=LIVE after all of the above pass, then send a single real test to a known address and confirm delivery.</w:t>
      </w:r>
    </w:p>
    <w:p>
      <w:r>
        <w:br w:type="page"/>
      </w:r>
    </w:p>
    <w:p>
      <w:pPr>
        <w:pStyle w:val="Heading1"/>
      </w:pPr>
      <w:r>
        <w:t xml:space="preserve">6. Complexity vs. Best Practice</w:t>
      </w:r>
    </w:p>
    <w:p>
      <w:pPr>
        <w:spacing w:after="120"/>
      </w:pPr>
      <w:r>
        <w:t xml:space="preserve">Measured against how a lean, reliable single-shop hiring system should look, this OS is roughly 5–50x larger than necessary. It’s enterprise-ATS machinery (Greenhouse/Lever-scale feature surface) rebuilt by hand to hire technicians, advisors, and porters at one location. The code hygiene is good; the fit for the business is the problem — and the maintenance burden is the real source of the “it keeps quietly breaking” experience.</w:t>
      </w:r>
    </w:p>
    <w:p>
      <w:pPr>
        <w:pStyle w:val="Heading2"/>
      </w:pPr>
      <w:r>
        <w:t xml:space="preserve">By the numbers</w:t>
      </w:r>
    </w:p>
    <w:p>
      <w:pPr>
        <w:pStyle w:val="ListParagraph"/>
        <w:numPr>
          <w:ilvl w:val="0"/>
          <w:numId w:val="3"/>
        </w:numPr>
        <w:spacing w:after="80"/>
      </w:pPr>
      <w:r>
        <w:rPr>
          <w:b/>
          <w:bCs/>
        </w:rPr>
        <w:t xml:space="preserve">18,661 lines / 495 functions / 45 tabs / 171 config keys / 13 triggers / ~55 menu items / 15+ subsystems.</w:t>
      </w:r>
      <w:r>
        <w:t xml:space="preserve"> A typical lean single-shop setup is 1 form + 1 sheet + 1–3 automations.</w:t>
      </w:r>
    </w:p>
    <w:p>
      <w:pPr>
        <w:pStyle w:val="ListParagraph"/>
        <w:numPr>
          <w:ilvl w:val="0"/>
          <w:numId w:val="3"/>
        </w:numPr>
        <w:spacing w:after="80"/>
      </w:pPr>
      <w:r>
        <w:rPr>
          <w:b/>
          <w:bCs/>
        </w:rPr>
        <w:t xml:space="preserve">Two risk engines</w:t>
      </w:r>
      <w:r>
        <w:t xml:space="preserve"> (AI + deterministic), </w:t>
      </w:r>
      <w:r>
        <w:rPr>
          <w:b/>
          <w:bCs/>
        </w:rPr>
        <w:t xml:space="preserve">five AI scoring paths</w:t>
      </w:r>
      <w:r>
        <w:t xml:space="preserve"> (pre-screen, resume, transcript, assessment, culture) plus two meta-engines, and </w:t>
      </w:r>
      <w:r>
        <w:rPr>
          <w:b/>
          <w:bCs/>
        </w:rPr>
        <w:t xml:space="preserve">five transcript ingestion paths</w:t>
      </w:r>
      <w:r>
        <w:t xml:space="preserve"> — several answering the same “is this person qualified?” question.</w:t>
      </w:r>
    </w:p>
    <w:p>
      <w:pPr>
        <w:pStyle w:val="ListParagraph"/>
        <w:numPr>
          <w:ilvl w:val="0"/>
          <w:numId w:val="3"/>
        </w:numPr>
        <w:spacing w:after="80"/>
      </w:pPr>
      <w:r>
        <w:rPr>
          <w:b/>
          <w:bCs/>
        </w:rPr>
        <w:t xml:space="preserve">11 log/audit tabs</w:t>
      </w:r>
      <w:r>
        <w:t xml:space="preserve">, including a 2,472-row Setup Registry. That’s observability for an on-call team, owned by one GM.</w:t>
      </w:r>
    </w:p>
    <w:p>
      <w:pPr>
        <w:pStyle w:val="ListParagraph"/>
        <w:numPr>
          <w:ilvl w:val="0"/>
          <w:numId w:val="3"/>
        </w:numPr>
        <w:spacing w:after="80"/>
      </w:pPr>
      <w:r>
        <w:rPr>
          <w:b/>
          <w:bCs/>
        </w:rPr>
        <w:t xml:space="preserve">~150 try/catch blocks</w:t>
      </w:r>
      <w:r>
        <w:t xml:space="preserve"> that mostly swallow errors into tabs no one reads — the system’s default behavior is to fail silently.</w:t>
      </w:r>
    </w:p>
    <w:p>
      <w:pPr>
        <w:pStyle w:val="Heading2"/>
      </w:pPr>
      <w:r>
        <w:t xml:space="preserve">Where it departs from best practice</w:t>
      </w:r>
    </w:p>
    <w:p>
      <w:pPr>
        <w:pStyle w:val="ListParagraph"/>
        <w:numPr>
          <w:ilvl w:val="0"/>
          <w:numId w:val="3"/>
        </w:numPr>
        <w:spacing w:after="80"/>
      </w:pPr>
      <w:r>
        <w:rPr>
          <w:b/>
          <w:bCs/>
        </w:rPr>
        <w:t xml:space="preserve">Fail loud, not silent</w:t>
      </w:r>
      <w:r>
        <w:t xml:space="preserve"> — violated. For a single operator, a quiet stop is far more dangerous than a visible crash.</w:t>
      </w:r>
    </w:p>
    <w:p>
      <w:pPr>
        <w:pStyle w:val="ListParagraph"/>
        <w:numPr>
          <w:ilvl w:val="0"/>
          <w:numId w:val="3"/>
        </w:numPr>
        <w:spacing w:after="80"/>
      </w:pPr>
      <w:r>
        <w:rPr>
          <w:b/>
          <w:bCs/>
        </w:rPr>
        <w:t xml:space="preserve">Single source of truth</w:t>
      </w:r>
      <w:r>
        <w:t xml:space="preserve"> — undermined by multiple scores, two risk tabs, and five intake paths feeding overlapping stores.</w:t>
      </w:r>
    </w:p>
    <w:p>
      <w:pPr>
        <w:pStyle w:val="ListParagraph"/>
        <w:numPr>
          <w:ilvl w:val="0"/>
          <w:numId w:val="3"/>
        </w:numPr>
        <w:spacing w:after="80"/>
      </w:pPr>
      <w:r>
        <w:rPr>
          <w:b/>
          <w:bCs/>
        </w:rPr>
        <w:t xml:space="preserve">Minimize triggers</w:t>
      </w:r>
      <w:r>
        <w:t xml:space="preserve"> — 13 pollers for a few applicants a day; best practice is ~3.</w:t>
      </w:r>
    </w:p>
    <w:p>
      <w:pPr>
        <w:pStyle w:val="ListParagraph"/>
        <w:numPr>
          <w:ilvl w:val="0"/>
          <w:numId w:val="3"/>
        </w:numPr>
        <w:spacing w:after="80"/>
      </w:pPr>
      <w:r>
        <w:rPr>
          <w:b/>
          <w:bCs/>
        </w:rPr>
        <w:t xml:space="preserve">Keep calculations in the sheet</w:t>
      </w:r>
      <w:r>
        <w:t xml:space="preserve"> — scoring/thresholds live in script and AI calls where simple, visible formulas would let you see and adjust them.</w:t>
      </w:r>
    </w:p>
    <w:p>
      <w:pPr>
        <w:pStyle w:val="ListParagraph"/>
        <w:numPr>
          <w:ilvl w:val="0"/>
          <w:numId w:val="3"/>
        </w:numPr>
        <w:spacing w:after="80"/>
      </w:pPr>
      <w:r>
        <w:rPr>
          <w:b/>
          <w:bCs/>
        </w:rPr>
        <w:t xml:space="preserve">Build for the team you have</w:t>
      </w:r>
      <w:r>
        <w:t xml:space="preserve"> — a system needing backfill engines, dedup jobs, and an 11-tab audit layer implies a part-time admin you don’t have.</w:t>
      </w:r>
    </w:p>
    <w:p>
      <w:pPr>
        <w:pStyle w:val="Heading2"/>
      </w:pPr>
      <w:r>
        <w:t xml:space="preserve">Recommended simplification (same outcome, ~80% smaller)</w:t>
      </w:r>
    </w:p>
    <w:p>
      <w:pPr>
        <w:spacing w:after="120"/>
      </w:pPr>
      <w:r>
        <w:t xml:space="preserve">Keep the genuine core — about 20% of the code delivering ~90% of the value:</w:t>
      </w:r>
    </w:p>
    <w:p>
      <w:pPr>
        <w:pStyle w:val="ListParagraph"/>
        <w:numPr>
          <w:ilvl w:val="0"/>
          <w:numId w:val="3"/>
        </w:numPr>
        <w:spacing w:after="80"/>
      </w:pPr>
      <w:r>
        <w:t xml:space="preserve">Pre-screen form to candidate intake; one AI “fit” score per candidate; the pipeline + decision dropdown; the email queue with TEST/LIVE safety and the once-only ledger; one daily digest; booking links.</w:t>
      </w:r>
    </w:p>
    <w:p>
      <w:pPr>
        <w:spacing w:after="120"/>
      </w:pPr>
      <w:r>
        <w:t xml:space="preserve">Consolidate:</w:t>
      </w:r>
    </w:p>
    <w:p>
      <w:pPr>
        <w:pStyle w:val="ListParagraph"/>
        <w:numPr>
          <w:ilvl w:val="0"/>
          <w:numId w:val="3"/>
        </w:numPr>
        <w:spacing w:after="80"/>
      </w:pPr>
      <w:r>
        <w:t xml:space="preserve">Collapse five AI scoring paths to one fit score (plus, optionally, one interview score). Pick one risk approach — keep the cheap, explainable deterministic one. Pick one transcript path (Fathom or Otter). Collapse 11 logs to two (one error/event log, one email ledger).</w:t>
      </w:r>
    </w:p>
    <w:p>
      <w:pPr>
        <w:spacing w:after="120"/>
      </w:pPr>
      <w:r>
        <w:t xml:space="preserve">Remove from production:</w:t>
      </w:r>
    </w:p>
    <w:p>
      <w:pPr>
        <w:pStyle w:val="ListParagraph"/>
        <w:numPr>
          <w:ilvl w:val="0"/>
          <w:numId w:val="3"/>
        </w:numPr>
        <w:spacing w:after="80"/>
      </w:pPr>
      <w:r>
        <w:t xml:space="preserve">Archive the repair/migration and dev scaffolding (Backfill, Fix Everything, Dedup, Cleanup, Smoke Tests, Instruction Manual, and the oversized Interview Worksheets generator) to a separate project. With one intake path and one candidate store, most dedup/backfill need disappears.</w:t>
      </w:r>
    </w:p>
    <w:p>
      <w:pPr>
        <w:spacing w:after="120"/>
      </w:pPr>
      <w:r>
        <w:rPr>
          <w:b/>
          <w:bCs/>
        </w:rPr>
        <w:t xml:space="preserve">Target end-state: roughly 3,000–4,000 lines, ~5 tabs, 1 form-submit + ~2 triggers, ~40 config keys — same real-world result (qualified candidates surfaced, booked, tracked) with far less to break or babysit.</w:t>
      </w:r>
    </w:p>
    <w:p>
      <w:pPr>
        <w:pStyle w:val="Heading1"/>
      </w:pPr>
      <w:r>
        <w:t xml:space="preserve">7. Travis Decision Needed</w:t>
      </w:r>
    </w:p>
    <w:p>
      <w:pPr>
        <w:pStyle w:val="ListParagraph"/>
        <w:numPr>
          <w:ilvl w:val="0"/>
          <w:numId w:val="2"/>
        </w:numPr>
        <w:spacing w:after="80"/>
      </w:pPr>
      <w:r>
        <w:rPr>
          <w:b/>
          <w:bCs/>
        </w:rPr>
        <w:t xml:space="preserve">Go-live timing:</w:t>
      </w:r>
      <w:r>
        <w:t xml:space="preserve"> Flip to LIVE now (after the queue fix), or stay in TEST while we harden the system? This gates everything candidate-facing.</w:t>
      </w:r>
    </w:p>
    <w:p>
      <w:pPr>
        <w:pStyle w:val="ListParagraph"/>
        <w:numPr>
          <w:ilvl w:val="0"/>
          <w:numId w:val="2"/>
        </w:numPr>
        <w:spacing w:after="80"/>
      </w:pPr>
      <w:r>
        <w:rPr>
          <w:b/>
          <w:bCs/>
        </w:rPr>
        <w:t xml:space="preserve">AI grading:</w:t>
      </w:r>
      <w:r>
        <w:t xml:space="preserve"> Keep Gemini AI grading (then we fix the key and make it fail-loud), or turn it off for now and rely on deterministic scoring? This decides how much of subsystem 5 stays.</w:t>
      </w:r>
    </w:p>
    <w:p>
      <w:pPr>
        <w:pStyle w:val="ListParagraph"/>
        <w:numPr>
          <w:ilvl w:val="0"/>
          <w:numId w:val="2"/>
        </w:numPr>
        <w:spacing w:after="80"/>
      </w:pPr>
      <w:r>
        <w:rPr>
          <w:b/>
          <w:bCs/>
        </w:rPr>
        <w:t xml:space="preserve">Transcript path:</w:t>
      </w:r>
      <w:r>
        <w:t xml:space="preserve"> Standardize on Fathom or Otter — which one? We’ll retire the others.</w:t>
      </w:r>
    </w:p>
    <w:p>
      <w:pPr>
        <w:pStyle w:val="ListParagraph"/>
        <w:numPr>
          <w:ilvl w:val="0"/>
          <w:numId w:val="2"/>
        </w:numPr>
        <w:spacing w:after="80"/>
      </w:pPr>
      <w:r>
        <w:rPr>
          <w:b/>
          <w:bCs/>
        </w:rPr>
        <w:t xml:space="preserve">Simplification mandate:</w:t>
      </w:r>
      <w:r>
        <w:t xml:space="preserve"> Proceed with the ~80% reduction (consolidate engines, archive repair tooling), or only fix the bugs and leave the architecture as-is for now?</w:t>
      </w:r>
    </w:p>
    <w:p>
      <w:pPr>
        <w:spacing w:after="120"/>
      </w:pPr>
      <w:r>
        <w:rPr>
          <w:i/>
          <w:iCs/>
          <w:color w:val="595959"/>
          <w:sz w:val="20"/>
          <w:szCs w:val="20"/>
        </w:rPr>
        <w:t xml:space="preserve">Everything else in this report can proceed without your sign-off; these four shape how far the rebuild goes.</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6"/>
        <w:szCs w:val="16"/>
      </w:rPr>
      <w:t xml:space="preserve">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95959"/>
        <w:sz w:val="16"/>
        <w:szCs w:val="16"/>
      </w:rPr>
      <w:t xml:space="preserve">Frank’s European Service — Recruiting OS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140" w:before="280"/>
      <w:outlineLvl w:val="0"/>
    </w:pPr>
    <w:rPr>
      <w:rFonts w:ascii="Arial" w:cs="Arial" w:eastAsia="Arial" w:hAnsi="Arial"/>
      <w:b/>
      <w:bCs/>
      <w:color w:val="1F4E7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2026-06-19T00:26:41.986Z</dcterms:created>
  <dcterms:modified xsi:type="dcterms:W3CDTF">2026-06-19T00:26:41.986Z</dcterms:modified>
</cp:coreProperties>
</file>

<file path=docProps/custom.xml><?xml version="1.0" encoding="utf-8"?>
<Properties xmlns="http://schemas.openxmlformats.org/officeDocument/2006/custom-properties" xmlns:vt="http://schemas.openxmlformats.org/officeDocument/2006/docPropsVTypes"/>
</file>