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C7E5" w14:textId="77777777" w:rsidR="00121FAC" w:rsidRDefault="00121FAC" w:rsidP="00972D0F">
      <w:pPr>
        <w:rPr>
          <w:rFonts w:eastAsiaTheme="majorEastAsia" w:cstheme="minorHAnsi"/>
          <w:b/>
          <w:sz w:val="32"/>
          <w:szCs w:val="32"/>
          <w:lang w:val="en-US"/>
        </w:rPr>
      </w:pPr>
    </w:p>
    <w:p w14:paraId="25AB736C" w14:textId="26809BB4" w:rsidR="00972D0F" w:rsidRDefault="00972D0F" w:rsidP="00972D0F">
      <w:r>
        <w:rPr>
          <w:rFonts w:eastAsiaTheme="majorEastAsia" w:cstheme="minorHAnsi"/>
          <w:b/>
          <w:sz w:val="32"/>
          <w:szCs w:val="32"/>
          <w:lang w:val="en-US"/>
        </w:rPr>
        <w:t xml:space="preserve">Section </w:t>
      </w:r>
      <w:r w:rsidR="00581CEE">
        <w:rPr>
          <w:rFonts w:eastAsiaTheme="majorEastAsia" w:cstheme="minorHAnsi"/>
          <w:b/>
          <w:sz w:val="32"/>
          <w:szCs w:val="32"/>
          <w:lang w:val="en-US"/>
        </w:rPr>
        <w:t>D</w:t>
      </w:r>
      <w:r>
        <w:rPr>
          <w:rFonts w:eastAsiaTheme="majorEastAsia" w:cstheme="minorHAnsi"/>
          <w:b/>
          <w:sz w:val="32"/>
          <w:szCs w:val="32"/>
          <w:lang w:val="en-US"/>
        </w:rPr>
        <w:t xml:space="preserve"> – </w:t>
      </w:r>
      <w:r w:rsidRPr="00972D0F">
        <w:rPr>
          <w:b/>
          <w:bCs/>
          <w:sz w:val="32"/>
          <w:szCs w:val="32"/>
        </w:rPr>
        <w:t>Working on the Graded Assignment</w:t>
      </w:r>
    </w:p>
    <w:p w14:paraId="239DBF63" w14:textId="1E1F2CB6" w:rsidR="00A02B82" w:rsidRDefault="00A02B82" w:rsidP="00A02B82">
      <w:pPr>
        <w:spacing w:after="0"/>
      </w:pPr>
      <w:r w:rsidRPr="00A02B82">
        <w:t xml:space="preserve">Refer to </w:t>
      </w:r>
      <w:r w:rsidR="00B85646" w:rsidRPr="00B85646">
        <w:rPr>
          <w:b/>
          <w:bCs/>
        </w:rPr>
        <w:t>C369_Graded_Assignment</w:t>
      </w:r>
      <w:r w:rsidRPr="00B85646">
        <w:rPr>
          <w:b/>
          <w:bCs/>
        </w:rPr>
        <w:t>.pdf</w:t>
      </w:r>
      <w:r w:rsidRPr="00A02B82">
        <w:t xml:space="preserve">. This document </w:t>
      </w:r>
      <w:r>
        <w:t>describes the assignment that you will be working on for this module.</w:t>
      </w:r>
    </w:p>
    <w:p w14:paraId="0FD58496" w14:textId="77777777" w:rsidR="00A02B82" w:rsidRPr="00A02B82" w:rsidRDefault="00A02B82" w:rsidP="00A02B82">
      <w:pPr>
        <w:spacing w:after="0"/>
      </w:pPr>
    </w:p>
    <w:p w14:paraId="647C107F" w14:textId="6CE4401C" w:rsidR="00A02B82" w:rsidRDefault="00A02B82" w:rsidP="00A02B82">
      <w:pPr>
        <w:spacing w:after="0"/>
      </w:pPr>
      <w:r w:rsidRPr="00A02B82">
        <w:t xml:space="preserve">As we go through the lessons, you will be expected to </w:t>
      </w:r>
      <w:r>
        <w:t>come up with an online financial services business proposal, prototype and a static web page to demonstrate your business idea.</w:t>
      </w:r>
    </w:p>
    <w:p w14:paraId="1F400BAA" w14:textId="77777777" w:rsidR="00A02B82" w:rsidRDefault="00A02B82" w:rsidP="00A02B82">
      <w:pPr>
        <w:spacing w:after="0"/>
      </w:pPr>
    </w:p>
    <w:p w14:paraId="75C40085" w14:textId="293A1EEC" w:rsidR="00A02B82" w:rsidRPr="00A02B82" w:rsidRDefault="00A02B82" w:rsidP="00A02B82">
      <w:pPr>
        <w:spacing w:after="0"/>
      </w:pPr>
      <w:r w:rsidRPr="00A02B82">
        <w:t>Before you can begin building your</w:t>
      </w:r>
      <w:r>
        <w:t xml:space="preserve"> business idea</w:t>
      </w:r>
      <w:r w:rsidRPr="00A02B82">
        <w:t xml:space="preserve">, you will need to do some </w:t>
      </w:r>
      <w:r w:rsidR="00DA432C">
        <w:t>research and planning.</w:t>
      </w:r>
    </w:p>
    <w:p w14:paraId="0F4695B2" w14:textId="189B81CE" w:rsidR="00A02B82" w:rsidRPr="00A02B82" w:rsidRDefault="00A02B82" w:rsidP="00A02B82">
      <w:pPr>
        <w:spacing w:after="0"/>
      </w:pPr>
      <w:r w:rsidRPr="00A02B82">
        <w:t xml:space="preserve">Answer the questions below to plan the details of your </w:t>
      </w:r>
      <w:r>
        <w:t>online financial business</w:t>
      </w:r>
      <w:r w:rsidRPr="00A02B82">
        <w:t>.</w:t>
      </w:r>
    </w:p>
    <w:p w14:paraId="18259B92" w14:textId="77777777" w:rsidR="00A02B82" w:rsidRPr="00A02B82" w:rsidRDefault="00A02B82" w:rsidP="00972D0F">
      <w:pPr>
        <w:spacing w:after="0"/>
      </w:pPr>
    </w:p>
    <w:p w14:paraId="3D77CEA6" w14:textId="21E98F27" w:rsidR="00972D0F" w:rsidRPr="009E39F6" w:rsidRDefault="00972D0F" w:rsidP="00972D0F">
      <w:pPr>
        <w:spacing w:after="0"/>
        <w:rPr>
          <w:color w:val="FF0000"/>
        </w:rPr>
      </w:pPr>
      <w:r w:rsidRPr="009E39F6">
        <w:rPr>
          <w:color w:val="FF0000"/>
        </w:rPr>
        <w:t xml:space="preserve">Note: </w:t>
      </w:r>
    </w:p>
    <w:p w14:paraId="383F9D08" w14:textId="77777777" w:rsidR="00972D0F" w:rsidRPr="00B54DED" w:rsidRDefault="00972D0F" w:rsidP="00972D0F">
      <w:pPr>
        <w:pStyle w:val="ListParagraph"/>
        <w:numPr>
          <w:ilvl w:val="0"/>
          <w:numId w:val="10"/>
        </w:numPr>
        <w:rPr>
          <w:color w:val="FF0000"/>
        </w:rPr>
      </w:pPr>
      <w:r w:rsidRPr="00B54DED">
        <w:rPr>
          <w:color w:val="FF0000"/>
        </w:rPr>
        <w:t xml:space="preserve">This section is to provide some guidance in the graded assignment. </w:t>
      </w:r>
    </w:p>
    <w:p w14:paraId="7B7816DE" w14:textId="77777777" w:rsidR="00972D0F" w:rsidRPr="00B54DED" w:rsidRDefault="00972D0F" w:rsidP="00972D0F">
      <w:pPr>
        <w:pStyle w:val="ListParagraph"/>
        <w:numPr>
          <w:ilvl w:val="0"/>
          <w:numId w:val="10"/>
        </w:numPr>
        <w:rPr>
          <w:color w:val="FF0000"/>
        </w:rPr>
      </w:pPr>
      <w:r w:rsidRPr="00B54DED">
        <w:rPr>
          <w:color w:val="FF0000"/>
        </w:rPr>
        <w:t xml:space="preserve">Completion of this section in no way means that your assignment is completed. </w:t>
      </w:r>
    </w:p>
    <w:p w14:paraId="4912301E" w14:textId="6FC3C6E9" w:rsidR="00972D0F" w:rsidRDefault="00972D0F" w:rsidP="00972D0F">
      <w:pPr>
        <w:pStyle w:val="ListParagraph"/>
        <w:numPr>
          <w:ilvl w:val="0"/>
          <w:numId w:val="10"/>
        </w:numPr>
        <w:rPr>
          <w:color w:val="FF0000"/>
        </w:rPr>
      </w:pPr>
      <w:r w:rsidRPr="00B54DED">
        <w:rPr>
          <w:color w:val="FF0000"/>
        </w:rPr>
        <w:t>Refer to C3</w:t>
      </w:r>
      <w:r>
        <w:rPr>
          <w:color w:val="FF0000"/>
        </w:rPr>
        <w:t xml:space="preserve">69 </w:t>
      </w:r>
      <w:r w:rsidRPr="00B54DED">
        <w:rPr>
          <w:color w:val="FF0000"/>
        </w:rPr>
        <w:t xml:space="preserve">Graded Assignment Part </w:t>
      </w:r>
      <w:r>
        <w:rPr>
          <w:color w:val="FF0000"/>
        </w:rPr>
        <w:t>1</w:t>
      </w:r>
      <w:r w:rsidRPr="00B54DED">
        <w:rPr>
          <w:color w:val="FF0000"/>
        </w:rPr>
        <w:t>.pdf for details.</w:t>
      </w:r>
    </w:p>
    <w:p w14:paraId="61434A65" w14:textId="0ECA72EA" w:rsidR="00712081" w:rsidRDefault="00712081" w:rsidP="00972D0F">
      <w:pPr>
        <w:jc w:val="both"/>
        <w:rPr>
          <w:bCs/>
          <w:lang w:val="en-US"/>
        </w:rPr>
      </w:pPr>
    </w:p>
    <w:p w14:paraId="648B6B1D" w14:textId="49989401" w:rsidR="00B6662E" w:rsidRPr="00DA432C" w:rsidRDefault="00B6662E" w:rsidP="00DA432C">
      <w:pPr>
        <w:pStyle w:val="ListParagraph"/>
        <w:numPr>
          <w:ilvl w:val="0"/>
          <w:numId w:val="13"/>
        </w:numPr>
        <w:jc w:val="both"/>
        <w:rPr>
          <w:bCs/>
          <w:lang w:val="en-US"/>
        </w:rPr>
      </w:pPr>
      <w:r w:rsidRPr="00DA432C">
        <w:rPr>
          <w:bCs/>
          <w:lang w:val="en-US"/>
        </w:rPr>
        <w:t>List down the sectors that MAS regulates (</w:t>
      </w:r>
      <w:hyperlink r:id="rId11" w:history="1">
        <w:r w:rsidRPr="00DA432C">
          <w:rPr>
            <w:rStyle w:val="Hyperlink"/>
            <w:bCs/>
            <w:lang w:val="en-US"/>
          </w:rPr>
          <w:t>https://www.mas.gov.sg/regulation</w:t>
        </w:r>
      </w:hyperlink>
      <w:r w:rsidRPr="00DA432C">
        <w:rPr>
          <w:bCs/>
          <w:lang w:val="en-US"/>
        </w:rPr>
        <w:t>)</w:t>
      </w:r>
    </w:p>
    <w:tbl>
      <w:tblPr>
        <w:tblStyle w:val="TableGrid"/>
        <w:tblW w:w="0" w:type="auto"/>
        <w:tblLook w:val="04A0" w:firstRow="1" w:lastRow="0" w:firstColumn="1" w:lastColumn="0" w:noHBand="0" w:noVBand="1"/>
      </w:tblPr>
      <w:tblGrid>
        <w:gridCol w:w="9736"/>
      </w:tblGrid>
      <w:tr w:rsidR="00B6662E" w14:paraId="51101F50" w14:textId="77777777" w:rsidTr="00B6662E">
        <w:tc>
          <w:tcPr>
            <w:tcW w:w="9736" w:type="dxa"/>
          </w:tcPr>
          <w:p w14:paraId="4A907D7B" w14:textId="1731E7F9" w:rsidR="00B6662E" w:rsidRDefault="00763EE6" w:rsidP="00972D0F">
            <w:pPr>
              <w:jc w:val="both"/>
              <w:rPr>
                <w:bCs/>
                <w:lang w:val="en-US"/>
              </w:rPr>
            </w:pPr>
            <w:r>
              <w:rPr>
                <w:bCs/>
                <w:lang w:val="en-US"/>
              </w:rPr>
              <w:t>Bank</w:t>
            </w:r>
            <w:r w:rsidR="00A877A2">
              <w:rPr>
                <w:bCs/>
                <w:lang w:val="en-US"/>
              </w:rPr>
              <w:t>ing, Capital Markets, Financial advisory, insurance, Payments</w:t>
            </w:r>
          </w:p>
          <w:p w14:paraId="323FB504" w14:textId="77777777" w:rsidR="00B6662E" w:rsidRDefault="00B6662E" w:rsidP="00972D0F">
            <w:pPr>
              <w:jc w:val="both"/>
              <w:rPr>
                <w:bCs/>
                <w:lang w:val="en-US"/>
              </w:rPr>
            </w:pPr>
          </w:p>
        </w:tc>
      </w:tr>
    </w:tbl>
    <w:p w14:paraId="252B7AA7" w14:textId="77777777" w:rsidR="00B6662E" w:rsidRDefault="00B6662E" w:rsidP="00972D0F">
      <w:pPr>
        <w:jc w:val="both"/>
        <w:rPr>
          <w:bCs/>
          <w:lang w:val="en-US"/>
        </w:rPr>
      </w:pPr>
    </w:p>
    <w:p w14:paraId="61C344C4" w14:textId="16D30E7B" w:rsidR="00B6662E" w:rsidRPr="00DA432C" w:rsidRDefault="00B6662E" w:rsidP="00DA432C">
      <w:pPr>
        <w:pStyle w:val="ListParagraph"/>
        <w:numPr>
          <w:ilvl w:val="0"/>
          <w:numId w:val="13"/>
        </w:numPr>
        <w:rPr>
          <w:rFonts w:cstheme="minorHAnsi"/>
          <w:sz w:val="20"/>
        </w:rPr>
      </w:pPr>
      <w:r w:rsidRPr="00DA432C">
        <w:rPr>
          <w:bCs/>
          <w:lang w:val="en-US"/>
        </w:rPr>
        <w:t>What are some of the types of services in each of the sectors? (</w:t>
      </w:r>
      <w:hyperlink r:id="rId12" w:history="1">
        <w:r w:rsidRPr="00DA432C">
          <w:rPr>
            <w:rStyle w:val="Hyperlink"/>
            <w:rFonts w:cstheme="minorHAnsi"/>
          </w:rPr>
          <w:t>https://eservices.mas.gov.sg/fid/</w:t>
        </w:r>
      </w:hyperlink>
      <w:r w:rsidRPr="00DA432C">
        <w:rPr>
          <w:bCs/>
          <w:lang w:val="en-US"/>
        </w:rPr>
        <w:t>)</w:t>
      </w:r>
    </w:p>
    <w:tbl>
      <w:tblPr>
        <w:tblStyle w:val="TableGrid"/>
        <w:tblW w:w="0" w:type="auto"/>
        <w:tblLook w:val="04A0" w:firstRow="1" w:lastRow="0" w:firstColumn="1" w:lastColumn="0" w:noHBand="0" w:noVBand="1"/>
      </w:tblPr>
      <w:tblGrid>
        <w:gridCol w:w="4868"/>
        <w:gridCol w:w="4868"/>
      </w:tblGrid>
      <w:tr w:rsidR="00B6662E" w14:paraId="5D83C5A1" w14:textId="77777777" w:rsidTr="00B6662E">
        <w:tc>
          <w:tcPr>
            <w:tcW w:w="4868" w:type="dxa"/>
          </w:tcPr>
          <w:p w14:paraId="773E1006" w14:textId="539B907E" w:rsidR="00B6662E" w:rsidRPr="00B6662E" w:rsidRDefault="00B6662E" w:rsidP="00B6662E">
            <w:pPr>
              <w:jc w:val="center"/>
              <w:rPr>
                <w:b/>
                <w:lang w:val="en-US"/>
              </w:rPr>
            </w:pPr>
            <w:r w:rsidRPr="00B6662E">
              <w:rPr>
                <w:b/>
                <w:lang w:val="en-US"/>
              </w:rPr>
              <w:t>Sector</w:t>
            </w:r>
          </w:p>
        </w:tc>
        <w:tc>
          <w:tcPr>
            <w:tcW w:w="4868" w:type="dxa"/>
          </w:tcPr>
          <w:p w14:paraId="22F9A035" w14:textId="68D2FAC1" w:rsidR="00B6662E" w:rsidRPr="00B6662E" w:rsidRDefault="00B6662E" w:rsidP="00B6662E">
            <w:pPr>
              <w:jc w:val="center"/>
              <w:rPr>
                <w:b/>
                <w:lang w:val="en-US"/>
              </w:rPr>
            </w:pPr>
            <w:r w:rsidRPr="00B6662E">
              <w:rPr>
                <w:b/>
                <w:lang w:val="en-US"/>
              </w:rPr>
              <w:t>Financial service</w:t>
            </w:r>
          </w:p>
        </w:tc>
      </w:tr>
      <w:tr w:rsidR="00B6662E" w14:paraId="2D26EDB0" w14:textId="77777777" w:rsidTr="00B6662E">
        <w:tc>
          <w:tcPr>
            <w:tcW w:w="4868" w:type="dxa"/>
          </w:tcPr>
          <w:p w14:paraId="525DC0C3" w14:textId="77777777" w:rsidR="00BE7857" w:rsidRDefault="00763EE6" w:rsidP="00972D0F">
            <w:pPr>
              <w:jc w:val="both"/>
              <w:rPr>
                <w:bCs/>
                <w:lang w:val="en-US"/>
              </w:rPr>
            </w:pPr>
            <w:r>
              <w:rPr>
                <w:bCs/>
                <w:lang w:val="en-US"/>
              </w:rPr>
              <w:t>Banking</w:t>
            </w:r>
          </w:p>
          <w:p w14:paraId="23418A0E" w14:textId="7F0D1E33" w:rsidR="00A877A2" w:rsidRDefault="00A877A2" w:rsidP="00972D0F">
            <w:pPr>
              <w:jc w:val="both"/>
              <w:rPr>
                <w:bCs/>
                <w:lang w:val="en-US"/>
              </w:rPr>
            </w:pPr>
          </w:p>
        </w:tc>
        <w:tc>
          <w:tcPr>
            <w:tcW w:w="4868" w:type="dxa"/>
          </w:tcPr>
          <w:p w14:paraId="245A0963" w14:textId="11280E24" w:rsidR="00B6662E" w:rsidRDefault="00A877A2" w:rsidP="00972D0F">
            <w:pPr>
              <w:jc w:val="both"/>
              <w:rPr>
                <w:bCs/>
                <w:lang w:val="en-US"/>
              </w:rPr>
            </w:pPr>
            <w:r>
              <w:rPr>
                <w:bCs/>
                <w:lang w:val="en-US"/>
              </w:rPr>
              <w:t xml:space="preserve">Banking Licenses, Money Broker, Representative Office, Financial Holding </w:t>
            </w:r>
            <w:r w:rsidR="00B006F6">
              <w:rPr>
                <w:bCs/>
                <w:lang w:val="en-US"/>
              </w:rPr>
              <w:t>Company,</w:t>
            </w:r>
            <w:r w:rsidR="00BB0052">
              <w:rPr>
                <w:bCs/>
                <w:lang w:val="en-US"/>
              </w:rPr>
              <w:t xml:space="preserve"> </w:t>
            </w:r>
            <w:r w:rsidR="00BB0052" w:rsidRPr="00B11BD7">
              <w:rPr>
                <w:bCs/>
                <w:highlight w:val="yellow"/>
                <w:lang w:val="en-US"/>
              </w:rPr>
              <w:t>Bank Loans</w:t>
            </w:r>
          </w:p>
        </w:tc>
      </w:tr>
      <w:tr w:rsidR="00B6662E" w14:paraId="5BA9305C" w14:textId="77777777" w:rsidTr="00B6662E">
        <w:tc>
          <w:tcPr>
            <w:tcW w:w="4868" w:type="dxa"/>
          </w:tcPr>
          <w:p w14:paraId="5FD3DFDE" w14:textId="1CC522EF" w:rsidR="00B6662E" w:rsidRDefault="00A877A2" w:rsidP="00972D0F">
            <w:pPr>
              <w:jc w:val="both"/>
              <w:rPr>
                <w:bCs/>
                <w:lang w:val="en-US"/>
              </w:rPr>
            </w:pPr>
            <w:r>
              <w:rPr>
                <w:bCs/>
                <w:lang w:val="en-US"/>
              </w:rPr>
              <w:t>Capital</w:t>
            </w:r>
          </w:p>
          <w:p w14:paraId="497940CB" w14:textId="77777777" w:rsidR="00BE7857" w:rsidRDefault="00BE7857" w:rsidP="00972D0F">
            <w:pPr>
              <w:jc w:val="both"/>
              <w:rPr>
                <w:bCs/>
                <w:lang w:val="en-US"/>
              </w:rPr>
            </w:pPr>
          </w:p>
        </w:tc>
        <w:tc>
          <w:tcPr>
            <w:tcW w:w="4868" w:type="dxa"/>
          </w:tcPr>
          <w:p w14:paraId="4BB78D01" w14:textId="792F8602" w:rsidR="00B6662E" w:rsidRDefault="00A877A2" w:rsidP="00972D0F">
            <w:pPr>
              <w:jc w:val="both"/>
              <w:rPr>
                <w:bCs/>
                <w:lang w:val="en-US"/>
              </w:rPr>
            </w:pPr>
            <w:r>
              <w:rPr>
                <w:bCs/>
                <w:lang w:val="en-US"/>
              </w:rPr>
              <w:t>License Trade Repository</w:t>
            </w:r>
            <w:r w:rsidR="003E2AE1">
              <w:rPr>
                <w:bCs/>
                <w:lang w:val="en-US"/>
              </w:rPr>
              <w:t>,</w:t>
            </w:r>
            <w:r>
              <w:rPr>
                <w:bCs/>
                <w:lang w:val="en-US"/>
              </w:rPr>
              <w:t xml:space="preserve"> Central</w:t>
            </w:r>
            <w:r w:rsidR="003E2AE1">
              <w:rPr>
                <w:bCs/>
                <w:lang w:val="en-US"/>
              </w:rPr>
              <w:t xml:space="preserve"> depository system, approved exchanged, Capital </w:t>
            </w:r>
            <w:r w:rsidR="00D51189">
              <w:rPr>
                <w:bCs/>
                <w:lang w:val="en-US"/>
              </w:rPr>
              <w:t>Market</w:t>
            </w:r>
            <w:r w:rsidR="00D74333">
              <w:rPr>
                <w:bCs/>
                <w:lang w:val="en-US"/>
              </w:rPr>
              <w:t xml:space="preserve">, </w:t>
            </w:r>
            <w:r w:rsidR="00D74333" w:rsidRPr="00B006F6">
              <w:rPr>
                <w:bCs/>
                <w:highlight w:val="yellow"/>
                <w:lang w:val="en-US"/>
              </w:rPr>
              <w:t>Venture Capital</w:t>
            </w:r>
          </w:p>
        </w:tc>
      </w:tr>
      <w:tr w:rsidR="00B6662E" w14:paraId="65DB01B0" w14:textId="77777777" w:rsidTr="00B6662E">
        <w:tc>
          <w:tcPr>
            <w:tcW w:w="4868" w:type="dxa"/>
          </w:tcPr>
          <w:p w14:paraId="5F28F4DF" w14:textId="3FF08322" w:rsidR="00B6662E" w:rsidRDefault="00A877A2" w:rsidP="00972D0F">
            <w:pPr>
              <w:jc w:val="both"/>
              <w:rPr>
                <w:bCs/>
                <w:lang w:val="en-US"/>
              </w:rPr>
            </w:pPr>
            <w:r>
              <w:rPr>
                <w:bCs/>
                <w:lang w:val="en-US"/>
              </w:rPr>
              <w:t>Financial Advisory</w:t>
            </w:r>
          </w:p>
          <w:p w14:paraId="04B120D4" w14:textId="77777777" w:rsidR="00BE7857" w:rsidRDefault="00BE7857" w:rsidP="00972D0F">
            <w:pPr>
              <w:jc w:val="both"/>
              <w:rPr>
                <w:bCs/>
                <w:lang w:val="en-US"/>
              </w:rPr>
            </w:pPr>
          </w:p>
        </w:tc>
        <w:tc>
          <w:tcPr>
            <w:tcW w:w="4868" w:type="dxa"/>
          </w:tcPr>
          <w:p w14:paraId="1A450B9B" w14:textId="602F5B9F" w:rsidR="00B6662E" w:rsidRDefault="003E2AE1" w:rsidP="00972D0F">
            <w:pPr>
              <w:jc w:val="both"/>
              <w:rPr>
                <w:bCs/>
                <w:lang w:val="en-US"/>
              </w:rPr>
            </w:pPr>
            <w:r>
              <w:rPr>
                <w:bCs/>
                <w:lang w:val="en-US"/>
              </w:rPr>
              <w:t>Licensed financial adviser and exempt financial adviser.</w:t>
            </w:r>
          </w:p>
        </w:tc>
      </w:tr>
      <w:tr w:rsidR="00B6662E" w14:paraId="0A474C1A" w14:textId="77777777" w:rsidTr="00B6662E">
        <w:tc>
          <w:tcPr>
            <w:tcW w:w="4868" w:type="dxa"/>
          </w:tcPr>
          <w:p w14:paraId="5A81EC4B" w14:textId="444C2D91" w:rsidR="00B6662E" w:rsidRDefault="00A877A2" w:rsidP="00972D0F">
            <w:pPr>
              <w:jc w:val="both"/>
              <w:rPr>
                <w:bCs/>
                <w:lang w:val="en-US"/>
              </w:rPr>
            </w:pPr>
            <w:r>
              <w:rPr>
                <w:bCs/>
                <w:lang w:val="en-US"/>
              </w:rPr>
              <w:t>Insurance</w:t>
            </w:r>
          </w:p>
          <w:p w14:paraId="1DDCA89D" w14:textId="77777777" w:rsidR="00BE7857" w:rsidRDefault="00BE7857" w:rsidP="00972D0F">
            <w:pPr>
              <w:jc w:val="both"/>
              <w:rPr>
                <w:bCs/>
                <w:lang w:val="en-US"/>
              </w:rPr>
            </w:pPr>
          </w:p>
        </w:tc>
        <w:tc>
          <w:tcPr>
            <w:tcW w:w="4868" w:type="dxa"/>
          </w:tcPr>
          <w:p w14:paraId="353D4330" w14:textId="1FD993CC" w:rsidR="00B6662E" w:rsidRDefault="003E2AE1" w:rsidP="00972D0F">
            <w:pPr>
              <w:jc w:val="both"/>
              <w:rPr>
                <w:bCs/>
                <w:lang w:val="en-US"/>
              </w:rPr>
            </w:pPr>
            <w:r>
              <w:rPr>
                <w:bCs/>
                <w:lang w:val="en-US"/>
              </w:rPr>
              <w:t>Direct insurer (Life, general, composite), registered insurance broker, Exempt insurance Broker</w:t>
            </w:r>
          </w:p>
        </w:tc>
      </w:tr>
      <w:tr w:rsidR="00B6662E" w14:paraId="52A1E30B" w14:textId="77777777" w:rsidTr="00B6662E">
        <w:tc>
          <w:tcPr>
            <w:tcW w:w="4868" w:type="dxa"/>
          </w:tcPr>
          <w:p w14:paraId="0E97F942" w14:textId="77777777" w:rsidR="00BE7857" w:rsidRDefault="00A877A2" w:rsidP="00972D0F">
            <w:pPr>
              <w:jc w:val="both"/>
              <w:rPr>
                <w:bCs/>
                <w:lang w:val="en-US"/>
              </w:rPr>
            </w:pPr>
            <w:r>
              <w:rPr>
                <w:bCs/>
                <w:lang w:val="en-US"/>
              </w:rPr>
              <w:t>Payments</w:t>
            </w:r>
          </w:p>
          <w:p w14:paraId="6C3F35BE" w14:textId="794CDC9F" w:rsidR="00A877A2" w:rsidRDefault="00A877A2" w:rsidP="00972D0F">
            <w:pPr>
              <w:jc w:val="both"/>
              <w:rPr>
                <w:bCs/>
                <w:lang w:val="en-US"/>
              </w:rPr>
            </w:pPr>
          </w:p>
        </w:tc>
        <w:tc>
          <w:tcPr>
            <w:tcW w:w="4868" w:type="dxa"/>
          </w:tcPr>
          <w:p w14:paraId="72653DE8" w14:textId="237F5229" w:rsidR="00B006F6" w:rsidRDefault="003E2AE1" w:rsidP="00B006F6">
            <w:pPr>
              <w:jc w:val="both"/>
              <w:rPr>
                <w:bCs/>
                <w:lang w:val="en-US"/>
              </w:rPr>
            </w:pPr>
            <w:r>
              <w:rPr>
                <w:bCs/>
                <w:lang w:val="en-US"/>
              </w:rPr>
              <w:t>Money- changing, Licensed Credit Bureau, Major Payment Institution, Credit and Charge Cards</w:t>
            </w:r>
            <w:r w:rsidR="00B006F6">
              <w:rPr>
                <w:bCs/>
                <w:lang w:val="en-US"/>
              </w:rPr>
              <w:t xml:space="preserve">, </w:t>
            </w:r>
            <w:r w:rsidR="00B006F6" w:rsidRPr="001F7453">
              <w:rPr>
                <w:bCs/>
                <w:highlight w:val="yellow"/>
                <w:lang w:val="en-US"/>
              </w:rPr>
              <w:t>Intelligent Payment Processing</w:t>
            </w:r>
            <w:r w:rsidR="00B006F6">
              <w:rPr>
                <w:bCs/>
                <w:lang w:val="en-US"/>
              </w:rPr>
              <w:t>.</w:t>
            </w:r>
          </w:p>
          <w:p w14:paraId="4FFDB1FC" w14:textId="3104E2D8" w:rsidR="00B6662E" w:rsidRDefault="00B6662E" w:rsidP="00972D0F">
            <w:pPr>
              <w:jc w:val="both"/>
              <w:rPr>
                <w:bCs/>
                <w:lang w:val="en-US"/>
              </w:rPr>
            </w:pPr>
          </w:p>
        </w:tc>
      </w:tr>
    </w:tbl>
    <w:p w14:paraId="3B58B717" w14:textId="77777777" w:rsidR="00B6662E" w:rsidRDefault="00B6662E" w:rsidP="00972D0F">
      <w:pPr>
        <w:jc w:val="both"/>
        <w:rPr>
          <w:bCs/>
          <w:lang w:val="en-US"/>
        </w:rPr>
      </w:pPr>
    </w:p>
    <w:p w14:paraId="73FF3972" w14:textId="77777777" w:rsidR="00BE7857" w:rsidRDefault="00BE7857" w:rsidP="00972D0F">
      <w:pPr>
        <w:jc w:val="both"/>
        <w:rPr>
          <w:bCs/>
          <w:lang w:val="en-US"/>
        </w:rPr>
      </w:pPr>
    </w:p>
    <w:p w14:paraId="6967823D" w14:textId="4D180713" w:rsidR="00B6662E" w:rsidRPr="00DA432C" w:rsidRDefault="00A02B82" w:rsidP="00DA432C">
      <w:pPr>
        <w:pStyle w:val="ListParagraph"/>
        <w:numPr>
          <w:ilvl w:val="0"/>
          <w:numId w:val="13"/>
        </w:numPr>
        <w:jc w:val="both"/>
        <w:rPr>
          <w:bCs/>
          <w:lang w:val="en-US"/>
        </w:rPr>
      </w:pPr>
      <w:r w:rsidRPr="00DA432C">
        <w:rPr>
          <w:bCs/>
          <w:lang w:val="en-US"/>
        </w:rPr>
        <w:t>Select 3 financial services that you find interesting and describe them in more detail.</w:t>
      </w:r>
    </w:p>
    <w:tbl>
      <w:tblPr>
        <w:tblStyle w:val="TableGrid"/>
        <w:tblW w:w="0" w:type="auto"/>
        <w:tblLook w:val="04A0" w:firstRow="1" w:lastRow="0" w:firstColumn="1" w:lastColumn="0" w:noHBand="0" w:noVBand="1"/>
      </w:tblPr>
      <w:tblGrid>
        <w:gridCol w:w="4868"/>
        <w:gridCol w:w="4868"/>
      </w:tblGrid>
      <w:tr w:rsidR="00A02B82" w14:paraId="7BC0B50D" w14:textId="77777777" w:rsidTr="00B6646E">
        <w:trPr>
          <w:trHeight w:val="346"/>
        </w:trPr>
        <w:tc>
          <w:tcPr>
            <w:tcW w:w="4868" w:type="dxa"/>
          </w:tcPr>
          <w:p w14:paraId="729D9EC3" w14:textId="562DE739" w:rsidR="00A02B82" w:rsidRPr="00A02B82" w:rsidRDefault="00A02B82" w:rsidP="00A02B82">
            <w:pPr>
              <w:jc w:val="center"/>
              <w:rPr>
                <w:b/>
                <w:lang w:val="en-US"/>
              </w:rPr>
            </w:pPr>
            <w:r w:rsidRPr="00A02B82">
              <w:rPr>
                <w:b/>
                <w:lang w:val="en-US"/>
              </w:rPr>
              <w:t>Financial Service</w:t>
            </w:r>
          </w:p>
        </w:tc>
        <w:tc>
          <w:tcPr>
            <w:tcW w:w="4868" w:type="dxa"/>
          </w:tcPr>
          <w:p w14:paraId="23E0A257" w14:textId="4571A2E5" w:rsidR="00A02B82" w:rsidRPr="00A02B82" w:rsidRDefault="00A02B82" w:rsidP="00A02B82">
            <w:pPr>
              <w:jc w:val="center"/>
              <w:rPr>
                <w:b/>
                <w:lang w:val="en-US"/>
              </w:rPr>
            </w:pPr>
            <w:r w:rsidRPr="00A02B82">
              <w:rPr>
                <w:b/>
                <w:lang w:val="en-US"/>
              </w:rPr>
              <w:t>Description</w:t>
            </w:r>
          </w:p>
        </w:tc>
      </w:tr>
      <w:tr w:rsidR="00A02B82" w14:paraId="608AA7DB" w14:textId="77777777" w:rsidTr="00A02B82">
        <w:tc>
          <w:tcPr>
            <w:tcW w:w="4868" w:type="dxa"/>
          </w:tcPr>
          <w:p w14:paraId="0B54A1DB" w14:textId="1DCF0EC3" w:rsidR="00A02B82" w:rsidRDefault="00BB0052" w:rsidP="00972D0F">
            <w:pPr>
              <w:jc w:val="both"/>
              <w:rPr>
                <w:bCs/>
                <w:lang w:val="en-US"/>
              </w:rPr>
            </w:pPr>
            <w:r w:rsidRPr="0059200D">
              <w:rPr>
                <w:bCs/>
                <w:highlight w:val="yellow"/>
                <w:lang w:val="en-US"/>
              </w:rPr>
              <w:t>Bank Loans</w:t>
            </w:r>
            <w:r w:rsidR="0059200D" w:rsidRPr="0059200D">
              <w:rPr>
                <w:bCs/>
                <w:highlight w:val="yellow"/>
                <w:lang w:val="en-US"/>
              </w:rPr>
              <w:t xml:space="preserve"> (Personal)</w:t>
            </w:r>
          </w:p>
          <w:p w14:paraId="2AEE9E92" w14:textId="6D919BBC" w:rsidR="00A02B82" w:rsidRDefault="00A02B82" w:rsidP="00972D0F">
            <w:pPr>
              <w:jc w:val="both"/>
              <w:rPr>
                <w:bCs/>
                <w:lang w:val="en-US"/>
              </w:rPr>
            </w:pPr>
          </w:p>
        </w:tc>
        <w:tc>
          <w:tcPr>
            <w:tcW w:w="4868" w:type="dxa"/>
          </w:tcPr>
          <w:p w14:paraId="1F4621C8" w14:textId="581FCD20" w:rsidR="00B6646E" w:rsidRDefault="0059200D" w:rsidP="00972D0F">
            <w:pPr>
              <w:jc w:val="both"/>
              <w:rPr>
                <w:bCs/>
                <w:lang w:val="en-US"/>
              </w:rPr>
            </w:pPr>
            <w:r w:rsidRPr="0059200D">
              <w:rPr>
                <w:bCs/>
                <w:lang w:val="en-US"/>
              </w:rPr>
              <w:t xml:space="preserve">A personal bank loan is a form of loan provided to people by banks and other financial organizations for their own use. It gives borrowers access to </w:t>
            </w:r>
            <w:r w:rsidRPr="0059200D">
              <w:rPr>
                <w:bCs/>
                <w:lang w:val="en-US"/>
              </w:rPr>
              <w:lastRenderedPageBreak/>
              <w:t>money that they can use for a variety of things, such paying off debt, covering medical costs, supporting a vacation, or making home upgrades.</w:t>
            </w:r>
          </w:p>
        </w:tc>
      </w:tr>
      <w:tr w:rsidR="00A02B82" w14:paraId="53F9C5D1" w14:textId="77777777" w:rsidTr="00A02B82">
        <w:tc>
          <w:tcPr>
            <w:tcW w:w="4868" w:type="dxa"/>
          </w:tcPr>
          <w:p w14:paraId="514FEB03" w14:textId="60A84C63" w:rsidR="00A02B82" w:rsidRDefault="00D74333" w:rsidP="00972D0F">
            <w:pPr>
              <w:jc w:val="both"/>
              <w:rPr>
                <w:bCs/>
                <w:lang w:val="en-US"/>
              </w:rPr>
            </w:pPr>
            <w:r w:rsidRPr="001F7453">
              <w:rPr>
                <w:bCs/>
                <w:highlight w:val="yellow"/>
                <w:lang w:val="en-US"/>
              </w:rPr>
              <w:lastRenderedPageBreak/>
              <w:t>Intelligent Payment Processing</w:t>
            </w:r>
          </w:p>
          <w:p w14:paraId="42567139" w14:textId="77777777" w:rsidR="00A02B82" w:rsidRDefault="00A02B82" w:rsidP="00972D0F">
            <w:pPr>
              <w:jc w:val="both"/>
              <w:rPr>
                <w:bCs/>
                <w:lang w:val="en-US"/>
              </w:rPr>
            </w:pPr>
          </w:p>
        </w:tc>
        <w:tc>
          <w:tcPr>
            <w:tcW w:w="4868" w:type="dxa"/>
          </w:tcPr>
          <w:p w14:paraId="09426A6E" w14:textId="50A44A82" w:rsidR="00A02B82" w:rsidRDefault="00ED46D8" w:rsidP="00972D0F">
            <w:pPr>
              <w:jc w:val="both"/>
              <w:rPr>
                <w:bCs/>
                <w:lang w:val="en-US"/>
              </w:rPr>
            </w:pPr>
            <w:r w:rsidRPr="00ED46D8">
              <w:rPr>
                <w:bCs/>
                <w:lang w:val="en-US"/>
              </w:rPr>
              <w:t>Intelligent Payment Processing:</w:t>
            </w:r>
            <w:r>
              <w:rPr>
                <w:bCs/>
                <w:lang w:val="en-US"/>
              </w:rPr>
              <w:t xml:space="preserve"> </w:t>
            </w:r>
            <w:r w:rsidRPr="00ED46D8">
              <w:rPr>
                <w:bCs/>
                <w:lang w:val="en-US"/>
              </w:rPr>
              <w:t>Automated payment processing tasks including invoice identification, payment verification, fraud detection, and reconciliation are possible with AI payment systems. These systems can evaluate payment data, spot patterns, and make wise decisions using AI algorithms, enabling quicker and more precise payment processing.</w:t>
            </w:r>
          </w:p>
        </w:tc>
      </w:tr>
      <w:tr w:rsidR="00A02B82" w14:paraId="0D1269F2" w14:textId="77777777" w:rsidTr="00A02B82">
        <w:tc>
          <w:tcPr>
            <w:tcW w:w="4868" w:type="dxa"/>
          </w:tcPr>
          <w:p w14:paraId="15076116" w14:textId="056910C8" w:rsidR="00A02B82" w:rsidRDefault="00D74333" w:rsidP="00D74333">
            <w:pPr>
              <w:tabs>
                <w:tab w:val="left" w:pos="1600"/>
              </w:tabs>
              <w:jc w:val="both"/>
              <w:rPr>
                <w:bCs/>
                <w:lang w:val="en-US"/>
              </w:rPr>
            </w:pPr>
            <w:r w:rsidRPr="001F7453">
              <w:rPr>
                <w:bCs/>
                <w:highlight w:val="yellow"/>
                <w:lang w:val="en-US"/>
              </w:rPr>
              <w:t>Venture capital</w:t>
            </w:r>
          </w:p>
          <w:p w14:paraId="23C934ED" w14:textId="77777777" w:rsidR="00A02B82" w:rsidRDefault="00A02B82" w:rsidP="00972D0F">
            <w:pPr>
              <w:jc w:val="both"/>
              <w:rPr>
                <w:bCs/>
                <w:lang w:val="en-US"/>
              </w:rPr>
            </w:pPr>
          </w:p>
          <w:p w14:paraId="3026C42F" w14:textId="77777777" w:rsidR="00A02B82" w:rsidRDefault="00A02B82" w:rsidP="00972D0F">
            <w:pPr>
              <w:jc w:val="both"/>
              <w:rPr>
                <w:bCs/>
                <w:lang w:val="en-US"/>
              </w:rPr>
            </w:pPr>
          </w:p>
        </w:tc>
        <w:tc>
          <w:tcPr>
            <w:tcW w:w="4868" w:type="dxa"/>
          </w:tcPr>
          <w:p w14:paraId="5A411012" w14:textId="69EAE53E" w:rsidR="00A02B82" w:rsidRDefault="001F7453" w:rsidP="00972D0F">
            <w:pPr>
              <w:jc w:val="both"/>
              <w:rPr>
                <w:bCs/>
                <w:lang w:val="en-US"/>
              </w:rPr>
            </w:pPr>
            <w:r w:rsidRPr="001F7453">
              <w:rPr>
                <w:bCs/>
                <w:lang w:val="en-US"/>
              </w:rPr>
              <w:t xml:space="preserve">Businesses with the potential for quick development and significant returns on investment are often </w:t>
            </w:r>
            <w:proofErr w:type="gramStart"/>
            <w:r w:rsidRPr="001F7453">
              <w:rPr>
                <w:bCs/>
                <w:lang w:val="en-US"/>
              </w:rPr>
              <w:t>sought for</w:t>
            </w:r>
            <w:proofErr w:type="gramEnd"/>
            <w:r w:rsidRPr="001F7453">
              <w:rPr>
                <w:bCs/>
                <w:lang w:val="en-US"/>
              </w:rPr>
              <w:t xml:space="preserve"> by venture capital firms. They support entrepreneurs in navigating the difficulties of growing their enterprises by offering financing as well as strategic advice, industry knowledge, and networking opportunities.</w:t>
            </w:r>
          </w:p>
        </w:tc>
      </w:tr>
    </w:tbl>
    <w:p w14:paraId="68933F6A" w14:textId="77777777" w:rsidR="00A02B82" w:rsidRDefault="00A02B82" w:rsidP="00972D0F">
      <w:pPr>
        <w:jc w:val="both"/>
        <w:rPr>
          <w:bCs/>
          <w:lang w:val="en-US"/>
        </w:rPr>
      </w:pPr>
    </w:p>
    <w:p w14:paraId="29E94B43" w14:textId="77777777" w:rsidR="00DA432C" w:rsidRDefault="00DA432C" w:rsidP="00972D0F">
      <w:pPr>
        <w:jc w:val="both"/>
        <w:rPr>
          <w:bCs/>
          <w:lang w:val="en-US"/>
        </w:rPr>
      </w:pPr>
    </w:p>
    <w:p w14:paraId="0C3C5754" w14:textId="77777777" w:rsidR="00BE7857" w:rsidRDefault="00DA432C" w:rsidP="00DA432C">
      <w:pPr>
        <w:pStyle w:val="ListParagraph"/>
        <w:numPr>
          <w:ilvl w:val="0"/>
          <w:numId w:val="13"/>
        </w:numPr>
        <w:jc w:val="both"/>
        <w:rPr>
          <w:bCs/>
          <w:lang w:val="en-US"/>
        </w:rPr>
      </w:pPr>
      <w:r w:rsidRPr="00DA432C">
        <w:rPr>
          <w:bCs/>
          <w:lang w:val="en-US"/>
        </w:rPr>
        <w:t>Based on the 3 financial services above, select the one you like best</w:t>
      </w:r>
      <w:r w:rsidR="00BE7857">
        <w:rPr>
          <w:bCs/>
          <w:lang w:val="en-US"/>
        </w:rPr>
        <w:t>.</w:t>
      </w:r>
    </w:p>
    <w:tbl>
      <w:tblPr>
        <w:tblStyle w:val="TableGrid"/>
        <w:tblW w:w="0" w:type="auto"/>
        <w:tblLook w:val="04A0" w:firstRow="1" w:lastRow="0" w:firstColumn="1" w:lastColumn="0" w:noHBand="0" w:noVBand="1"/>
      </w:tblPr>
      <w:tblGrid>
        <w:gridCol w:w="9736"/>
      </w:tblGrid>
      <w:tr w:rsidR="00BE7857" w14:paraId="086406B5" w14:textId="77777777" w:rsidTr="00BE7857">
        <w:tc>
          <w:tcPr>
            <w:tcW w:w="9736" w:type="dxa"/>
          </w:tcPr>
          <w:p w14:paraId="680BFADB" w14:textId="676EF3BF" w:rsidR="001F7453" w:rsidRPr="001F7453" w:rsidRDefault="00623F82" w:rsidP="001F7453">
            <w:pPr>
              <w:jc w:val="both"/>
              <w:rPr>
                <w:bCs/>
                <w:lang w:val="en-US"/>
              </w:rPr>
            </w:pPr>
            <w:r>
              <w:rPr>
                <w:bCs/>
                <w:lang w:val="en-US"/>
              </w:rPr>
              <w:t>Bank Loan (Personal)</w:t>
            </w:r>
          </w:p>
          <w:p w14:paraId="2B376D2C" w14:textId="77777777" w:rsidR="00BE7857" w:rsidRPr="001F7453" w:rsidRDefault="00BE7857" w:rsidP="001F7453">
            <w:pPr>
              <w:jc w:val="both"/>
              <w:rPr>
                <w:bCs/>
                <w:lang w:val="en-US"/>
              </w:rPr>
            </w:pPr>
          </w:p>
        </w:tc>
      </w:tr>
    </w:tbl>
    <w:p w14:paraId="5EBDE688" w14:textId="77777777" w:rsidR="00BE7857" w:rsidRPr="00BE7857" w:rsidRDefault="00BE7857" w:rsidP="00BE7857">
      <w:pPr>
        <w:jc w:val="both"/>
        <w:rPr>
          <w:bCs/>
          <w:lang w:val="en-US"/>
        </w:rPr>
      </w:pPr>
    </w:p>
    <w:p w14:paraId="17BDDF15" w14:textId="4341D6C6" w:rsidR="00A02B82" w:rsidRDefault="00BE7857" w:rsidP="00DA432C">
      <w:pPr>
        <w:pStyle w:val="ListParagraph"/>
        <w:numPr>
          <w:ilvl w:val="0"/>
          <w:numId w:val="13"/>
        </w:numPr>
        <w:jc w:val="both"/>
        <w:rPr>
          <w:bCs/>
          <w:lang w:val="en-US"/>
        </w:rPr>
      </w:pPr>
      <w:r>
        <w:rPr>
          <w:bCs/>
          <w:lang w:val="en-US"/>
        </w:rPr>
        <w:t>D</w:t>
      </w:r>
      <w:r w:rsidR="00DA432C" w:rsidRPr="00DA432C">
        <w:rPr>
          <w:bCs/>
          <w:lang w:val="en-US"/>
        </w:rPr>
        <w:t>o more research on the service</w:t>
      </w:r>
      <w:r w:rsidR="00DA432C">
        <w:rPr>
          <w:bCs/>
          <w:lang w:val="en-US"/>
        </w:rPr>
        <w:t xml:space="preserve"> </w:t>
      </w:r>
      <w:r>
        <w:rPr>
          <w:bCs/>
          <w:lang w:val="en-US"/>
        </w:rPr>
        <w:t xml:space="preserve">you selected and </w:t>
      </w:r>
      <w:r w:rsidR="00DA432C">
        <w:rPr>
          <w:bCs/>
          <w:lang w:val="en-US"/>
        </w:rPr>
        <w:t>see how you can value-add to the service as part of your business idea.</w:t>
      </w:r>
    </w:p>
    <w:p w14:paraId="03891365"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Identify the financial service sector your business will be in</w:t>
      </w:r>
    </w:p>
    <w:p w14:paraId="3CB9CEB3"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Describe the financial services you plan to offer</w:t>
      </w:r>
    </w:p>
    <w:p w14:paraId="3F3B8E08"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 xml:space="preserve">Describe and explain at least 2 regulations your business will need to comply to </w:t>
      </w:r>
    </w:p>
    <w:p w14:paraId="6AC49D0C" w14:textId="77777777" w:rsidR="00113A4F" w:rsidRPr="00DA432C" w:rsidRDefault="00113A4F" w:rsidP="00113A4F">
      <w:pPr>
        <w:pStyle w:val="ListParagraph"/>
        <w:widowControl w:val="0"/>
        <w:numPr>
          <w:ilvl w:val="0"/>
          <w:numId w:val="17"/>
        </w:numPr>
        <w:tabs>
          <w:tab w:val="left" w:pos="821"/>
        </w:tabs>
        <w:autoSpaceDE w:val="0"/>
        <w:autoSpaceDN w:val="0"/>
        <w:spacing w:after="0" w:line="244" w:lineRule="auto"/>
        <w:ind w:right="118"/>
        <w:contextualSpacing w:val="0"/>
        <w:jc w:val="both"/>
        <w:rPr>
          <w:rFonts w:cstheme="minorHAnsi"/>
        </w:rPr>
      </w:pPr>
      <w:r w:rsidRPr="00DA432C">
        <w:rPr>
          <w:rFonts w:cstheme="minorHAnsi"/>
        </w:rPr>
        <w:t xml:space="preserve">Describe and explain at least 2 red flags in the transactions your business may encounter </w:t>
      </w:r>
    </w:p>
    <w:p w14:paraId="13C9D4E4"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 xml:space="preserve">Describe and explain how the features on your platform </w:t>
      </w:r>
      <w:bookmarkStart w:id="0" w:name="_Hlk134351338"/>
      <w:r w:rsidRPr="00DA432C">
        <w:rPr>
          <w:rFonts w:asciiTheme="minorHAnsi" w:hAnsiTheme="minorHAnsi" w:cstheme="minorHAnsi"/>
          <w:sz w:val="22"/>
          <w:szCs w:val="22"/>
        </w:rPr>
        <w:t xml:space="preserve">help to: </w:t>
      </w:r>
    </w:p>
    <w:p w14:paraId="40F8E826" w14:textId="77777777" w:rsidR="00113A4F" w:rsidRPr="00DA432C" w:rsidRDefault="00113A4F" w:rsidP="00113A4F">
      <w:pPr>
        <w:pStyle w:val="BodyText"/>
        <w:numPr>
          <w:ilvl w:val="1"/>
          <w:numId w:val="16"/>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Protect consumers from frauds</w:t>
      </w:r>
    </w:p>
    <w:p w14:paraId="27EED1EC" w14:textId="77777777" w:rsidR="00113A4F" w:rsidRPr="00DA432C" w:rsidRDefault="00113A4F" w:rsidP="00113A4F">
      <w:pPr>
        <w:pStyle w:val="BodyText"/>
        <w:numPr>
          <w:ilvl w:val="1"/>
          <w:numId w:val="16"/>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Prevent money laundering</w:t>
      </w:r>
    </w:p>
    <w:bookmarkEnd w:id="0"/>
    <w:p w14:paraId="0E476A6C" w14:textId="77777777" w:rsidR="00113A4F" w:rsidRPr="00113A4F" w:rsidRDefault="00113A4F" w:rsidP="00113A4F">
      <w:pPr>
        <w:jc w:val="both"/>
        <w:rPr>
          <w:bCs/>
          <w:lang w:val="en-US"/>
        </w:rPr>
      </w:pPr>
    </w:p>
    <w:tbl>
      <w:tblPr>
        <w:tblStyle w:val="TableGrid"/>
        <w:tblW w:w="0" w:type="auto"/>
        <w:tblLook w:val="04A0" w:firstRow="1" w:lastRow="0" w:firstColumn="1" w:lastColumn="0" w:noHBand="0" w:noVBand="1"/>
      </w:tblPr>
      <w:tblGrid>
        <w:gridCol w:w="9736"/>
      </w:tblGrid>
      <w:tr w:rsidR="00DA432C" w14:paraId="420AAD14" w14:textId="77777777" w:rsidTr="00DA432C">
        <w:tc>
          <w:tcPr>
            <w:tcW w:w="9736" w:type="dxa"/>
          </w:tcPr>
          <w:p w14:paraId="63FA1898" w14:textId="4D89EDDB" w:rsidR="00DA432C" w:rsidRDefault="001534D0" w:rsidP="001534D0">
            <w:pPr>
              <w:pStyle w:val="ListParagraph"/>
              <w:numPr>
                <w:ilvl w:val="0"/>
                <w:numId w:val="18"/>
              </w:numPr>
              <w:jc w:val="both"/>
              <w:rPr>
                <w:bCs/>
                <w:lang w:val="en-US"/>
              </w:rPr>
            </w:pPr>
            <w:r>
              <w:rPr>
                <w:bCs/>
                <w:lang w:val="en-US"/>
              </w:rPr>
              <w:t>Banking.</w:t>
            </w:r>
          </w:p>
          <w:p w14:paraId="79AD9A3E" w14:textId="77777777" w:rsidR="00623F82" w:rsidRDefault="00623F82" w:rsidP="00623F82">
            <w:pPr>
              <w:pStyle w:val="ListParagraph"/>
              <w:ind w:left="1080"/>
              <w:jc w:val="both"/>
              <w:rPr>
                <w:bCs/>
                <w:lang w:val="en-US"/>
              </w:rPr>
            </w:pPr>
          </w:p>
          <w:p w14:paraId="02FB21F6" w14:textId="77777777" w:rsidR="00623F82" w:rsidRDefault="00623F82" w:rsidP="00623F82">
            <w:pPr>
              <w:pStyle w:val="ListParagraph"/>
              <w:numPr>
                <w:ilvl w:val="0"/>
                <w:numId w:val="18"/>
              </w:numPr>
              <w:jc w:val="both"/>
              <w:rPr>
                <w:bCs/>
                <w:lang w:val="en-US"/>
              </w:rPr>
            </w:pPr>
            <w:r w:rsidRPr="00B11BD7">
              <w:rPr>
                <w:bCs/>
                <w:highlight w:val="yellow"/>
                <w:lang w:val="en-US"/>
              </w:rPr>
              <w:t>Personal Loans:</w:t>
            </w:r>
            <w:r w:rsidRPr="00623F82">
              <w:rPr>
                <w:bCs/>
                <w:lang w:val="en-US"/>
              </w:rPr>
              <w:t xml:space="preserve"> You can provide personal loans to people who need money for things like debt consolidation, home improvements, medical costs, tuition, or other non-business obligations. Fixed loan amounts, fixed interest rates, and scheduled payback schedules are typical components of personal loans.</w:t>
            </w:r>
          </w:p>
          <w:p w14:paraId="3634FC57" w14:textId="77777777" w:rsidR="00623F82" w:rsidRDefault="00623F82" w:rsidP="00623F82">
            <w:pPr>
              <w:pStyle w:val="ListParagraph"/>
              <w:ind w:left="1080"/>
              <w:jc w:val="both"/>
              <w:rPr>
                <w:bCs/>
                <w:lang w:val="en-US"/>
              </w:rPr>
            </w:pPr>
          </w:p>
          <w:p w14:paraId="4253A0D5" w14:textId="0EFD302B" w:rsidR="001534D0" w:rsidRPr="00623F82" w:rsidRDefault="00623F82" w:rsidP="00623F82">
            <w:pPr>
              <w:pStyle w:val="ListParagraph"/>
              <w:ind w:left="1080"/>
              <w:jc w:val="both"/>
              <w:rPr>
                <w:bCs/>
                <w:lang w:val="en-US"/>
              </w:rPr>
            </w:pPr>
            <w:r w:rsidRPr="00B11BD7">
              <w:rPr>
                <w:bCs/>
                <w:highlight w:val="yellow"/>
                <w:lang w:val="en-US"/>
              </w:rPr>
              <w:t>Loan counseling and Guidance:</w:t>
            </w:r>
            <w:r w:rsidRPr="00623F82">
              <w:rPr>
                <w:bCs/>
                <w:lang w:val="en-US"/>
              </w:rPr>
              <w:t xml:space="preserve"> In addition to making loans available, you can also provide individualized counseling and guidance to assist prospective borrowers in understanding their loan options, determining their eligibility, evaluating their capacity to repay loans, and making financially responsible decisions. </w:t>
            </w:r>
            <w:r w:rsidR="0065741F" w:rsidRPr="00623F82">
              <w:rPr>
                <w:bCs/>
                <w:lang w:val="en-US"/>
              </w:rPr>
              <w:t>Assessing</w:t>
            </w:r>
            <w:r w:rsidRPr="00623F82">
              <w:rPr>
                <w:bCs/>
                <w:lang w:val="en-US"/>
              </w:rPr>
              <w:t xml:space="preserve"> their financial condition, going over loan details, and providing guidance on debt management and creditworthiness improvement are all possible components of this service.</w:t>
            </w:r>
          </w:p>
          <w:p w14:paraId="50ED8C67" w14:textId="77777777" w:rsidR="00623F82" w:rsidRPr="00623F82" w:rsidRDefault="00623F82" w:rsidP="00623F82">
            <w:pPr>
              <w:pStyle w:val="ListParagraph"/>
              <w:numPr>
                <w:ilvl w:val="0"/>
                <w:numId w:val="18"/>
              </w:numPr>
              <w:spacing w:after="0" w:line="240" w:lineRule="auto"/>
              <w:jc w:val="both"/>
              <w:rPr>
                <w:bCs/>
                <w:lang w:val="en-US"/>
              </w:rPr>
            </w:pPr>
            <w:r w:rsidRPr="00F143EE">
              <w:rPr>
                <w:bCs/>
                <w:highlight w:val="yellow"/>
                <w:lang w:val="en-US"/>
              </w:rPr>
              <w:lastRenderedPageBreak/>
              <w:t>Moneylenders Act and Rules:</w:t>
            </w:r>
            <w:r w:rsidRPr="00623F82">
              <w:rPr>
                <w:bCs/>
                <w:lang w:val="en-US"/>
              </w:rPr>
              <w:t xml:space="preserve"> The main piece of law regulating moneylending activities in Singapore is the Moneylenders Act. It outlines the prerequisites for </w:t>
            </w:r>
            <w:proofErr w:type="gramStart"/>
            <w:r w:rsidRPr="00623F82">
              <w:rPr>
                <w:bCs/>
                <w:lang w:val="en-US"/>
              </w:rPr>
              <w:t>moneylender</w:t>
            </w:r>
            <w:proofErr w:type="gramEnd"/>
            <w:r w:rsidRPr="00623F82">
              <w:rPr>
                <w:bCs/>
                <w:lang w:val="en-US"/>
              </w:rPr>
              <w:t xml:space="preserve"> license, a code of conduct, and operational standards. If you lend money to people for personal reasons, you must obtain a moneylender's license from the Ministry of Law and abide by the guidelines set forth in the Moneylenders Rules.</w:t>
            </w:r>
          </w:p>
          <w:p w14:paraId="44301D9D" w14:textId="77777777" w:rsidR="00623F82" w:rsidRPr="00623F82" w:rsidRDefault="00623F82" w:rsidP="00623F82">
            <w:pPr>
              <w:pStyle w:val="ListParagraph"/>
              <w:spacing w:after="0" w:line="240" w:lineRule="auto"/>
              <w:ind w:left="1080"/>
              <w:jc w:val="both"/>
              <w:rPr>
                <w:bCs/>
                <w:lang w:val="en-US"/>
              </w:rPr>
            </w:pPr>
          </w:p>
          <w:p w14:paraId="45379135" w14:textId="77777777" w:rsidR="00623F82" w:rsidRDefault="00623F82" w:rsidP="00623F82">
            <w:pPr>
              <w:pStyle w:val="ListParagraph"/>
              <w:ind w:left="1080"/>
              <w:jc w:val="both"/>
              <w:rPr>
                <w:bCs/>
                <w:lang w:val="en-US"/>
              </w:rPr>
            </w:pPr>
            <w:r w:rsidRPr="00F143EE">
              <w:rPr>
                <w:bCs/>
                <w:highlight w:val="yellow"/>
                <w:lang w:val="en-US"/>
              </w:rPr>
              <w:t>Consumer Protection standards:</w:t>
            </w:r>
            <w:r w:rsidRPr="00623F82">
              <w:rPr>
                <w:bCs/>
                <w:lang w:val="en-US"/>
              </w:rPr>
              <w:t xml:space="preserve"> </w:t>
            </w:r>
            <w:proofErr w:type="gramStart"/>
            <w:r w:rsidRPr="00623F82">
              <w:rPr>
                <w:bCs/>
                <w:lang w:val="en-US"/>
              </w:rPr>
              <w:t>In order to</w:t>
            </w:r>
            <w:proofErr w:type="gramEnd"/>
            <w:r w:rsidRPr="00623F82">
              <w:rPr>
                <w:bCs/>
                <w:lang w:val="en-US"/>
              </w:rPr>
              <w:t xml:space="preserve"> ensure honest and open lending practices, you must abide by consumer protection standards as a provider of personal bank loans. Guidelines for fair contract terms, open pricing, precise loan disclosures, and protection against unfair practices are laid forth in the Consumer Protection (Fair Trading) Act and the Consumer Protection (Trade Descriptions and Safety Requirements) Act.</w:t>
            </w:r>
          </w:p>
          <w:p w14:paraId="156842A7" w14:textId="77777777" w:rsidR="00623F82" w:rsidRDefault="00623F82" w:rsidP="00623F82">
            <w:pPr>
              <w:pStyle w:val="ListParagraph"/>
              <w:ind w:left="1080"/>
              <w:jc w:val="both"/>
              <w:rPr>
                <w:bCs/>
                <w:lang w:val="en-US"/>
              </w:rPr>
            </w:pPr>
          </w:p>
          <w:p w14:paraId="6807F16B" w14:textId="77777777" w:rsidR="00623F82" w:rsidRPr="00623F82" w:rsidRDefault="00623F82" w:rsidP="00623F82">
            <w:pPr>
              <w:pStyle w:val="ListParagraph"/>
              <w:spacing w:after="0" w:line="240" w:lineRule="auto"/>
              <w:ind w:left="1080"/>
              <w:jc w:val="both"/>
              <w:rPr>
                <w:bCs/>
                <w:lang w:val="en-US"/>
              </w:rPr>
            </w:pPr>
            <w:r w:rsidRPr="00F143EE">
              <w:rPr>
                <w:bCs/>
                <w:highlight w:val="yellow"/>
                <w:lang w:val="en-US"/>
              </w:rPr>
              <w:t>The Personal Data Protection Act (PDPA)</w:t>
            </w:r>
            <w:r w:rsidRPr="00623F82">
              <w:rPr>
                <w:bCs/>
                <w:lang w:val="en-US"/>
              </w:rPr>
              <w:t xml:space="preserve"> in Singapore regulates the gathering, use, and disclosure of personal data. As a provider of personal bank loans, you are required to adhere to data protection laws, acquire consent before collecting personal information, maintain data security, and grant persons access to their personal information upon request. To comply with the PDPA, adequate data protection policies and practices must be put into place.</w:t>
            </w:r>
          </w:p>
          <w:p w14:paraId="13C5769B" w14:textId="77777777" w:rsidR="00623F82" w:rsidRPr="00623F82" w:rsidRDefault="00623F82" w:rsidP="00623F82">
            <w:pPr>
              <w:pStyle w:val="ListParagraph"/>
              <w:spacing w:after="0" w:line="240" w:lineRule="auto"/>
              <w:ind w:left="1080"/>
              <w:jc w:val="both"/>
              <w:rPr>
                <w:bCs/>
                <w:lang w:val="en-US"/>
              </w:rPr>
            </w:pPr>
          </w:p>
          <w:p w14:paraId="3A895480" w14:textId="01570796" w:rsidR="001534D0" w:rsidRPr="001534D0" w:rsidRDefault="00623F82" w:rsidP="00623F82">
            <w:pPr>
              <w:pStyle w:val="ListParagraph"/>
              <w:ind w:left="1080"/>
              <w:jc w:val="both"/>
              <w:rPr>
                <w:bCs/>
                <w:lang w:val="en-US"/>
              </w:rPr>
            </w:pPr>
            <w:r w:rsidRPr="00F143EE">
              <w:rPr>
                <w:bCs/>
                <w:highlight w:val="yellow"/>
                <w:lang w:val="en-US"/>
              </w:rPr>
              <w:t>Regulations pertaining to AML/CFT</w:t>
            </w:r>
            <w:r w:rsidRPr="00623F82">
              <w:rPr>
                <w:bCs/>
                <w:lang w:val="en-US"/>
              </w:rPr>
              <w:t xml:space="preserve"> (anti-money laundering and countering the financing of terrorism) Money laundering and terrorist financing are prohibited by AML/CFT legislation. The Monetary Authority of Singapore (MAS) </w:t>
            </w:r>
            <w:proofErr w:type="gramStart"/>
            <w:r w:rsidRPr="00623F82">
              <w:rPr>
                <w:bCs/>
                <w:lang w:val="en-US"/>
              </w:rPr>
              <w:t>is in charge of</w:t>
            </w:r>
            <w:proofErr w:type="gramEnd"/>
            <w:r w:rsidRPr="00623F82">
              <w:rPr>
                <w:bCs/>
                <w:lang w:val="en-US"/>
              </w:rPr>
              <w:t xml:space="preserve"> enforcing the laws in Singapore. You must execute thorough client due diligence procedures as a provider of personal bank loans, keep track of transactions, report suspicious activity, and </w:t>
            </w:r>
            <w:r>
              <w:rPr>
                <w:bCs/>
                <w:lang w:val="en-US"/>
              </w:rPr>
              <w:t xml:space="preserve">comply with </w:t>
            </w:r>
            <w:r w:rsidRPr="00623F82">
              <w:rPr>
                <w:bCs/>
                <w:lang w:val="en-US"/>
              </w:rPr>
              <w:t>MAS requirements for combating money laundering and terrorist financing.</w:t>
            </w:r>
          </w:p>
          <w:p w14:paraId="4349A3CD" w14:textId="77777777" w:rsidR="00BC18C3" w:rsidRDefault="00BC18C3" w:rsidP="00DA432C">
            <w:pPr>
              <w:jc w:val="both"/>
              <w:rPr>
                <w:bCs/>
                <w:lang w:val="en-US"/>
              </w:rPr>
            </w:pPr>
          </w:p>
          <w:p w14:paraId="0F7AE1CA" w14:textId="77777777" w:rsidR="001534D0" w:rsidRDefault="001534D0" w:rsidP="001534D0">
            <w:pPr>
              <w:pStyle w:val="ListParagraph"/>
              <w:ind w:left="1080"/>
              <w:jc w:val="both"/>
              <w:rPr>
                <w:bCs/>
                <w:lang w:val="en-US"/>
              </w:rPr>
            </w:pPr>
          </w:p>
          <w:p w14:paraId="63749984" w14:textId="77777777" w:rsidR="00853DFB" w:rsidRDefault="0065741F" w:rsidP="00853DFB">
            <w:pPr>
              <w:pStyle w:val="ListParagraph"/>
              <w:numPr>
                <w:ilvl w:val="0"/>
                <w:numId w:val="18"/>
              </w:numPr>
              <w:jc w:val="both"/>
              <w:rPr>
                <w:bCs/>
                <w:lang w:val="en-US"/>
              </w:rPr>
            </w:pPr>
            <w:r w:rsidRPr="00F143EE">
              <w:rPr>
                <w:bCs/>
                <w:highlight w:val="yellow"/>
                <w:lang w:val="en-US"/>
              </w:rPr>
              <w:t>False or Inconsistent Information</w:t>
            </w:r>
            <w:r w:rsidRPr="0065741F">
              <w:rPr>
                <w:bCs/>
                <w:lang w:val="en-US"/>
              </w:rPr>
              <w:t>: It may be a warning sign if a borrower submits false or conflicting information while applying for a loan, such as different addresses, employment histories, or financial records. False documents or the falsification of financial and personal data may be signs of fraud.</w:t>
            </w:r>
          </w:p>
          <w:p w14:paraId="206FBB4A" w14:textId="77777777" w:rsidR="00853DFB" w:rsidRDefault="00853DFB" w:rsidP="00853DFB">
            <w:pPr>
              <w:pStyle w:val="ListParagraph"/>
              <w:ind w:left="1080"/>
              <w:jc w:val="both"/>
              <w:rPr>
                <w:bCs/>
                <w:lang w:val="en-US"/>
              </w:rPr>
            </w:pPr>
          </w:p>
          <w:p w14:paraId="799435C4" w14:textId="77777777" w:rsidR="00853DFB" w:rsidRDefault="0065741F" w:rsidP="00853DFB">
            <w:pPr>
              <w:pStyle w:val="ListParagraph"/>
              <w:ind w:left="1080"/>
              <w:jc w:val="both"/>
              <w:rPr>
                <w:bCs/>
                <w:lang w:val="en-US"/>
              </w:rPr>
            </w:pPr>
            <w:r w:rsidRPr="00F143EE">
              <w:rPr>
                <w:bCs/>
                <w:highlight w:val="yellow"/>
                <w:lang w:val="en-US"/>
              </w:rPr>
              <w:t>Unusually High Loan Requests:</w:t>
            </w:r>
            <w:r w:rsidRPr="00853DFB">
              <w:rPr>
                <w:bCs/>
                <w:lang w:val="en-US"/>
              </w:rPr>
              <w:t xml:space="preserve"> If a borrower suddenly requests a loan that is substantially higher than what is typical for them or what they can afford, this can be cause for concern. It's critical to determine whether the borrower's creditworthiness, income, and capacity for payback are compatible with the loan amount asked. Large loan requests without the correct explanation could be a sign of fraud or danger of default.</w:t>
            </w:r>
          </w:p>
          <w:p w14:paraId="2C78E5CB" w14:textId="77777777" w:rsidR="00853DFB" w:rsidRDefault="00853DFB" w:rsidP="00853DFB">
            <w:pPr>
              <w:pStyle w:val="ListParagraph"/>
              <w:ind w:left="1080"/>
              <w:jc w:val="both"/>
              <w:rPr>
                <w:bCs/>
                <w:lang w:val="en-US"/>
              </w:rPr>
            </w:pPr>
          </w:p>
          <w:p w14:paraId="102F9135" w14:textId="5EEB6803" w:rsidR="00F143EE" w:rsidRDefault="00F143EE" w:rsidP="00F143EE">
            <w:pPr>
              <w:pStyle w:val="ListParagraph"/>
              <w:numPr>
                <w:ilvl w:val="0"/>
                <w:numId w:val="18"/>
              </w:numPr>
              <w:jc w:val="both"/>
              <w:rPr>
                <w:bCs/>
                <w:color w:val="FF0000"/>
                <w:lang w:val="en-US"/>
              </w:rPr>
            </w:pPr>
            <w:r w:rsidRPr="00B11BD7">
              <w:rPr>
                <w:bCs/>
                <w:color w:val="FF0000"/>
                <w:highlight w:val="yellow"/>
                <w:lang w:val="en-US"/>
              </w:rPr>
              <w:t>Protecting consumers from frauds:</w:t>
            </w:r>
          </w:p>
          <w:p w14:paraId="632E744D" w14:textId="77777777" w:rsidR="00B11BD7" w:rsidRPr="00B11BD7" w:rsidRDefault="00B11BD7" w:rsidP="00B11BD7">
            <w:pPr>
              <w:pStyle w:val="ListParagraph"/>
              <w:ind w:left="1080"/>
              <w:jc w:val="both"/>
              <w:rPr>
                <w:bCs/>
                <w:color w:val="FF0000"/>
                <w:lang w:val="en-US"/>
              </w:rPr>
            </w:pPr>
          </w:p>
          <w:p w14:paraId="146C20C7" w14:textId="003DCF7D" w:rsidR="00487565" w:rsidRDefault="00F143EE" w:rsidP="00F143EE">
            <w:pPr>
              <w:pStyle w:val="ListParagraph"/>
              <w:ind w:left="1080"/>
              <w:jc w:val="both"/>
              <w:rPr>
                <w:bCs/>
                <w:lang w:val="en-US"/>
              </w:rPr>
            </w:pPr>
            <w:r w:rsidRPr="00B11BD7">
              <w:rPr>
                <w:bCs/>
                <w:highlight w:val="yellow"/>
                <w:lang w:val="en-US"/>
              </w:rPr>
              <w:t>Implement</w:t>
            </w:r>
            <w:r w:rsidR="00B11BD7" w:rsidRPr="00B11BD7">
              <w:rPr>
                <w:bCs/>
                <w:highlight w:val="yellow"/>
                <w:lang w:val="en-US"/>
              </w:rPr>
              <w:t>ing biometric technology procedures</w:t>
            </w:r>
            <w:r w:rsidRPr="00B11BD7">
              <w:rPr>
                <w:bCs/>
                <w:highlight w:val="yellow"/>
                <w:lang w:val="en-US"/>
              </w:rPr>
              <w:t xml:space="preserve"> to</w:t>
            </w:r>
            <w:r w:rsidRPr="00F143EE">
              <w:rPr>
                <w:bCs/>
                <w:lang w:val="en-US"/>
              </w:rPr>
              <w:t xml:space="preserve"> make sure that borrowers are who they say they are. Verifying identity documents, running background checks, and utilizing cutting-edge technology like biometric authentication or facial recognition are some examples of this. You can avoid impersonation and lower the risk of fraud by confirming the borrowers' identities.</w:t>
            </w:r>
          </w:p>
          <w:p w14:paraId="41303936" w14:textId="77777777" w:rsidR="00F143EE" w:rsidRDefault="00F143EE" w:rsidP="00F143EE">
            <w:pPr>
              <w:pStyle w:val="ListParagraph"/>
              <w:ind w:left="1080"/>
              <w:jc w:val="both"/>
              <w:rPr>
                <w:bCs/>
                <w:lang w:val="en-US"/>
              </w:rPr>
            </w:pPr>
          </w:p>
          <w:p w14:paraId="5AE80567" w14:textId="3D404762" w:rsidR="00F143EE" w:rsidRDefault="00F143EE" w:rsidP="00F143EE">
            <w:pPr>
              <w:pStyle w:val="ListParagraph"/>
              <w:ind w:left="1080"/>
              <w:jc w:val="both"/>
              <w:rPr>
                <w:bCs/>
                <w:lang w:val="en-US"/>
              </w:rPr>
            </w:pPr>
            <w:r>
              <w:rPr>
                <w:bCs/>
                <w:lang w:val="en-US"/>
              </w:rPr>
              <w:t>Or</w:t>
            </w:r>
          </w:p>
          <w:p w14:paraId="6255EA77" w14:textId="77777777" w:rsidR="00F143EE" w:rsidRDefault="00F143EE" w:rsidP="00F143EE">
            <w:pPr>
              <w:pStyle w:val="ListParagraph"/>
              <w:ind w:left="1080"/>
              <w:jc w:val="both"/>
              <w:rPr>
                <w:bCs/>
                <w:lang w:val="en-US"/>
              </w:rPr>
            </w:pPr>
          </w:p>
          <w:p w14:paraId="0E54905E" w14:textId="66B83084" w:rsidR="00F143EE" w:rsidRDefault="00F143EE" w:rsidP="00F143EE">
            <w:pPr>
              <w:pStyle w:val="ListParagraph"/>
              <w:ind w:left="1080"/>
              <w:jc w:val="both"/>
              <w:rPr>
                <w:bCs/>
                <w:lang w:val="en-US"/>
              </w:rPr>
            </w:pPr>
            <w:r w:rsidRPr="00B11BD7">
              <w:rPr>
                <w:bCs/>
                <w:highlight w:val="yellow"/>
                <w:lang w:val="en-US"/>
              </w:rPr>
              <w:t>Identity Verification with Customer Due Diligence (CDD):</w:t>
            </w:r>
            <w:r w:rsidRPr="00F143EE">
              <w:rPr>
                <w:bCs/>
                <w:lang w:val="en-US"/>
              </w:rPr>
              <w:t xml:space="preserve"> Using the CDD tool, </w:t>
            </w:r>
            <w:r>
              <w:rPr>
                <w:bCs/>
                <w:lang w:val="en-US"/>
              </w:rPr>
              <w:t>I can</w:t>
            </w:r>
            <w:r w:rsidRPr="00F143EE">
              <w:rPr>
                <w:bCs/>
                <w:lang w:val="en-US"/>
              </w:rPr>
              <w:t xml:space="preserve"> confirm a customer's identity before allowing them to use your personal bank loan services. </w:t>
            </w:r>
            <w:r>
              <w:rPr>
                <w:bCs/>
                <w:lang w:val="en-US"/>
              </w:rPr>
              <w:t>I</w:t>
            </w:r>
            <w:r w:rsidRPr="00F143EE">
              <w:rPr>
                <w:bCs/>
                <w:lang w:val="en-US"/>
              </w:rPr>
              <w:t xml:space="preserve"> can make sure that the people asking for loans are who they say they are by putting in place a robust identity verification process, such as document verification and biometric authentication. This </w:t>
            </w:r>
            <w:r w:rsidRPr="00F143EE">
              <w:rPr>
                <w:bCs/>
                <w:lang w:val="en-US"/>
              </w:rPr>
              <w:lastRenderedPageBreak/>
              <w:t>helps safeguard legitimate customers from identity theft and unlawful use of their personal information by preventing fraudsters from using stolen or fake identities to get loans.</w:t>
            </w:r>
          </w:p>
          <w:p w14:paraId="585380DB" w14:textId="77777777" w:rsidR="00F143EE" w:rsidRDefault="00F143EE" w:rsidP="00F143EE">
            <w:pPr>
              <w:pStyle w:val="ListParagraph"/>
              <w:ind w:left="1080"/>
              <w:jc w:val="both"/>
              <w:rPr>
                <w:bCs/>
                <w:lang w:val="en-US"/>
              </w:rPr>
            </w:pPr>
          </w:p>
          <w:p w14:paraId="08F9248C" w14:textId="77777777" w:rsidR="00487565" w:rsidRDefault="00487565" w:rsidP="00487565">
            <w:pPr>
              <w:pStyle w:val="ListParagraph"/>
              <w:ind w:left="1080"/>
              <w:jc w:val="both"/>
              <w:rPr>
                <w:bCs/>
                <w:lang w:val="en-US"/>
              </w:rPr>
            </w:pPr>
          </w:p>
          <w:p w14:paraId="4389940A" w14:textId="0BD5AFF6" w:rsidR="0065741F" w:rsidRPr="00853DFB" w:rsidRDefault="0065741F" w:rsidP="00F143EE">
            <w:pPr>
              <w:pStyle w:val="ListParagraph"/>
              <w:ind w:left="1080"/>
              <w:jc w:val="both"/>
              <w:rPr>
                <w:bCs/>
                <w:lang w:val="en-US"/>
              </w:rPr>
            </w:pPr>
            <w:r w:rsidRPr="00B11BD7">
              <w:rPr>
                <w:bCs/>
                <w:color w:val="FF0000"/>
                <w:highlight w:val="yellow"/>
                <w:lang w:val="en-US"/>
              </w:rPr>
              <w:t>Prevent Money Laundering:</w:t>
            </w:r>
            <w:r w:rsidRPr="00B11BD7">
              <w:rPr>
                <w:bCs/>
                <w:color w:val="FF0000"/>
                <w:lang w:val="en-US"/>
              </w:rPr>
              <w:t xml:space="preserve"> </w:t>
            </w:r>
            <w:r w:rsidRPr="00853DFB">
              <w:rPr>
                <w:bCs/>
                <w:lang w:val="en-US"/>
              </w:rPr>
              <w:t>I</w:t>
            </w:r>
            <w:r w:rsidRPr="00853DFB">
              <w:rPr>
                <w:bCs/>
                <w:lang w:val="en-US"/>
              </w:rPr>
              <w:t xml:space="preserve"> can</w:t>
            </w:r>
            <w:r w:rsidR="00B11BD7">
              <w:rPr>
                <w:bCs/>
                <w:lang w:val="en-US"/>
              </w:rPr>
              <w:t xml:space="preserve"> incorporate KYC (</w:t>
            </w:r>
            <w:proofErr w:type="spellStart"/>
            <w:r w:rsidR="00B11BD7">
              <w:rPr>
                <w:bCs/>
                <w:lang w:val="en-US"/>
              </w:rPr>
              <w:t>SingPass</w:t>
            </w:r>
            <w:proofErr w:type="spellEnd"/>
            <w:r w:rsidR="00B11BD7">
              <w:rPr>
                <w:bCs/>
                <w:lang w:val="en-US"/>
              </w:rPr>
              <w:t xml:space="preserve"> for verification and its convenience features)</w:t>
            </w:r>
          </w:p>
          <w:p w14:paraId="34D2BF0F" w14:textId="77777777" w:rsidR="0065741F" w:rsidRPr="0065741F" w:rsidRDefault="0065741F" w:rsidP="0065741F">
            <w:pPr>
              <w:pStyle w:val="ListParagraph"/>
              <w:spacing w:after="0" w:line="240" w:lineRule="auto"/>
              <w:ind w:left="1080"/>
              <w:jc w:val="both"/>
              <w:rPr>
                <w:bCs/>
                <w:lang w:val="en-US"/>
              </w:rPr>
            </w:pPr>
          </w:p>
          <w:p w14:paraId="5F283F45" w14:textId="61A865D3" w:rsidR="00B11BD7" w:rsidRPr="00B11BD7" w:rsidRDefault="0065741F" w:rsidP="00B11BD7">
            <w:pPr>
              <w:pStyle w:val="ListParagraph"/>
              <w:ind w:left="1080"/>
              <w:jc w:val="both"/>
              <w:rPr>
                <w:bCs/>
                <w:lang w:val="en-US"/>
              </w:rPr>
            </w:pPr>
            <w:r w:rsidRPr="00B11BD7">
              <w:rPr>
                <w:bCs/>
                <w:highlight w:val="yellow"/>
                <w:lang w:val="en-US"/>
              </w:rPr>
              <w:t>(KYC):</w:t>
            </w:r>
            <w:r w:rsidRPr="0065741F">
              <w:rPr>
                <w:bCs/>
                <w:lang w:val="en-US"/>
              </w:rPr>
              <w:t xml:space="preserve"> Know Your Customer Implement a thorough KYC procedure to confirm the borrowers' identities. Verifying identification documents, doing risk analyses, and gathering pertinent consumer data are all part of this process. </w:t>
            </w:r>
            <w:r>
              <w:rPr>
                <w:bCs/>
                <w:lang w:val="en-US"/>
              </w:rPr>
              <w:t>I can also</w:t>
            </w:r>
            <w:r w:rsidRPr="0065741F">
              <w:rPr>
                <w:bCs/>
                <w:lang w:val="en-US"/>
              </w:rPr>
              <w:t xml:space="preserve"> identify and authenticate people using KYC protocols, ensuring they are not abusing your site.</w:t>
            </w:r>
          </w:p>
          <w:p w14:paraId="56228B8D" w14:textId="77777777" w:rsidR="00B11BD7" w:rsidRDefault="00B11BD7" w:rsidP="0065741F">
            <w:pPr>
              <w:pStyle w:val="ListParagraph"/>
              <w:ind w:left="1080"/>
              <w:jc w:val="both"/>
              <w:rPr>
                <w:bCs/>
                <w:lang w:val="en-US"/>
              </w:rPr>
            </w:pPr>
          </w:p>
          <w:p w14:paraId="370A2FD6" w14:textId="4A046A5B" w:rsidR="00B11BD7" w:rsidRPr="0065741F" w:rsidRDefault="00B11BD7" w:rsidP="0065741F">
            <w:pPr>
              <w:pStyle w:val="ListParagraph"/>
              <w:ind w:left="1080"/>
              <w:jc w:val="both"/>
              <w:rPr>
                <w:bCs/>
                <w:lang w:val="en-US"/>
              </w:rPr>
            </w:pPr>
            <w:r w:rsidRPr="00B11BD7">
              <w:rPr>
                <w:bCs/>
                <w:highlight w:val="yellow"/>
                <w:lang w:val="en-US"/>
              </w:rPr>
              <w:t>Regular reporting:</w:t>
            </w:r>
            <w:r w:rsidRPr="00B11BD7">
              <w:rPr>
                <w:bCs/>
                <w:lang w:val="en-US"/>
              </w:rPr>
              <w:t xml:space="preserve"> Comply with legal requirements by promptly alerting the appropriate authorities to any questionable transactions. Implement systems for keeping detailed records of transactions, including customer and transactional information. You assist in the broader fight against money laundering by following the reporting requirements.</w:t>
            </w:r>
          </w:p>
          <w:p w14:paraId="31EEB834" w14:textId="77777777" w:rsidR="00617089" w:rsidRPr="001534D0" w:rsidRDefault="00617089" w:rsidP="001534D0">
            <w:pPr>
              <w:pStyle w:val="ListParagraph"/>
              <w:ind w:left="1080"/>
              <w:jc w:val="both"/>
              <w:rPr>
                <w:bCs/>
                <w:lang w:val="en-US"/>
              </w:rPr>
            </w:pPr>
          </w:p>
          <w:p w14:paraId="3F1766E0" w14:textId="77777777" w:rsidR="00BC18C3" w:rsidRDefault="00BC18C3" w:rsidP="00DA432C">
            <w:pPr>
              <w:jc w:val="both"/>
              <w:rPr>
                <w:bCs/>
                <w:lang w:val="en-US"/>
              </w:rPr>
            </w:pPr>
          </w:p>
          <w:p w14:paraId="565C60CB" w14:textId="77777777" w:rsidR="005A2609" w:rsidRDefault="005A2609" w:rsidP="00DA432C">
            <w:pPr>
              <w:jc w:val="both"/>
              <w:rPr>
                <w:bCs/>
                <w:lang w:val="en-US"/>
              </w:rPr>
            </w:pPr>
          </w:p>
          <w:p w14:paraId="00F1F3B3" w14:textId="77777777" w:rsidR="005A2609" w:rsidRDefault="005A2609" w:rsidP="00DA432C">
            <w:pPr>
              <w:jc w:val="both"/>
              <w:rPr>
                <w:bCs/>
                <w:lang w:val="en-US"/>
              </w:rPr>
            </w:pPr>
          </w:p>
          <w:p w14:paraId="725500C0" w14:textId="77777777" w:rsidR="00DA432C" w:rsidRDefault="00DA432C" w:rsidP="00DA432C">
            <w:pPr>
              <w:jc w:val="both"/>
              <w:rPr>
                <w:bCs/>
                <w:lang w:val="en-US"/>
              </w:rPr>
            </w:pPr>
          </w:p>
        </w:tc>
      </w:tr>
    </w:tbl>
    <w:p w14:paraId="1A8A9D5C" w14:textId="77777777" w:rsidR="00DA432C" w:rsidRPr="0022496B" w:rsidRDefault="00DA432C" w:rsidP="00972D0F">
      <w:pPr>
        <w:jc w:val="both"/>
        <w:rPr>
          <w:bCs/>
          <w:lang w:val="en-US"/>
        </w:rPr>
      </w:pPr>
    </w:p>
    <w:sectPr w:rsidR="00DA432C" w:rsidRPr="0022496B" w:rsidSect="00954896">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8ADA6" w14:textId="77777777" w:rsidR="00DD79D4" w:rsidRDefault="00DD79D4" w:rsidP="00954896">
      <w:pPr>
        <w:spacing w:after="0" w:line="240" w:lineRule="auto"/>
      </w:pPr>
      <w:r>
        <w:separator/>
      </w:r>
    </w:p>
  </w:endnote>
  <w:endnote w:type="continuationSeparator" w:id="0">
    <w:p w14:paraId="437DD4D6" w14:textId="77777777" w:rsidR="00DD79D4" w:rsidRDefault="00DD79D4" w:rsidP="0095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38080669"/>
      <w:docPartObj>
        <w:docPartGallery w:val="Page Numbers (Bottom of Page)"/>
        <w:docPartUnique/>
      </w:docPartObj>
    </w:sdtPr>
    <w:sdtEndPr>
      <w:rPr>
        <w:noProof/>
      </w:rPr>
    </w:sdtEndPr>
    <w:sdtContent>
      <w:p w14:paraId="0578A2FF" w14:textId="77777777" w:rsidR="00954896" w:rsidRPr="00954896" w:rsidRDefault="00954896">
        <w:pPr>
          <w:pStyle w:val="Footer"/>
          <w:jc w:val="right"/>
          <w:rPr>
            <w:sz w:val="18"/>
            <w:szCs w:val="18"/>
          </w:rPr>
        </w:pPr>
        <w:r w:rsidRPr="00954896">
          <w:rPr>
            <w:sz w:val="18"/>
            <w:szCs w:val="18"/>
          </w:rPr>
          <w:fldChar w:fldCharType="begin"/>
        </w:r>
        <w:r w:rsidRPr="00954896">
          <w:rPr>
            <w:sz w:val="18"/>
            <w:szCs w:val="18"/>
          </w:rPr>
          <w:instrText xml:space="preserve"> PAGE   \* MERGEFORMAT </w:instrText>
        </w:r>
        <w:r w:rsidRPr="00954896">
          <w:rPr>
            <w:sz w:val="18"/>
            <w:szCs w:val="18"/>
          </w:rPr>
          <w:fldChar w:fldCharType="separate"/>
        </w:r>
        <w:r w:rsidR="00431D97">
          <w:rPr>
            <w:noProof/>
            <w:sz w:val="18"/>
            <w:szCs w:val="18"/>
          </w:rPr>
          <w:t>2</w:t>
        </w:r>
        <w:r w:rsidRPr="00954896">
          <w:rPr>
            <w:noProof/>
            <w:sz w:val="18"/>
            <w:szCs w:val="18"/>
          </w:rPr>
          <w:fldChar w:fldCharType="end"/>
        </w:r>
      </w:p>
    </w:sdtContent>
  </w:sdt>
  <w:p w14:paraId="0011C996" w14:textId="77777777" w:rsidR="00954896" w:rsidRPr="00954896" w:rsidRDefault="00954896">
    <w:pPr>
      <w:pStyle w:val="Footer"/>
      <w:rPr>
        <w:sz w:val="18"/>
        <w:szCs w:val="18"/>
      </w:rPr>
    </w:pPr>
    <w:r w:rsidRPr="00954896">
      <w:rPr>
        <w:color w:val="7F7F7F" w:themeColor="text1" w:themeTint="80"/>
        <w:sz w:val="18"/>
        <w:szCs w:val="18"/>
      </w:rPr>
      <w:t>Worksheet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01A2C" w14:textId="77777777" w:rsidR="00DD79D4" w:rsidRDefault="00DD79D4" w:rsidP="00954896">
      <w:pPr>
        <w:spacing w:after="0" w:line="240" w:lineRule="auto"/>
      </w:pPr>
      <w:r>
        <w:separator/>
      </w:r>
    </w:p>
  </w:footnote>
  <w:footnote w:type="continuationSeparator" w:id="0">
    <w:p w14:paraId="7124775C" w14:textId="77777777" w:rsidR="00DD79D4" w:rsidRDefault="00DD79D4" w:rsidP="0095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6DFA" w14:textId="77777777" w:rsidR="00954896" w:rsidRDefault="00C30C6C">
    <w:pPr>
      <w:pStyle w:val="Header"/>
    </w:pPr>
    <w:r>
      <w:rPr>
        <w:noProof/>
        <w:lang w:eastAsia="en-SG"/>
      </w:rPr>
      <mc:AlternateContent>
        <mc:Choice Requires="wps">
          <w:drawing>
            <wp:anchor distT="0" distB="0" distL="114300" distR="114300" simplePos="0" relativeHeight="251661312" behindDoc="0" locked="0" layoutInCell="0" allowOverlap="1" wp14:anchorId="283BA355" wp14:editId="12F5AAE1">
              <wp:simplePos x="0" y="0"/>
              <wp:positionH relativeFrom="page">
                <wp:posOffset>0</wp:posOffset>
              </wp:positionH>
              <wp:positionV relativeFrom="page">
                <wp:posOffset>190500</wp:posOffset>
              </wp:positionV>
              <wp:extent cx="7560310" cy="273050"/>
              <wp:effectExtent l="0" t="0" r="0" b="12700"/>
              <wp:wrapNone/>
              <wp:docPr id="3" name="MSIPCM58a947aca9ba2d5e62a586cf"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51E0CC"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83BA355" id="_x0000_t202" coordsize="21600,21600" o:spt="202" path="m,l,21600r21600,l21600,xe">
              <v:stroke joinstyle="miter"/>
              <v:path gradientshapeok="t" o:connecttype="rect"/>
            </v:shapetype>
            <v:shape id="MSIPCM58a947aca9ba2d5e62a586cf" o:spid="_x0000_s1026" type="#_x0000_t202" alt="{&quot;HashCode&quot;:-574504238,&quot;Height&quot;:841.0,&quot;Width&quot;:595.0,&quot;Placement&quot;:&quot;Header&quot;,&quot;Index&quot;:&quot;Primary&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7751E0CC"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v:textbox>
              <w10:wrap anchorx="page" anchory="page"/>
            </v:shape>
          </w:pict>
        </mc:Fallback>
      </mc:AlternateContent>
    </w:r>
    <w:r w:rsidR="00954896" w:rsidRPr="00954896">
      <w:rPr>
        <w:noProof/>
        <w:lang w:eastAsia="en-SG"/>
      </w:rPr>
      <mc:AlternateContent>
        <mc:Choice Requires="wps">
          <w:drawing>
            <wp:anchor distT="0" distB="0" distL="114300" distR="114300" simplePos="0" relativeHeight="251660288" behindDoc="0" locked="0" layoutInCell="1" allowOverlap="1" wp14:anchorId="75A939A6" wp14:editId="7815932E">
              <wp:simplePos x="0" y="0"/>
              <wp:positionH relativeFrom="column">
                <wp:posOffset>-63500</wp:posOffset>
              </wp:positionH>
              <wp:positionV relativeFrom="paragraph">
                <wp:posOffset>-176530</wp:posOffset>
              </wp:positionV>
              <wp:extent cx="2533650" cy="381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81000"/>
                      </a:xfrm>
                      <a:prstGeom prst="rect">
                        <a:avLst/>
                      </a:prstGeom>
                      <a:noFill/>
                      <a:ln>
                        <a:noFill/>
                      </a:ln>
                    </wps:spPr>
                    <wps:txbx>
                      <w:txbxContent>
                        <w:p w14:paraId="30AF7680" w14:textId="7777777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C369 Financial Technologies</w:t>
                          </w:r>
                          <w:r w:rsidRPr="0093402C">
                            <w:rPr>
                              <w:rFonts w:ascii="Calibri" w:hAnsi="Calibri"/>
                              <w:smallCaps/>
                              <w:color w:val="7F7F7F" w:themeColor="text1" w:themeTint="80"/>
                              <w:sz w:val="18"/>
                              <w:szCs w:val="18"/>
                            </w:rPr>
                            <w:t xml:space="preserve"> </w:t>
                          </w:r>
                        </w:p>
                        <w:p w14:paraId="5661E477" w14:textId="05089F3A"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87495">
                            <w:rPr>
                              <w:rFonts w:ascii="Calibri" w:hAnsi="Calibri"/>
                              <w:smallCaps/>
                              <w:color w:val="7F7F7F" w:themeColor="text1" w:themeTint="80"/>
                              <w:sz w:val="18"/>
                              <w:szCs w:val="18"/>
                            </w:rPr>
                            <w:t>3</w:t>
                          </w:r>
                          <w:r>
                            <w:rPr>
                              <w:rFonts w:ascii="Calibri" w:hAnsi="Calibri"/>
                              <w:smallCaps/>
                              <w:color w:val="7F7F7F" w:themeColor="text1" w:themeTint="80"/>
                              <w:sz w:val="18"/>
                              <w:szCs w:val="18"/>
                            </w:rPr>
                            <w:t xml:space="preserve"> SEM1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A939A6" id="Text Box 2" o:spid="_x0000_s1027" type="#_x0000_t202" style="position:absolute;margin-left:-5pt;margin-top:-13.9pt;width:199.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" filled="f" stroked="f">
              <v:textbox>
                <w:txbxContent>
                  <w:p w14:paraId="30AF7680" w14:textId="7777777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C369 Financial Technologies</w:t>
                    </w:r>
                    <w:r w:rsidRPr="0093402C">
                      <w:rPr>
                        <w:rFonts w:ascii="Calibri" w:hAnsi="Calibri"/>
                        <w:smallCaps/>
                        <w:color w:val="7F7F7F" w:themeColor="text1" w:themeTint="80"/>
                        <w:sz w:val="18"/>
                        <w:szCs w:val="18"/>
                      </w:rPr>
                      <w:t xml:space="preserve"> </w:t>
                    </w:r>
                  </w:p>
                  <w:p w14:paraId="5661E477" w14:textId="05089F3A"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87495">
                      <w:rPr>
                        <w:rFonts w:ascii="Calibri" w:hAnsi="Calibri"/>
                        <w:smallCaps/>
                        <w:color w:val="7F7F7F" w:themeColor="text1" w:themeTint="80"/>
                        <w:sz w:val="18"/>
                        <w:szCs w:val="18"/>
                      </w:rPr>
                      <w:t>3</w:t>
                    </w:r>
                    <w:r>
                      <w:rPr>
                        <w:rFonts w:ascii="Calibri" w:hAnsi="Calibri"/>
                        <w:smallCaps/>
                        <w:color w:val="7F7F7F" w:themeColor="text1" w:themeTint="80"/>
                        <w:sz w:val="18"/>
                        <w:szCs w:val="18"/>
                      </w:rPr>
                      <w:t xml:space="preserve"> SEM1</w:t>
                    </w:r>
                  </w:p>
                </w:txbxContent>
              </v:textbox>
            </v:shape>
          </w:pict>
        </mc:Fallback>
      </mc:AlternateContent>
    </w:r>
    <w:r w:rsidR="00954896" w:rsidRPr="00954896">
      <w:rPr>
        <w:noProof/>
        <w:lang w:eastAsia="en-SG"/>
      </w:rPr>
      <w:drawing>
        <wp:anchor distT="0" distB="0" distL="114300" distR="114300" simplePos="0" relativeHeight="251659264" behindDoc="0" locked="0" layoutInCell="1" allowOverlap="1" wp14:anchorId="6EBC51E8" wp14:editId="499F1769">
          <wp:simplePos x="0" y="0"/>
          <wp:positionH relativeFrom="column">
            <wp:posOffset>5095875</wp:posOffset>
          </wp:positionH>
          <wp:positionV relativeFrom="paragraph">
            <wp:posOffset>-260985</wp:posOffset>
          </wp:positionV>
          <wp:extent cx="1097280" cy="5486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7280" cy="54864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8E6"/>
    <w:multiLevelType w:val="hybridMultilevel"/>
    <w:tmpl w:val="AACABD42"/>
    <w:lvl w:ilvl="0" w:tplc="32262216">
      <w:start w:val="1"/>
      <w:numFmt w:val="lowerRoman"/>
      <w:lvlText w:val="%1."/>
      <w:lvlJc w:val="left"/>
      <w:pPr>
        <w:ind w:left="1080" w:hanging="720"/>
      </w:pPr>
      <w:rPr>
        <w:rFonts w:hint="default"/>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1A0BC0"/>
    <w:multiLevelType w:val="hybridMultilevel"/>
    <w:tmpl w:val="CE681926"/>
    <w:lvl w:ilvl="0" w:tplc="0F7208DE">
      <w:numFmt w:val="bullet"/>
      <w:lvlText w:val="-"/>
      <w:lvlJc w:val="left"/>
      <w:pPr>
        <w:ind w:left="720" w:hanging="360"/>
      </w:pPr>
      <w:rPr>
        <w:rFonts w:ascii="Calibri" w:eastAsiaTheme="minorEastAsia" w:hAnsi="Calibri" w:cs="Calibr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B65AF3"/>
    <w:multiLevelType w:val="hybridMultilevel"/>
    <w:tmpl w:val="CDA4B5F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0E84063F"/>
    <w:multiLevelType w:val="hybridMultilevel"/>
    <w:tmpl w:val="BCCC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E96497B"/>
    <w:multiLevelType w:val="hybridMultilevel"/>
    <w:tmpl w:val="74D0B5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43F580B"/>
    <w:multiLevelType w:val="hybridMultilevel"/>
    <w:tmpl w:val="7BEA276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6C47FF4"/>
    <w:multiLevelType w:val="hybridMultilevel"/>
    <w:tmpl w:val="AAFE5B1A"/>
    <w:lvl w:ilvl="0" w:tplc="4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D25431"/>
    <w:multiLevelType w:val="hybridMultilevel"/>
    <w:tmpl w:val="0F905566"/>
    <w:lvl w:ilvl="0" w:tplc="0CA8D8A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C032365"/>
    <w:multiLevelType w:val="hybridMultilevel"/>
    <w:tmpl w:val="215C43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CEB7714"/>
    <w:multiLevelType w:val="hybridMultilevel"/>
    <w:tmpl w:val="6D4EA6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0B357A"/>
    <w:multiLevelType w:val="hybridMultilevel"/>
    <w:tmpl w:val="09AC6D86"/>
    <w:lvl w:ilvl="0" w:tplc="BEA8E8CA">
      <w:numFmt w:val="bullet"/>
      <w:lvlText w:val="-"/>
      <w:lvlJc w:val="left"/>
      <w:pPr>
        <w:ind w:left="720" w:hanging="360"/>
      </w:pPr>
      <w:rPr>
        <w:rFonts w:ascii="Calibri" w:eastAsia="Cambr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F43925"/>
    <w:multiLevelType w:val="hybridMultilevel"/>
    <w:tmpl w:val="C8C25932"/>
    <w:lvl w:ilvl="0" w:tplc="48090017">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C04790E"/>
    <w:multiLevelType w:val="hybridMultilevel"/>
    <w:tmpl w:val="A69AE7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E140B62"/>
    <w:multiLevelType w:val="hybridMultilevel"/>
    <w:tmpl w:val="B18237E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5DC64F1F"/>
    <w:multiLevelType w:val="hybridMultilevel"/>
    <w:tmpl w:val="3B34CD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FFE56E6"/>
    <w:multiLevelType w:val="hybridMultilevel"/>
    <w:tmpl w:val="20DA90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05A1FB5"/>
    <w:multiLevelType w:val="hybridMultilevel"/>
    <w:tmpl w:val="1EBA4998"/>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7" w15:restartNumberingAfterBreak="0">
    <w:nsid w:val="60904907"/>
    <w:multiLevelType w:val="hybridMultilevel"/>
    <w:tmpl w:val="249CB764"/>
    <w:lvl w:ilvl="0" w:tplc="BEA8E8CA">
      <w:numFmt w:val="bullet"/>
      <w:lvlText w:val="-"/>
      <w:lvlJc w:val="left"/>
      <w:pPr>
        <w:ind w:left="460" w:hanging="360"/>
      </w:pPr>
      <w:rPr>
        <w:rFonts w:ascii="Calibri" w:eastAsia="Cambria" w:hAnsi="Calibri" w:cs="Calibri" w:hint="default"/>
      </w:rPr>
    </w:lvl>
    <w:lvl w:ilvl="1" w:tplc="48090003">
      <w:start w:val="1"/>
      <w:numFmt w:val="bullet"/>
      <w:lvlText w:val="o"/>
      <w:lvlJc w:val="left"/>
      <w:pPr>
        <w:ind w:left="1180" w:hanging="360"/>
      </w:pPr>
      <w:rPr>
        <w:rFonts w:ascii="Courier New" w:hAnsi="Courier New" w:cs="Courier New" w:hint="default"/>
      </w:rPr>
    </w:lvl>
    <w:lvl w:ilvl="2" w:tplc="48090005" w:tentative="1">
      <w:start w:val="1"/>
      <w:numFmt w:val="bullet"/>
      <w:lvlText w:val=""/>
      <w:lvlJc w:val="left"/>
      <w:pPr>
        <w:ind w:left="1900" w:hanging="360"/>
      </w:pPr>
      <w:rPr>
        <w:rFonts w:ascii="Wingdings" w:hAnsi="Wingdings" w:hint="default"/>
      </w:rPr>
    </w:lvl>
    <w:lvl w:ilvl="3" w:tplc="48090001" w:tentative="1">
      <w:start w:val="1"/>
      <w:numFmt w:val="bullet"/>
      <w:lvlText w:val=""/>
      <w:lvlJc w:val="left"/>
      <w:pPr>
        <w:ind w:left="2620" w:hanging="360"/>
      </w:pPr>
      <w:rPr>
        <w:rFonts w:ascii="Symbol" w:hAnsi="Symbol" w:hint="default"/>
      </w:rPr>
    </w:lvl>
    <w:lvl w:ilvl="4" w:tplc="48090003" w:tentative="1">
      <w:start w:val="1"/>
      <w:numFmt w:val="bullet"/>
      <w:lvlText w:val="o"/>
      <w:lvlJc w:val="left"/>
      <w:pPr>
        <w:ind w:left="3340" w:hanging="360"/>
      </w:pPr>
      <w:rPr>
        <w:rFonts w:ascii="Courier New" w:hAnsi="Courier New" w:cs="Courier New" w:hint="default"/>
      </w:rPr>
    </w:lvl>
    <w:lvl w:ilvl="5" w:tplc="48090005" w:tentative="1">
      <w:start w:val="1"/>
      <w:numFmt w:val="bullet"/>
      <w:lvlText w:val=""/>
      <w:lvlJc w:val="left"/>
      <w:pPr>
        <w:ind w:left="4060" w:hanging="360"/>
      </w:pPr>
      <w:rPr>
        <w:rFonts w:ascii="Wingdings" w:hAnsi="Wingdings" w:hint="default"/>
      </w:rPr>
    </w:lvl>
    <w:lvl w:ilvl="6" w:tplc="48090001" w:tentative="1">
      <w:start w:val="1"/>
      <w:numFmt w:val="bullet"/>
      <w:lvlText w:val=""/>
      <w:lvlJc w:val="left"/>
      <w:pPr>
        <w:ind w:left="4780" w:hanging="360"/>
      </w:pPr>
      <w:rPr>
        <w:rFonts w:ascii="Symbol" w:hAnsi="Symbol" w:hint="default"/>
      </w:rPr>
    </w:lvl>
    <w:lvl w:ilvl="7" w:tplc="48090003" w:tentative="1">
      <w:start w:val="1"/>
      <w:numFmt w:val="bullet"/>
      <w:lvlText w:val="o"/>
      <w:lvlJc w:val="left"/>
      <w:pPr>
        <w:ind w:left="5500" w:hanging="360"/>
      </w:pPr>
      <w:rPr>
        <w:rFonts w:ascii="Courier New" w:hAnsi="Courier New" w:cs="Courier New" w:hint="default"/>
      </w:rPr>
    </w:lvl>
    <w:lvl w:ilvl="8" w:tplc="48090005" w:tentative="1">
      <w:start w:val="1"/>
      <w:numFmt w:val="bullet"/>
      <w:lvlText w:val=""/>
      <w:lvlJc w:val="left"/>
      <w:pPr>
        <w:ind w:left="6220" w:hanging="360"/>
      </w:pPr>
      <w:rPr>
        <w:rFonts w:ascii="Wingdings" w:hAnsi="Wingdings" w:hint="default"/>
      </w:rPr>
    </w:lvl>
  </w:abstractNum>
  <w:abstractNum w:abstractNumId="18" w15:restartNumberingAfterBreak="0">
    <w:nsid w:val="62B33C18"/>
    <w:multiLevelType w:val="hybridMultilevel"/>
    <w:tmpl w:val="9E024F8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2503C5F"/>
    <w:multiLevelType w:val="hybridMultilevel"/>
    <w:tmpl w:val="891EC51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C9A7115"/>
    <w:multiLevelType w:val="hybridMultilevel"/>
    <w:tmpl w:val="F0F0CB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85629782">
    <w:abstractNumId w:val="13"/>
  </w:num>
  <w:num w:numId="2" w16cid:durableId="1388451838">
    <w:abstractNumId w:val="9"/>
  </w:num>
  <w:num w:numId="3" w16cid:durableId="1968004561">
    <w:abstractNumId w:val="19"/>
  </w:num>
  <w:num w:numId="4" w16cid:durableId="1454133138">
    <w:abstractNumId w:val="5"/>
  </w:num>
  <w:num w:numId="5" w16cid:durableId="676689914">
    <w:abstractNumId w:val="7"/>
  </w:num>
  <w:num w:numId="6" w16cid:durableId="1121848813">
    <w:abstractNumId w:val="1"/>
  </w:num>
  <w:num w:numId="7" w16cid:durableId="1098208676">
    <w:abstractNumId w:val="18"/>
  </w:num>
  <w:num w:numId="8" w16cid:durableId="291518271">
    <w:abstractNumId w:val="14"/>
  </w:num>
  <w:num w:numId="9" w16cid:durableId="2117821841">
    <w:abstractNumId w:val="4"/>
  </w:num>
  <w:num w:numId="10" w16cid:durableId="881939613">
    <w:abstractNumId w:val="20"/>
  </w:num>
  <w:num w:numId="11" w16cid:durableId="494536954">
    <w:abstractNumId w:val="15"/>
  </w:num>
  <w:num w:numId="12" w16cid:durableId="505022321">
    <w:abstractNumId w:val="17"/>
  </w:num>
  <w:num w:numId="13" w16cid:durableId="1972788699">
    <w:abstractNumId w:val="11"/>
  </w:num>
  <w:num w:numId="14" w16cid:durableId="658846886">
    <w:abstractNumId w:val="3"/>
  </w:num>
  <w:num w:numId="15" w16cid:durableId="1501891193">
    <w:abstractNumId w:val="10"/>
  </w:num>
  <w:num w:numId="16" w16cid:durableId="1900944981">
    <w:abstractNumId w:val="12"/>
  </w:num>
  <w:num w:numId="17" w16cid:durableId="178742387">
    <w:abstractNumId w:val="6"/>
  </w:num>
  <w:num w:numId="18" w16cid:durableId="516969004">
    <w:abstractNumId w:val="0"/>
  </w:num>
  <w:num w:numId="19" w16cid:durableId="1150487371">
    <w:abstractNumId w:val="16"/>
  </w:num>
  <w:num w:numId="20" w16cid:durableId="1741446070">
    <w:abstractNumId w:val="8"/>
  </w:num>
  <w:num w:numId="21" w16cid:durableId="65702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63"/>
    <w:rsid w:val="00006A9C"/>
    <w:rsid w:val="00006BD8"/>
    <w:rsid w:val="000138DA"/>
    <w:rsid w:val="00055BA0"/>
    <w:rsid w:val="00055C9F"/>
    <w:rsid w:val="00061FDA"/>
    <w:rsid w:val="00083978"/>
    <w:rsid w:val="0009798A"/>
    <w:rsid w:val="000B3AAB"/>
    <w:rsid w:val="000F6F71"/>
    <w:rsid w:val="00113A4F"/>
    <w:rsid w:val="00121FAC"/>
    <w:rsid w:val="001534D0"/>
    <w:rsid w:val="00165981"/>
    <w:rsid w:val="00175A7F"/>
    <w:rsid w:val="0018609F"/>
    <w:rsid w:val="00190233"/>
    <w:rsid w:val="0019558B"/>
    <w:rsid w:val="001A6D73"/>
    <w:rsid w:val="001C78DF"/>
    <w:rsid w:val="001D4504"/>
    <w:rsid w:val="001E583E"/>
    <w:rsid w:val="001F04DB"/>
    <w:rsid w:val="001F0DEA"/>
    <w:rsid w:val="001F4F4A"/>
    <w:rsid w:val="001F5E77"/>
    <w:rsid w:val="001F7453"/>
    <w:rsid w:val="0022496B"/>
    <w:rsid w:val="00236E4B"/>
    <w:rsid w:val="00246D3D"/>
    <w:rsid w:val="00253002"/>
    <w:rsid w:val="00255105"/>
    <w:rsid w:val="002616CB"/>
    <w:rsid w:val="0027496A"/>
    <w:rsid w:val="0027712D"/>
    <w:rsid w:val="00286B13"/>
    <w:rsid w:val="00286D4D"/>
    <w:rsid w:val="0029488E"/>
    <w:rsid w:val="002B3BAE"/>
    <w:rsid w:val="002E1EE8"/>
    <w:rsid w:val="002F6607"/>
    <w:rsid w:val="003216C9"/>
    <w:rsid w:val="0032333D"/>
    <w:rsid w:val="00326F20"/>
    <w:rsid w:val="0033515B"/>
    <w:rsid w:val="00360402"/>
    <w:rsid w:val="00390363"/>
    <w:rsid w:val="00393E31"/>
    <w:rsid w:val="00397A43"/>
    <w:rsid w:val="003A0904"/>
    <w:rsid w:val="003A2AA1"/>
    <w:rsid w:val="003A3FEF"/>
    <w:rsid w:val="003B396E"/>
    <w:rsid w:val="003E2AE1"/>
    <w:rsid w:val="003E6D3A"/>
    <w:rsid w:val="003F18B6"/>
    <w:rsid w:val="004069CC"/>
    <w:rsid w:val="00411A53"/>
    <w:rsid w:val="00412364"/>
    <w:rsid w:val="004166EC"/>
    <w:rsid w:val="004178C6"/>
    <w:rsid w:val="00431D97"/>
    <w:rsid w:val="00435886"/>
    <w:rsid w:val="00457A1F"/>
    <w:rsid w:val="004662B9"/>
    <w:rsid w:val="00466B6A"/>
    <w:rsid w:val="00473077"/>
    <w:rsid w:val="00482EBA"/>
    <w:rsid w:val="00487495"/>
    <w:rsid w:val="00487565"/>
    <w:rsid w:val="004E25F7"/>
    <w:rsid w:val="004E378F"/>
    <w:rsid w:val="004F4A0F"/>
    <w:rsid w:val="00512FDF"/>
    <w:rsid w:val="0051334B"/>
    <w:rsid w:val="0057072E"/>
    <w:rsid w:val="00581CEE"/>
    <w:rsid w:val="0059200D"/>
    <w:rsid w:val="005A2609"/>
    <w:rsid w:val="005C330D"/>
    <w:rsid w:val="005C53AB"/>
    <w:rsid w:val="00605B13"/>
    <w:rsid w:val="00617089"/>
    <w:rsid w:val="00623F82"/>
    <w:rsid w:val="0063395E"/>
    <w:rsid w:val="0065566A"/>
    <w:rsid w:val="0065741F"/>
    <w:rsid w:val="0066432C"/>
    <w:rsid w:val="00677D03"/>
    <w:rsid w:val="006C1B92"/>
    <w:rsid w:val="006C7BDE"/>
    <w:rsid w:val="006D0CC6"/>
    <w:rsid w:val="006E5076"/>
    <w:rsid w:val="006F6ECD"/>
    <w:rsid w:val="00704C55"/>
    <w:rsid w:val="00706435"/>
    <w:rsid w:val="00712081"/>
    <w:rsid w:val="00727E0E"/>
    <w:rsid w:val="00733E22"/>
    <w:rsid w:val="00763EE6"/>
    <w:rsid w:val="007642C9"/>
    <w:rsid w:val="007800CA"/>
    <w:rsid w:val="0079750E"/>
    <w:rsid w:val="007B74F5"/>
    <w:rsid w:val="007C744A"/>
    <w:rsid w:val="007D6310"/>
    <w:rsid w:val="007E2060"/>
    <w:rsid w:val="007E5D3C"/>
    <w:rsid w:val="0080096E"/>
    <w:rsid w:val="00806687"/>
    <w:rsid w:val="00831654"/>
    <w:rsid w:val="00844F76"/>
    <w:rsid w:val="00845302"/>
    <w:rsid w:val="00853DFB"/>
    <w:rsid w:val="008563EC"/>
    <w:rsid w:val="00856451"/>
    <w:rsid w:val="00872F7B"/>
    <w:rsid w:val="00874BF1"/>
    <w:rsid w:val="00884C41"/>
    <w:rsid w:val="008D421D"/>
    <w:rsid w:val="008E5A61"/>
    <w:rsid w:val="008F0A54"/>
    <w:rsid w:val="008F3C12"/>
    <w:rsid w:val="008F7C74"/>
    <w:rsid w:val="00904287"/>
    <w:rsid w:val="00926AC9"/>
    <w:rsid w:val="00942217"/>
    <w:rsid w:val="00943D31"/>
    <w:rsid w:val="00953160"/>
    <w:rsid w:val="00954896"/>
    <w:rsid w:val="00972D0F"/>
    <w:rsid w:val="009A3077"/>
    <w:rsid w:val="009A390E"/>
    <w:rsid w:val="009B4D15"/>
    <w:rsid w:val="009C0CDD"/>
    <w:rsid w:val="009D1071"/>
    <w:rsid w:val="009D14B0"/>
    <w:rsid w:val="009E624E"/>
    <w:rsid w:val="009F5FDF"/>
    <w:rsid w:val="00A02B82"/>
    <w:rsid w:val="00A1090E"/>
    <w:rsid w:val="00A16CE5"/>
    <w:rsid w:val="00A25728"/>
    <w:rsid w:val="00A37E25"/>
    <w:rsid w:val="00A42E90"/>
    <w:rsid w:val="00A52BFC"/>
    <w:rsid w:val="00A73521"/>
    <w:rsid w:val="00A877A2"/>
    <w:rsid w:val="00AA1415"/>
    <w:rsid w:val="00AA7474"/>
    <w:rsid w:val="00AB4B28"/>
    <w:rsid w:val="00AF3B9D"/>
    <w:rsid w:val="00B006F6"/>
    <w:rsid w:val="00B01B71"/>
    <w:rsid w:val="00B051AE"/>
    <w:rsid w:val="00B11BD7"/>
    <w:rsid w:val="00B15845"/>
    <w:rsid w:val="00B170AB"/>
    <w:rsid w:val="00B22DA7"/>
    <w:rsid w:val="00B45086"/>
    <w:rsid w:val="00B46B9A"/>
    <w:rsid w:val="00B56059"/>
    <w:rsid w:val="00B61842"/>
    <w:rsid w:val="00B61F80"/>
    <w:rsid w:val="00B6646E"/>
    <w:rsid w:val="00B6662E"/>
    <w:rsid w:val="00B85646"/>
    <w:rsid w:val="00B86DC5"/>
    <w:rsid w:val="00B920CF"/>
    <w:rsid w:val="00B96761"/>
    <w:rsid w:val="00BB0052"/>
    <w:rsid w:val="00BB324C"/>
    <w:rsid w:val="00BC18C3"/>
    <w:rsid w:val="00BE7857"/>
    <w:rsid w:val="00C227B4"/>
    <w:rsid w:val="00C30C6C"/>
    <w:rsid w:val="00C344BD"/>
    <w:rsid w:val="00C34BCC"/>
    <w:rsid w:val="00C40380"/>
    <w:rsid w:val="00C45B8E"/>
    <w:rsid w:val="00C54568"/>
    <w:rsid w:val="00C56670"/>
    <w:rsid w:val="00C626B4"/>
    <w:rsid w:val="00C726AB"/>
    <w:rsid w:val="00C77771"/>
    <w:rsid w:val="00C77D01"/>
    <w:rsid w:val="00C94709"/>
    <w:rsid w:val="00C96012"/>
    <w:rsid w:val="00CA614E"/>
    <w:rsid w:val="00CB042D"/>
    <w:rsid w:val="00CB5507"/>
    <w:rsid w:val="00D120F3"/>
    <w:rsid w:val="00D21DEF"/>
    <w:rsid w:val="00D46443"/>
    <w:rsid w:val="00D51189"/>
    <w:rsid w:val="00D61F29"/>
    <w:rsid w:val="00D633DE"/>
    <w:rsid w:val="00D6501A"/>
    <w:rsid w:val="00D70C91"/>
    <w:rsid w:val="00D74333"/>
    <w:rsid w:val="00D92F55"/>
    <w:rsid w:val="00DA432C"/>
    <w:rsid w:val="00DC29CD"/>
    <w:rsid w:val="00DD79D4"/>
    <w:rsid w:val="00DE2414"/>
    <w:rsid w:val="00E01231"/>
    <w:rsid w:val="00E0628B"/>
    <w:rsid w:val="00E15715"/>
    <w:rsid w:val="00E30639"/>
    <w:rsid w:val="00E30893"/>
    <w:rsid w:val="00E30F56"/>
    <w:rsid w:val="00E32BD9"/>
    <w:rsid w:val="00E40E9F"/>
    <w:rsid w:val="00E4590B"/>
    <w:rsid w:val="00E700F1"/>
    <w:rsid w:val="00E727AB"/>
    <w:rsid w:val="00E80ACA"/>
    <w:rsid w:val="00EA0CE9"/>
    <w:rsid w:val="00EA4EBD"/>
    <w:rsid w:val="00EB6628"/>
    <w:rsid w:val="00EC5809"/>
    <w:rsid w:val="00ED46D8"/>
    <w:rsid w:val="00ED4B7D"/>
    <w:rsid w:val="00EE1E43"/>
    <w:rsid w:val="00EE58A6"/>
    <w:rsid w:val="00F109F9"/>
    <w:rsid w:val="00F11D0A"/>
    <w:rsid w:val="00F143EE"/>
    <w:rsid w:val="00F24E46"/>
    <w:rsid w:val="00F32E8E"/>
    <w:rsid w:val="00F36A32"/>
    <w:rsid w:val="00F57531"/>
    <w:rsid w:val="00F6229C"/>
    <w:rsid w:val="00F70E1A"/>
    <w:rsid w:val="00F87E68"/>
    <w:rsid w:val="00FB0E34"/>
    <w:rsid w:val="00FB68CF"/>
    <w:rsid w:val="00FB724E"/>
    <w:rsid w:val="00FD0642"/>
    <w:rsid w:val="00FF7E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95481"/>
  <w15:chartTrackingRefBased/>
  <w15:docId w15:val="{EAAD5B74-F35D-47E7-A372-866D6871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54896"/>
    <w:pPr>
      <w:tabs>
        <w:tab w:val="center" w:pos="4513"/>
        <w:tab w:val="right" w:pos="9026"/>
      </w:tabs>
      <w:spacing w:after="0" w:line="240" w:lineRule="auto"/>
    </w:pPr>
  </w:style>
  <w:style w:type="character" w:customStyle="1" w:styleId="HeaderChar">
    <w:name w:val="Header Char"/>
    <w:basedOn w:val="DefaultParagraphFont"/>
    <w:link w:val="Header"/>
    <w:rsid w:val="00954896"/>
  </w:style>
  <w:style w:type="paragraph" w:styleId="Footer">
    <w:name w:val="footer"/>
    <w:basedOn w:val="Normal"/>
    <w:link w:val="FooterChar"/>
    <w:uiPriority w:val="99"/>
    <w:unhideWhenUsed/>
    <w:rsid w:val="0095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896"/>
  </w:style>
  <w:style w:type="paragraph" w:styleId="ListParagraph">
    <w:name w:val="List Paragraph"/>
    <w:aliases w:val="alphabet listing,RUS List,Noise heading,Credits,List Paragraph1,Normal 1,Text,Cell bullets,Rec para,Number abc,a List Paragraph"/>
    <w:basedOn w:val="Normal"/>
    <w:link w:val="ListParagraphChar"/>
    <w:uiPriority w:val="1"/>
    <w:qFormat/>
    <w:rsid w:val="00CA614E"/>
    <w:pPr>
      <w:ind w:left="720"/>
      <w:contextualSpacing/>
    </w:pPr>
  </w:style>
  <w:style w:type="table" w:styleId="TableGrid">
    <w:name w:val="Table Grid"/>
    <w:basedOn w:val="TableNormal"/>
    <w:uiPriority w:val="39"/>
    <w:rsid w:val="00C7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FEF"/>
    <w:rPr>
      <w:color w:val="0563C1" w:themeColor="hyperlink"/>
      <w:u w:val="single"/>
    </w:rPr>
  </w:style>
  <w:style w:type="paragraph" w:styleId="NoSpacing">
    <w:name w:val="No Spacing"/>
    <w:uiPriority w:val="1"/>
    <w:qFormat/>
    <w:rsid w:val="00EA0CE9"/>
    <w:pPr>
      <w:spacing w:after="0" w:line="240" w:lineRule="auto"/>
    </w:pPr>
  </w:style>
  <w:style w:type="paragraph" w:styleId="BalloonText">
    <w:name w:val="Balloon Text"/>
    <w:basedOn w:val="Normal"/>
    <w:link w:val="BalloonTextChar"/>
    <w:uiPriority w:val="99"/>
    <w:semiHidden/>
    <w:unhideWhenUsed/>
    <w:rsid w:val="00C30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C6C"/>
    <w:rPr>
      <w:rFonts w:ascii="Segoe UI" w:hAnsi="Segoe UI" w:cs="Segoe UI"/>
      <w:sz w:val="18"/>
      <w:szCs w:val="18"/>
    </w:rPr>
  </w:style>
  <w:style w:type="character" w:styleId="UnresolvedMention">
    <w:name w:val="Unresolved Mention"/>
    <w:basedOn w:val="DefaultParagraphFont"/>
    <w:uiPriority w:val="99"/>
    <w:semiHidden/>
    <w:unhideWhenUsed/>
    <w:rsid w:val="004069CC"/>
    <w:rPr>
      <w:color w:val="605E5C"/>
      <w:shd w:val="clear" w:color="auto" w:fill="E1DFDD"/>
    </w:rPr>
  </w:style>
  <w:style w:type="paragraph" w:styleId="NormalWeb">
    <w:name w:val="Normal (Web)"/>
    <w:basedOn w:val="Normal"/>
    <w:uiPriority w:val="99"/>
    <w:semiHidden/>
    <w:unhideWhenUsed/>
    <w:rsid w:val="00B86DC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178C6"/>
  </w:style>
  <w:style w:type="paragraph" w:customStyle="1" w:styleId="WSHeadings">
    <w:name w:val="WS Headings"/>
    <w:basedOn w:val="Heading1"/>
    <w:link w:val="WSHeadingsChar"/>
    <w:qFormat/>
    <w:rsid w:val="00972D0F"/>
    <w:rPr>
      <w:rFonts w:cstheme="minorHAnsi"/>
      <w:b/>
      <w:lang w:val="en-US"/>
    </w:rPr>
  </w:style>
  <w:style w:type="character" w:customStyle="1" w:styleId="WSHeadingsChar">
    <w:name w:val="WS Headings Char"/>
    <w:basedOn w:val="Heading1Char"/>
    <w:link w:val="WSHeadings"/>
    <w:rsid w:val="00972D0F"/>
    <w:rPr>
      <w:rFonts w:asciiTheme="majorHAnsi" w:eastAsiaTheme="majorEastAsia" w:hAnsiTheme="majorHAnsi" w:cstheme="minorHAnsi"/>
      <w:b/>
      <w:color w:val="2E74B5" w:themeColor="accent1" w:themeShade="BF"/>
      <w:sz w:val="32"/>
      <w:szCs w:val="32"/>
      <w:lang w:val="en-US"/>
    </w:rPr>
  </w:style>
  <w:style w:type="character" w:customStyle="1" w:styleId="Heading1Char">
    <w:name w:val="Heading 1 Char"/>
    <w:basedOn w:val="DefaultParagraphFont"/>
    <w:link w:val="Heading1"/>
    <w:uiPriority w:val="9"/>
    <w:rsid w:val="00972D0F"/>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A432C"/>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DA432C"/>
    <w:rPr>
      <w:rFonts w:ascii="Cambria" w:eastAsia="Cambria" w:hAnsi="Cambria" w:cs="Cambria"/>
      <w:sz w:val="24"/>
      <w:szCs w:val="24"/>
      <w:lang w:val="en-US"/>
    </w:rPr>
  </w:style>
  <w:style w:type="character" w:styleId="FollowedHyperlink">
    <w:name w:val="FollowedHyperlink"/>
    <w:basedOn w:val="DefaultParagraphFont"/>
    <w:uiPriority w:val="99"/>
    <w:semiHidden/>
    <w:unhideWhenUsed/>
    <w:rsid w:val="009A3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3785">
      <w:bodyDiv w:val="1"/>
      <w:marLeft w:val="0"/>
      <w:marRight w:val="0"/>
      <w:marTop w:val="0"/>
      <w:marBottom w:val="0"/>
      <w:divBdr>
        <w:top w:val="none" w:sz="0" w:space="0" w:color="auto"/>
        <w:left w:val="none" w:sz="0" w:space="0" w:color="auto"/>
        <w:bottom w:val="none" w:sz="0" w:space="0" w:color="auto"/>
        <w:right w:val="none" w:sz="0" w:space="0" w:color="auto"/>
      </w:divBdr>
    </w:div>
    <w:div w:id="367072950">
      <w:bodyDiv w:val="1"/>
      <w:marLeft w:val="0"/>
      <w:marRight w:val="0"/>
      <w:marTop w:val="0"/>
      <w:marBottom w:val="0"/>
      <w:divBdr>
        <w:top w:val="none" w:sz="0" w:space="0" w:color="auto"/>
        <w:left w:val="none" w:sz="0" w:space="0" w:color="auto"/>
        <w:bottom w:val="none" w:sz="0" w:space="0" w:color="auto"/>
        <w:right w:val="none" w:sz="0" w:space="0" w:color="auto"/>
      </w:divBdr>
    </w:div>
    <w:div w:id="385883609">
      <w:bodyDiv w:val="1"/>
      <w:marLeft w:val="0"/>
      <w:marRight w:val="0"/>
      <w:marTop w:val="0"/>
      <w:marBottom w:val="0"/>
      <w:divBdr>
        <w:top w:val="none" w:sz="0" w:space="0" w:color="auto"/>
        <w:left w:val="none" w:sz="0" w:space="0" w:color="auto"/>
        <w:bottom w:val="none" w:sz="0" w:space="0" w:color="auto"/>
        <w:right w:val="none" w:sz="0" w:space="0" w:color="auto"/>
      </w:divBdr>
    </w:div>
    <w:div w:id="543181930">
      <w:bodyDiv w:val="1"/>
      <w:marLeft w:val="0"/>
      <w:marRight w:val="0"/>
      <w:marTop w:val="0"/>
      <w:marBottom w:val="0"/>
      <w:divBdr>
        <w:top w:val="none" w:sz="0" w:space="0" w:color="auto"/>
        <w:left w:val="none" w:sz="0" w:space="0" w:color="auto"/>
        <w:bottom w:val="none" w:sz="0" w:space="0" w:color="auto"/>
        <w:right w:val="none" w:sz="0" w:space="0" w:color="auto"/>
      </w:divBdr>
    </w:div>
    <w:div w:id="18643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rvices.mas.gov.sg/fi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s.gov.sg/regulat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B185EAE5C4B24999F64AF816DDB529" ma:contentTypeVersion="20" ma:contentTypeDescription="Create a new document." ma:contentTypeScope="" ma:versionID="7767e2e0c5a263faefbc17e7c25151dd">
  <xsd:schema xmlns:xsd="http://www.w3.org/2001/XMLSchema" xmlns:xs="http://www.w3.org/2001/XMLSchema" xmlns:p="http://schemas.microsoft.com/office/2006/metadata/properties" xmlns:ns1="http://schemas.microsoft.com/sharepoint/v3" xmlns:ns2="802e93c6-f87a-4558-8da6-f509a09420d4" xmlns:ns3="dcf6e893-e20c-40e6-ba02-1fef41a8159d" targetNamespace="http://schemas.microsoft.com/office/2006/metadata/properties" ma:root="true" ma:fieldsID="6c7132f0ce950e07a6c46b0b68087da5" ns1:_="" ns2:_="" ns3:_="">
    <xsd:import namespace="http://schemas.microsoft.com/sharepoint/v3"/>
    <xsd:import namespace="802e93c6-f87a-4558-8da6-f509a09420d4"/>
    <xsd:import namespace="dcf6e893-e20c-40e6-ba02-1fef41a8159d"/>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e93c6-f87a-4558-8da6-f509a09420d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54bec2-9c12-4dff-9bba-47e6622608a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f6e893-e20c-40e6-ba02-1fef41a815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39af64-8a0b-4725-a7a8-bb125e1d8468}" ma:internalName="TaxCatchAll" ma:showField="CatchAllData" ma:web="dcf6e893-e20c-40e6-ba02-1fef41a815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LengthInSeconds xmlns="802e93c6-f87a-4558-8da6-f509a09420d4" xsi:nil="true"/>
    <TaxCatchAll xmlns="dcf6e893-e20c-40e6-ba02-1fef41a8159d" xsi:nil="true"/>
    <lcf76f155ced4ddcb4097134ff3c332f xmlns="802e93c6-f87a-4558-8da6-f509a09420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922226-6701-4A21-960F-B311BC4AA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2e93c6-f87a-4558-8da6-f509a09420d4"/>
    <ds:schemaRef ds:uri="dcf6e893-e20c-40e6-ba02-1fef41a81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A38B0-61B0-4D6F-A0C9-75AC26E18C6A}">
  <ds:schemaRefs>
    <ds:schemaRef ds:uri="http://schemas.microsoft.com/sharepoint/v3/contenttype/forms"/>
  </ds:schemaRefs>
</ds:datastoreItem>
</file>

<file path=customXml/itemProps3.xml><?xml version="1.0" encoding="utf-8"?>
<ds:datastoreItem xmlns:ds="http://schemas.openxmlformats.org/officeDocument/2006/customXml" ds:itemID="{25CE5B65-F281-47A0-8E17-503C4727F589}">
  <ds:schemaRefs>
    <ds:schemaRef ds:uri="http://schemas.openxmlformats.org/officeDocument/2006/bibliography"/>
  </ds:schemaRefs>
</ds:datastoreItem>
</file>

<file path=customXml/itemProps4.xml><?xml version="1.0" encoding="utf-8"?>
<ds:datastoreItem xmlns:ds="http://schemas.openxmlformats.org/officeDocument/2006/customXml" ds:itemID="{0A79AADF-90E8-4C21-B6A4-5988D2F7053D}">
  <ds:schemaRefs>
    <ds:schemaRef ds:uri="http://schemas.microsoft.com/office/2006/metadata/properties"/>
    <ds:schemaRef ds:uri="http://schemas.microsoft.com/office/infopath/2007/PartnerControls"/>
    <ds:schemaRef ds:uri="http://schemas.microsoft.com/sharepoint/v3"/>
    <ds:schemaRef ds:uri="802e93c6-f87a-4558-8da6-f509a09420d4"/>
    <ds:schemaRef ds:uri="dcf6e893-e20c-40e6-ba02-1fef41a8159d"/>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4</Pages>
  <Words>1424</Words>
  <Characters>7123</Characters>
  <Application>Microsoft Office Word</Application>
  <DocSecurity>0</DocSecurity>
  <Lines>547</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Lim</dc:creator>
  <cp:keywords/>
  <dc:description/>
  <cp:lastModifiedBy>TRAVIS CHEE</cp:lastModifiedBy>
  <cp:revision>2</cp:revision>
  <dcterms:created xsi:type="dcterms:W3CDTF">2023-06-07T11:46:00Z</dcterms:created>
  <dcterms:modified xsi:type="dcterms:W3CDTF">2023-06-07T11:46:00Z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0x0101002BB185EAE5C4B24999F64AF816DDB529</vt:lpwstr>
  </property>
  <property fmtid="{D5CDD505-2E9C-101B-9397-08002B2CF9AE}" pid="3" name="Order">
    <vt:r8>357100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y fmtid="{D5CDD505-2E9C-101B-9397-08002B2CF9AE}" pid="12" name="MediaServiceImageTags">
    <vt:lpwstr/>
  </property>
  <property fmtid="{D5CDD505-2E9C-101B-9397-08002B2CF9AE}" pid="13" name="MSIP_Label_b70f6a2e-9a0b-44bc-9fcb-55781401e2f0_Enabled">
    <vt:lpwstr>true</vt:lpwstr>
  </property>
  <property fmtid="{D5CDD505-2E9C-101B-9397-08002B2CF9AE}" pid="14" name="MSIP_Label_b70f6a2e-9a0b-44bc-9fcb-55781401e2f0_SetDate">
    <vt:lpwstr>2022-05-09T09:52:52Z</vt:lpwstr>
  </property>
  <property fmtid="{D5CDD505-2E9C-101B-9397-08002B2CF9AE}" pid="15" name="MSIP_Label_b70f6a2e-9a0b-44bc-9fcb-55781401e2f0_Method">
    <vt:lpwstr>Standard</vt:lpwstr>
  </property>
  <property fmtid="{D5CDD505-2E9C-101B-9397-08002B2CF9AE}" pid="16" name="MSIP_Label_b70f6a2e-9a0b-44bc-9fcb-55781401e2f0_Name">
    <vt:lpwstr>NON-SENSITIVE</vt:lpwstr>
  </property>
  <property fmtid="{D5CDD505-2E9C-101B-9397-08002B2CF9AE}" pid="17" name="MSIP_Label_b70f6a2e-9a0b-44bc-9fcb-55781401e2f0_SiteId">
    <vt:lpwstr>f688b0d0-79f0-40a4-8644-35fcdee9d0f3</vt:lpwstr>
  </property>
  <property fmtid="{D5CDD505-2E9C-101B-9397-08002B2CF9AE}" pid="18" name="MSIP_Label_b70f6a2e-9a0b-44bc-9fcb-55781401e2f0_ActionId">
    <vt:lpwstr>1797543f-a531-4536-bb3f-051e56083a06</vt:lpwstr>
  </property>
  <property fmtid="{D5CDD505-2E9C-101B-9397-08002B2CF9AE}" pid="19" name="MSIP_Label_b70f6a2e-9a0b-44bc-9fcb-55781401e2f0_ContentBits">
    <vt:lpwstr>1</vt:lpwstr>
  </property>
  <property fmtid="{D5CDD505-2E9C-101B-9397-08002B2CF9AE}" pid="20" name="GrammarlyDocumentId">
    <vt:lpwstr>13b8ab07eb9da70b241eeab78215d2c4304115de76c2ee0c1341cc9e539d4215</vt:lpwstr>
  </property>
</Properties>
</file>