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/>
      </w:pPr>
      <w:r>
        <w:t>This is a normal paragraph.</w:t>
      </w:r>
    </w:p>
    <w:p>
      <w:r>
        <w:rPr>
          <w:b/>
          <w:color w:val="0000FF"/>
          <w:sz w:val="24"/>
        </w:rPr>
        <w:t>This run is bold and blue.</w:t>
      </w:r>
    </w:p>
    <w:p>
      <w:r>
        <w:rPr>
          <w:rFonts w:ascii="Georgia" w:hAnsi="Georgia" w:eastAsia="Georgia"/>
          <w:i/>
          <w:sz w:val="28"/>
        </w:rPr>
        <w:t>Georgia, italic, 14pt.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Claimant</w:t>
            </w:r>
          </w:p>
        </w:tc>
        <w:tc>
          <w:tcPr>
            <w:tcW w:type="dxa" w:w="4320"/>
          </w:tcPr>
          <w:p>
            <w:r>
              <w:t>Jane Doe</w:t>
            </w:r>
          </w:p>
        </w:tc>
      </w:tr>
      <w:tr>
        <w:tc>
          <w:tcPr>
            <w:tcW w:type="dxa" w:w="4320"/>
          </w:tcPr>
          <w:p>
            <w:r>
              <w:t>Date of Loss</w:t>
            </w:r>
          </w:p>
        </w:tc>
        <w:tc>
          <w:tcPr>
            <w:tcW w:type="dxa" w:w="4320"/>
          </w:tcPr>
          <w:p>
            <w:r>
              <w:t>April 5, 2025</w:t>
            </w:r>
          </w:p>
        </w:tc>
      </w:tr>
    </w:tbl>
    <w:p>
      <w:r>
        <w:t>Signature Example: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This is the second page after the page break.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Page 1 – Firm Contact | www.firmlaw.com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Firm Header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