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pPr>
      <w:r w:rsidDel="00000000" w:rsidR="00000000" w:rsidRPr="00000000">
        <w:rPr>
          <w:b w:val="1"/>
          <w:bCs w:val="1"/>
          <w:rtl w:val="0"/>
        </w:rPr>
        <w:t xml:space="preserve">Introduction:</w:t>
      </w:r>
      <w:r w:rsidDel="00000000" w:rsidR="00000000" w:rsidRPr="00000000">
        <w:rPr>
          <w:rtl w:val="0"/>
        </w:rPr>
        <w:t xml:space="preserve"> As artificial intelligence (</w:t>
      </w:r>
      <w:r w:rsidDel="00000000" w:rsidR="00000000" w:rsidRPr="00000000">
        <w:rPr>
          <w:rtl w:val="0"/>
        </w:rPr>
        <w:t xml:space="preserve">AI</w:t>
      </w:r>
      <w:r w:rsidDel="00000000" w:rsidR="00000000" w:rsidRPr="00000000">
        <w:rPr>
          <w:rtl w:val="0"/>
        </w:rPr>
        <w:t xml:space="preserve">) develops, it gets better at replicating human function. Many science fiction (SF) novels have been written on the topic </w:t>
      </w:r>
      <w:r w:rsidDel="00000000" w:rsidR="00000000" w:rsidRPr="00000000">
        <w:rPr>
          <w:rtl w:val="0"/>
        </w:rPr>
        <w:t xml:space="preserve">of replacing people with AI—notably, </w:t>
      </w:r>
      <w:r w:rsidDel="00000000" w:rsidR="00000000" w:rsidRPr="00000000">
        <w:rPr>
          <w:i w:val="1"/>
          <w:iCs w:val="1"/>
          <w:rtl w:val="0"/>
        </w:rPr>
        <w:t xml:space="preserve">Klara and the Sun</w:t>
      </w:r>
      <w:r w:rsidDel="00000000" w:rsidR="00000000" w:rsidRPr="00000000">
        <w:rPr>
          <w:rtl w:val="0"/>
        </w:rPr>
        <w:t xml:space="preserve"> by Kazuo Ishiguro, </w:t>
      </w:r>
      <w:r w:rsidDel="00000000" w:rsidR="00000000" w:rsidRPr="00000000">
        <w:rPr>
          <w:i w:val="1"/>
          <w:iCs w:val="1"/>
          <w:rtl w:val="0"/>
        </w:rPr>
        <w:t xml:space="preserve">Machines Like Me</w:t>
      </w:r>
      <w:r w:rsidDel="00000000" w:rsidR="00000000" w:rsidRPr="00000000">
        <w:rPr>
          <w:rtl w:val="0"/>
        </w:rPr>
        <w:t xml:space="preserve"> by Ian McEwan, and </w:t>
      </w:r>
      <w:r w:rsidDel="00000000" w:rsidR="00000000" w:rsidRPr="00000000">
        <w:rPr>
          <w:i w:val="1"/>
          <w:iCs w:val="1"/>
          <w:rtl w:val="0"/>
        </w:rPr>
        <w:t xml:space="preserve">The Sandman</w:t>
      </w:r>
      <w:r w:rsidDel="00000000" w:rsidR="00000000" w:rsidRPr="00000000">
        <w:rPr>
          <w:rtl w:val="0"/>
        </w:rPr>
        <w:t xml:space="preserve"> by E.T.A. Hoffman. Yet the</w:t>
      </w:r>
      <w:r w:rsidDel="00000000" w:rsidR="00000000" w:rsidRPr="00000000">
        <w:rPr>
          <w:rtl w:val="0"/>
        </w:rPr>
        <w:t xml:space="preserve">se narratives </w:t>
      </w:r>
      <w:r w:rsidDel="00000000" w:rsidR="00000000" w:rsidRPr="00000000">
        <w:rPr>
          <w:rtl w:val="0"/>
        </w:rPr>
        <w:t xml:space="preserve">figure</w:t>
      </w:r>
      <w:r w:rsidDel="00000000" w:rsidR="00000000" w:rsidRPr="00000000">
        <w:rPr>
          <w:rtl w:val="0"/>
        </w:rPr>
        <w:t xml:space="preserve"> artificial beings as “the </w:t>
      </w:r>
      <w:r w:rsidDel="00000000" w:rsidR="00000000" w:rsidRPr="00000000">
        <w:rPr>
          <w:rtl w:val="0"/>
        </w:rPr>
        <w:t xml:space="preserve">O</w:t>
      </w:r>
      <w:r w:rsidDel="00000000" w:rsidR="00000000" w:rsidRPr="00000000">
        <w:rPr>
          <w:rtl w:val="0"/>
        </w:rPr>
        <w:t xml:space="preserve">ther</w:t>
      </w:r>
      <w:r w:rsidDel="00000000" w:rsidR="00000000" w:rsidRPr="00000000">
        <w:rPr>
          <w:rtl w:val="0"/>
        </w:rPr>
        <w:t xml:space="preserve">,” creating a plot structure contingent on the assumption that there is an undeniable difference between humans and machines</w:t>
      </w:r>
      <w:r w:rsidDel="00000000" w:rsidR="00000000" w:rsidRPr="00000000">
        <w:rPr>
          <w:vertAlign w:val="superscript"/>
          <w:rtl w:val="0"/>
        </w:rPr>
        <w:t xml:space="preserve"> </w:t>
      </w:r>
      <w:r w:rsidDel="00000000" w:rsidR="00000000" w:rsidRPr="00000000">
        <w:rPr>
          <w:rtl w:val="0"/>
        </w:rPr>
        <w:t xml:space="preserve">(Chen </w:t>
      </w:r>
      <w:r w:rsidDel="00000000" w:rsidR="00000000" w:rsidRPr="00000000">
        <w:rPr>
          <w:rtl w:val="0"/>
        </w:rPr>
        <w:t xml:space="preserve">4</w:t>
      </w:r>
      <w:r w:rsidDel="00000000" w:rsidR="00000000" w:rsidRPr="00000000">
        <w:rPr>
          <w:rtl w:val="0"/>
        </w:rPr>
        <w:t xml:space="preserve">)</w:t>
      </w:r>
      <w:r w:rsidDel="00000000" w:rsidR="00000000" w:rsidRPr="00000000">
        <w:rPr>
          <w:rtl w:val="0"/>
        </w:rPr>
        <w:t xml:space="preserve">.</w:t>
      </w:r>
      <w:r w:rsidDel="00000000" w:rsidR="00000000" w:rsidRPr="00000000">
        <w:rPr>
          <w:vertAlign w:val="superscript"/>
          <w:rtl w:val="0"/>
        </w:rPr>
        <w:t xml:space="preserve">1</w:t>
      </w:r>
      <w:r w:rsidDel="00000000" w:rsidR="00000000" w:rsidRPr="00000000">
        <w:rPr>
          <w:rtl w:val="0"/>
        </w:rPr>
        <w:t xml:space="preserve"> In his paper “My Brain, My Mind and I,” </w:t>
      </w:r>
      <w:r w:rsidDel="00000000" w:rsidR="00000000" w:rsidRPr="00000000">
        <w:rPr>
          <w:rtl w:val="0"/>
        </w:rPr>
        <w:t xml:space="preserve">philosopher</w:t>
      </w:r>
      <w:r w:rsidDel="00000000" w:rsidR="00000000" w:rsidRPr="00000000">
        <w:rPr>
          <w:rtl w:val="0"/>
        </w:rPr>
        <w:t xml:space="preserve"> Michael Hauskeller disrupts this assumption by outlining a hypothetical where someone is replaced, piece by piece, with technology—first a cochlear implant, an artificial limb, a piece of their brain, and so on and so forth until it becomes unclear whether the person is human, cyborg, or robot.</w:t>
      </w:r>
      <w:r w:rsidDel="00000000" w:rsidR="00000000" w:rsidRPr="00000000">
        <w:rPr>
          <w:vertAlign w:val="superscript"/>
          <w:rtl w:val="0"/>
        </w:rPr>
        <w:t xml:space="preserve">2</w:t>
      </w:r>
      <w:r w:rsidDel="00000000" w:rsidR="00000000" w:rsidRPr="00000000">
        <w:rPr>
          <w:rtl w:val="0"/>
        </w:rPr>
        <w:t xml:space="preserve"> Asian American literature approaches this question of essential difference from another perspective, by questioning </w:t>
      </w:r>
      <w:r w:rsidDel="00000000" w:rsidR="00000000" w:rsidRPr="00000000">
        <w:rPr>
          <w:i w:val="1"/>
          <w:iCs w:val="1"/>
          <w:rtl w:val="0"/>
        </w:rPr>
        <w:t xml:space="preserve">how </w:t>
      </w:r>
      <w:r w:rsidDel="00000000" w:rsidR="00000000" w:rsidRPr="00000000">
        <w:rPr>
          <w:rtl w:val="0"/>
        </w:rPr>
        <w:t xml:space="preserve">the divide between human/cyborg has been </w:t>
      </w:r>
      <w:r w:rsidDel="00000000" w:rsidR="00000000" w:rsidRPr="00000000">
        <w:rPr>
          <w:rtl w:val="0"/>
        </w:rPr>
        <w:t xml:space="preserve">marshale</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Posth</w:t>
      </w:r>
      <w:r w:rsidDel="00000000" w:rsidR="00000000" w:rsidRPr="00000000">
        <w:rPr>
          <w:rtl w:val="0"/>
        </w:rPr>
        <w:t xml:space="preserve">uman readings of Asian American texts like </w:t>
      </w:r>
      <w:r w:rsidDel="00000000" w:rsidR="00000000" w:rsidRPr="00000000">
        <w:rPr>
          <w:i w:val="1"/>
          <w:iCs w:val="1"/>
          <w:rtl w:val="0"/>
        </w:rPr>
        <w:t xml:space="preserve">Salt Fish Girl</w:t>
      </w:r>
      <w:r w:rsidDel="00000000" w:rsidR="00000000" w:rsidRPr="00000000">
        <w:rPr>
          <w:rtl w:val="0"/>
        </w:rPr>
        <w:t xml:space="preserve"> by Larissa Lai </w:t>
      </w:r>
      <w:r w:rsidDel="00000000" w:rsidR="00000000" w:rsidRPr="00000000">
        <w:rPr>
          <w:rtl w:val="0"/>
        </w:rPr>
        <w:t xml:space="preserve">reveal how Asian American stereotypes have long undergirded the characterization of cyborgs in SF, blurring the distinction between humans and cyborgs (Huang 11-12). This summer, I plan to explore how Asian American subjectivity contests the </w:t>
      </w:r>
      <w:r w:rsidDel="00000000" w:rsidR="00000000" w:rsidRPr="00000000">
        <w:rPr>
          <w:rtl w:val="0"/>
        </w:rPr>
        <w:t xml:space="preserve">ramifications of such</w:t>
      </w:r>
      <w:r w:rsidDel="00000000" w:rsidR="00000000" w:rsidRPr="00000000">
        <w:rPr>
          <w:rtl w:val="0"/>
        </w:rPr>
        <w:t xml:space="preserve"> a divide by writing a SF novella about two Asian American twins, one cyborg and one human, in order to deconstruct the term “human,” showing its exclusivity falls flat under logical and critical scrutiny.</w:t>
      </w:r>
    </w:p>
    <w:p w:rsidR="00000000" w:rsidDel="00000000" w:rsidP="00000000" w:rsidRDefault="00000000" w:rsidRPr="00000000" w14:paraId="00000002">
      <w:pPr>
        <w:spacing w:line="240" w:lineRule="auto"/>
        <w:ind w:left="0" w:firstLine="0"/>
        <w:rPr/>
      </w:pPr>
      <w:r w:rsidDel="00000000" w:rsidR="00000000" w:rsidRPr="00000000">
        <w:rPr>
          <w:b w:val="1"/>
          <w:bCs w:val="1"/>
          <w:rtl w:val="0"/>
        </w:rPr>
        <w:t xml:space="preserve">Literature Review:</w:t>
      </w:r>
      <w:r w:rsidDel="00000000" w:rsidR="00000000" w:rsidRPr="00000000">
        <w:rPr>
          <w:b w:val="1"/>
          <w:bCs w:val="1"/>
          <w:rtl w:val="0"/>
        </w:rPr>
        <w:t xml:space="preserve"> </w:t>
      </w:r>
      <w:r w:rsidDel="00000000" w:rsidR="00000000" w:rsidRPr="00000000">
        <w:rPr>
          <w:rtl w:val="0"/>
        </w:rPr>
        <w:t xml:space="preserve">In early SF, cyborgs represented unknowable machines (Haraway 11), serving as inexplicably animated figures onto which people projected their hopes and anxieties about technology (Telotte 49, 53). </w:t>
      </w:r>
      <w:r w:rsidDel="00000000" w:rsidR="00000000" w:rsidRPr="00000000">
        <w:rPr>
          <w:rtl w:val="0"/>
        </w:rPr>
        <w:t xml:space="preserve">Books like </w:t>
      </w:r>
      <w:r w:rsidDel="00000000" w:rsidR="00000000" w:rsidRPr="00000000">
        <w:rPr>
          <w:i w:val="1"/>
          <w:iCs w:val="1"/>
          <w:rtl w:val="0"/>
        </w:rPr>
        <w:t xml:space="preserve">Neuromancer </w:t>
      </w:r>
      <w:r w:rsidDel="00000000" w:rsidR="00000000" w:rsidRPr="00000000">
        <w:rPr>
          <w:rtl w:val="0"/>
        </w:rPr>
        <w:t xml:space="preserve">gloss over the “how” of bringing an inhuman figure to life, instead focusing on the “what” the machine is in relation to humanness. </w:t>
      </w:r>
      <w:r w:rsidDel="00000000" w:rsidR="00000000" w:rsidRPr="00000000">
        <w:rPr>
          <w:rtl w:val="0"/>
        </w:rPr>
        <w:t xml:space="preserve">However, our modern relations</w:t>
      </w:r>
      <w:r w:rsidDel="00000000" w:rsidR="00000000" w:rsidRPr="00000000">
        <w:rPr>
          <w:rtl w:val="0"/>
        </w:rPr>
        <w:t xml:space="preserve">hip with technology is one of coexistence—</w:t>
      </w:r>
      <w:r w:rsidDel="00000000" w:rsidR="00000000" w:rsidRPr="00000000">
        <w:rPr>
          <w:rtl w:val="0"/>
        </w:rPr>
        <w:t xml:space="preserve">stoplights</w:t>
      </w:r>
      <w:r w:rsidDel="00000000" w:rsidR="00000000" w:rsidRPr="00000000">
        <w:rPr>
          <w:rtl w:val="0"/>
        </w:rPr>
        <w:t xml:space="preserve"> and cellphones—where technology has lost its mystery and gained ubiquity. The literary usage of cyborgs as an unknown figure to project humanness against depends on a perspective which sees technology as antithetical to </w:t>
      </w:r>
      <w:r w:rsidDel="00000000" w:rsidR="00000000" w:rsidRPr="00000000">
        <w:rPr>
          <w:rtl w:val="0"/>
        </w:rPr>
        <w:t xml:space="preserve">humanness</w:t>
      </w:r>
      <w:r w:rsidDel="00000000" w:rsidR="00000000" w:rsidRPr="00000000">
        <w:rPr>
          <w:rtl w:val="0"/>
        </w:rPr>
        <w:t xml:space="preserve"> (</w:t>
      </w:r>
      <w:r w:rsidDel="00000000" w:rsidR="00000000" w:rsidRPr="00000000">
        <w:rPr>
          <w:rtl w:val="0"/>
        </w:rPr>
        <w:t xml:space="preserve">Haraway</w:t>
      </w:r>
      <w:r w:rsidDel="00000000" w:rsidR="00000000" w:rsidRPr="00000000">
        <w:rPr>
          <w:rtl w:val="0"/>
        </w:rPr>
        <w:t xml:space="preserve"> 66). Since cyborgs are by definition, partially human, to understand the two in opposition is a paradox because they overlap each other.</w:t>
      </w:r>
      <w:r w:rsidDel="00000000" w:rsidR="00000000" w:rsidRPr="00000000">
        <w:rPr>
          <w:rtl w:val="0"/>
        </w:rPr>
        <w:t xml:space="preserve"> </w:t>
      </w:r>
    </w:p>
    <w:p w:rsidR="00000000" w:rsidDel="00000000" w:rsidP="00000000" w:rsidRDefault="00000000" w:rsidRPr="00000000" w14:paraId="00000003">
      <w:pPr>
        <w:spacing w:line="240" w:lineRule="auto"/>
        <w:ind w:left="0" w:firstLine="720"/>
        <w:rPr>
          <w:b w:val="1"/>
          <w:bCs w:val="1"/>
        </w:rPr>
      </w:pPr>
      <w:r w:rsidDel="00000000" w:rsidR="00000000" w:rsidRPr="00000000">
        <w:rPr>
          <w:rtl w:val="0"/>
        </w:rPr>
        <w:t xml:space="preserve">In “A Cyborg Manifesto,” feminist science, technology, and society scholar Donna Haraway </w:t>
      </w:r>
      <w:r w:rsidDel="00000000" w:rsidR="00000000" w:rsidRPr="00000000">
        <w:rPr>
          <w:rtl w:val="0"/>
        </w:rPr>
        <w:t xml:space="preserve">explains how the cyborg subverts western exclusivities inherent to concepts like “human,” “organic,” and “nature” because cyborgs mimic (or themselves are) life and consciousness through molecular technologies. In </w:t>
      </w:r>
      <w:r w:rsidDel="00000000" w:rsidR="00000000" w:rsidRPr="00000000">
        <w:rPr>
          <w:i w:val="1"/>
          <w:iCs w:val="1"/>
          <w:rtl w:val="0"/>
        </w:rPr>
        <w:t xml:space="preserve">A Thousand Plateaus</w:t>
      </w:r>
      <w:r w:rsidDel="00000000" w:rsidR="00000000" w:rsidRPr="00000000">
        <w:rPr>
          <w:rtl w:val="0"/>
        </w:rPr>
        <w:t xml:space="preserve">, theorists Gilles Deleuze and Félix Guattari argue that “humans” are merely ambiguated assemblages of bodies, memories, and technologies (</w:t>
      </w:r>
      <w:r w:rsidDel="00000000" w:rsidR="00000000" w:rsidRPr="00000000">
        <w:rPr>
          <w:rtl w:val="0"/>
        </w:rPr>
        <w:t xml:space="preserve">157</w:t>
      </w:r>
      <w:r w:rsidDel="00000000" w:rsidR="00000000" w:rsidRPr="00000000">
        <w:rPr>
          <w:rtl w:val="0"/>
        </w:rPr>
        <w:t xml:space="preserve">). It follows from such ambiguity that there cannot be one singular definition of the human</w:t>
      </w:r>
      <w:r w:rsidDel="00000000" w:rsidR="00000000" w:rsidRPr="00000000">
        <w:rPr>
          <w:rtl w:val="0"/>
        </w:rPr>
        <w:t xml:space="preserve">. Because one must set clear boundaries of what is “human” and what is “cyborg” in order to assume mutual exclusivity, it’s impossible to define the divide between humans and cyborgs, especially when considering cyborgs. A rigid definition of the “human” has historical roots: in “</w:t>
      </w:r>
      <w:r w:rsidDel="00000000" w:rsidR="00000000" w:rsidRPr="00000000">
        <w:rPr>
          <w:rtl w:val="0"/>
        </w:rPr>
        <w:t xml:space="preserve">Mama’s Baby, Papa’s Maybe”</w:t>
      </w:r>
      <w:r w:rsidDel="00000000" w:rsidR="00000000" w:rsidRPr="00000000">
        <w:rPr>
          <w:i w:val="1"/>
          <w:iCs w:val="1"/>
          <w:rtl w:val="0"/>
        </w:rPr>
        <w:t xml:space="preserve"> </w:t>
      </w:r>
      <w:r w:rsidDel="00000000" w:rsidR="00000000" w:rsidRPr="00000000">
        <w:rPr>
          <w:rtl w:val="0"/>
        </w:rPr>
        <w:t xml:space="preserve">Hortense Spillers explains that t</w:t>
      </w:r>
      <w:r w:rsidDel="00000000" w:rsidR="00000000" w:rsidRPr="00000000">
        <w:rPr>
          <w:rtl w:val="0"/>
        </w:rPr>
        <w:t xml:space="preserve">he word “human” was historically used to justify slavery by excluding Black people from “human rights,” and that these definitional racial logics persist to the present day (14). In regards to technology, a “Techno-Orientalism” traces back to stereotypes of 19th century Chinese railroad workers as inhuman cyborgs (Huang 13). By locating a distinct otherness within “inhuman” AI characters, books like </w:t>
      </w:r>
      <w:r w:rsidDel="00000000" w:rsidR="00000000" w:rsidRPr="00000000">
        <w:rPr>
          <w:i w:val="1"/>
          <w:iCs w:val="1"/>
          <w:rtl w:val="0"/>
        </w:rPr>
        <w:t xml:space="preserve">Klara and the Sun</w:t>
      </w:r>
      <w:r w:rsidDel="00000000" w:rsidR="00000000" w:rsidRPr="00000000">
        <w:rPr>
          <w:rtl w:val="0"/>
        </w:rPr>
        <w:t xml:space="preserve"> and </w:t>
      </w:r>
      <w:r w:rsidDel="00000000" w:rsidR="00000000" w:rsidRPr="00000000">
        <w:rPr>
          <w:i w:val="1"/>
          <w:iCs w:val="1"/>
          <w:rtl w:val="0"/>
        </w:rPr>
        <w:t xml:space="preserve">Machines Like Me </w:t>
      </w:r>
      <w:r w:rsidDel="00000000" w:rsidR="00000000" w:rsidRPr="00000000">
        <w:rPr>
          <w:rtl w:val="0"/>
        </w:rPr>
        <w:t xml:space="preserve">reflect a justification of anthropocentric exclusivity. Thus, there needs to be a more blurred distinction between human and cyborg in SF to </w:t>
      </w:r>
      <w:r w:rsidDel="00000000" w:rsidR="00000000" w:rsidRPr="00000000">
        <w:rPr>
          <w:rtl w:val="0"/>
        </w:rPr>
        <w:t xml:space="preserve">illuminate the</w:t>
      </w:r>
      <w:r w:rsidDel="00000000" w:rsidR="00000000" w:rsidRPr="00000000">
        <w:rPr>
          <w:rtl w:val="0"/>
        </w:rPr>
        <w:t xml:space="preserve"> racial and historical contexts underlying the </w:t>
      </w:r>
      <w:r w:rsidDel="00000000" w:rsidR="00000000" w:rsidRPr="00000000">
        <w:rPr>
          <w:rtl w:val="0"/>
        </w:rPr>
        <w:t xml:space="preserve">limited </w:t>
      </w:r>
      <w:r w:rsidDel="00000000" w:rsidR="00000000" w:rsidRPr="00000000">
        <w:rPr>
          <w:rtl w:val="0"/>
        </w:rPr>
        <w:t xml:space="preserve">term that is the </w:t>
      </w:r>
      <w:r w:rsidDel="00000000" w:rsidR="00000000" w:rsidRPr="00000000">
        <w:rPr>
          <w:rtl w:val="0"/>
        </w:rPr>
        <w:t xml:space="preserve">“human.”</w:t>
      </w:r>
      <w:r w:rsidDel="00000000" w:rsidR="00000000" w:rsidRPr="00000000">
        <w:rPr>
          <w:rtl w:val="0"/>
        </w:rPr>
        <w:t xml:space="preserve"> This summer I hope to address this shortcoming with my novella about two twins, one cyborg and one human.</w:t>
      </w:r>
      <w:r w:rsidDel="00000000" w:rsidR="00000000" w:rsidRPr="00000000">
        <w:rPr>
          <w:rtl w:val="0"/>
        </w:rPr>
        <w:t xml:space="preserve"> By initially disguising which twin is human and which twin is cyborg, I seek to answer:</w:t>
      </w:r>
      <w:r w:rsidDel="00000000" w:rsidR="00000000" w:rsidRPr="00000000">
        <w:rPr>
          <w:rtl w:val="0"/>
        </w:rPr>
        <w:t xml:space="preserve"> </w:t>
      </w:r>
      <w:r w:rsidDel="00000000" w:rsidR="00000000" w:rsidRPr="00000000">
        <w:rPr>
          <w:b w:val="1"/>
          <w:bCs w:val="1"/>
          <w:rtl w:val="0"/>
        </w:rPr>
        <w:t xml:space="preserve">How can deconstructive framings of “human” replacement by cyborgs within SF reveal that the purported divide between humans and cyborgs emerges from colonial history? For those deemed robotic (e.g., Asian Americans), how can rethinking the exclusivity of the word “human” push back against harmful racial and anthropocentric logics?</w:t>
      </w:r>
      <w:r w:rsidDel="00000000" w:rsidR="00000000" w:rsidRPr="00000000">
        <w:rPr>
          <w:rtl w:val="0"/>
        </w:rPr>
      </w:r>
    </w:p>
    <w:p w:rsidR="00000000" w:rsidDel="00000000" w:rsidP="00000000" w:rsidRDefault="00000000" w:rsidRPr="00000000" w14:paraId="00000004">
      <w:pPr>
        <w:spacing w:line="240" w:lineRule="auto"/>
        <w:ind w:left="0" w:firstLine="0"/>
        <w:rPr/>
      </w:pPr>
      <w:r w:rsidDel="00000000" w:rsidR="00000000" w:rsidRPr="00000000">
        <w:rPr>
          <w:b w:val="1"/>
          <w:bCs w:val="1"/>
          <w:rtl w:val="0"/>
        </w:rPr>
        <w:t xml:space="preserve">Methodology</w:t>
      </w:r>
      <w:r w:rsidDel="00000000" w:rsidR="00000000" w:rsidRPr="00000000">
        <w:rPr>
          <w:b w:val="1"/>
          <w:bCs w:val="1"/>
          <w:rtl w:val="0"/>
        </w:rPr>
        <w:t xml:space="preserve">: </w:t>
      </w:r>
      <w:r w:rsidDel="00000000" w:rsidR="00000000" w:rsidRPr="00000000">
        <w:rPr>
          <w:rtl w:val="0"/>
        </w:rPr>
        <w:t xml:space="preserve">This project will result in an approximately 75 page SF novella. The novella is told from the third person, beginning with a sick Asian American </w:t>
      </w:r>
      <w:r w:rsidDel="00000000" w:rsidR="00000000" w:rsidRPr="00000000">
        <w:rPr>
          <w:rtl w:val="0"/>
        </w:rPr>
        <w:t xml:space="preserve">child </w:t>
      </w:r>
      <w:r w:rsidDel="00000000" w:rsidR="00000000" w:rsidRPr="00000000">
        <w:rPr>
          <w:rtl w:val="0"/>
        </w:rPr>
        <w:t xml:space="preserve">(the </w:t>
      </w:r>
      <w:r w:rsidDel="00000000" w:rsidR="00000000" w:rsidRPr="00000000">
        <w:rPr>
          <w:rtl w:val="0"/>
        </w:rPr>
        <w:t xml:space="preserve">main</w:t>
      </w:r>
      <w:r w:rsidDel="00000000" w:rsidR="00000000" w:rsidRPr="00000000">
        <w:rPr>
          <w:rtl w:val="0"/>
        </w:rPr>
        <w:t xml:space="preserve"> character) whose parents create a cyborg clone of him. After both the original child and his clone grow up, the clone dies, and his last wish is for his brother to bury him under a redwood tree. S</w:t>
      </w:r>
      <w:r w:rsidDel="00000000" w:rsidR="00000000" w:rsidRPr="00000000">
        <w:rPr>
          <w:rtl w:val="0"/>
        </w:rPr>
        <w:t xml:space="preserve">ince redwood trees are extinct in this dystopian future, </w:t>
      </w:r>
      <w:r w:rsidDel="00000000" w:rsidR="00000000" w:rsidRPr="00000000">
        <w:rPr>
          <w:rtl w:val="0"/>
        </w:rPr>
        <w:t xml:space="preserve">the original child, now approximately twenty, embarks on a journey across North America. At the</w:t>
      </w:r>
      <w:r w:rsidDel="00000000" w:rsidR="00000000" w:rsidRPr="00000000">
        <w:rPr>
          <w:rtl w:val="0"/>
        </w:rPr>
        <w:t xml:space="preserve"> end of the continent</w:t>
      </w:r>
      <w:r w:rsidDel="00000000" w:rsidR="00000000" w:rsidRPr="00000000">
        <w:rPr>
          <w:rtl w:val="0"/>
        </w:rPr>
        <w:t xml:space="preserve"> (present day California), he opens the clone’s urn to find remnants of human bone, revealing to the reader and himself that he (the original child) was a clone and the clone brother was the human </w:t>
      </w:r>
    </w:p>
    <w:p w:rsidR="00000000" w:rsidDel="00000000" w:rsidP="00000000" w:rsidRDefault="00000000" w:rsidRPr="00000000" w14:paraId="00000005">
      <w:pPr>
        <w:spacing w:line="240" w:lineRule="auto"/>
        <w:ind w:left="0" w:firstLine="720"/>
        <w:rPr/>
      </w:pPr>
      <w:r w:rsidDel="00000000" w:rsidR="00000000" w:rsidRPr="00000000">
        <w:rPr>
          <w:rtl w:val="0"/>
        </w:rPr>
        <w:t xml:space="preserve">My first step will be to use the grant to gain access to reading and watching materials that inform the posthuman theory, SF world building, and character relationality throughout the novella. My research on posthuman theory will be particularly important to the story because it will ensure coherence to my initial goal in blurring the distinction between human and cyborg. Therefore I will begin my project with an in-depth reading and note-taking of relevant </w:t>
      </w:r>
      <w:r w:rsidDel="00000000" w:rsidR="00000000" w:rsidRPr="00000000">
        <w:rPr>
          <w:rtl w:val="0"/>
        </w:rPr>
        <w:t xml:space="preserve">excerpts</w:t>
      </w:r>
      <w:r w:rsidDel="00000000" w:rsidR="00000000" w:rsidRPr="00000000">
        <w:rPr>
          <w:rtl w:val="0"/>
        </w:rPr>
        <w:t xml:space="preserve"> from Deleuze and Guattari’s </w:t>
      </w:r>
      <w:r w:rsidDel="00000000" w:rsidR="00000000" w:rsidRPr="00000000">
        <w:rPr>
          <w:i w:val="1"/>
          <w:iCs w:val="1"/>
          <w:rtl w:val="0"/>
        </w:rPr>
        <w:t xml:space="preserve">A Thousand Plateaus</w:t>
      </w:r>
      <w:r w:rsidDel="00000000" w:rsidR="00000000" w:rsidRPr="00000000">
        <w:rPr>
          <w:rtl w:val="0"/>
        </w:rPr>
        <w:t xml:space="preserve"> supplemented by a reader’s guide by Eugene W. Holland.</w:t>
      </w:r>
      <w:r w:rsidDel="00000000" w:rsidR="00000000" w:rsidRPr="00000000">
        <w:rPr>
          <w:rtl w:val="0"/>
        </w:rPr>
        <w:t xml:space="preserve"> To inform my contextualization of racial implications underlying technological figures like cyborgs, I will also read and take notes on the edited collections </w:t>
      </w:r>
      <w:r w:rsidDel="00000000" w:rsidR="00000000" w:rsidRPr="00000000">
        <w:rPr>
          <w:i w:val="1"/>
          <w:iCs w:val="1"/>
          <w:rtl w:val="0"/>
        </w:rPr>
        <w:t xml:space="preserve">Techno Orientalism </w:t>
      </w:r>
      <w:r w:rsidDel="00000000" w:rsidR="00000000" w:rsidRPr="00000000">
        <w:rPr>
          <w:rtl w:val="0"/>
        </w:rPr>
        <w:t xml:space="preserve">and </w:t>
      </w:r>
      <w:r w:rsidDel="00000000" w:rsidR="00000000" w:rsidRPr="00000000">
        <w:rPr>
          <w:i w:val="1"/>
          <w:iCs w:val="1"/>
          <w:rtl w:val="0"/>
        </w:rPr>
        <w:t xml:space="preserve">Techno-Orientalism 2.0</w:t>
      </w:r>
      <w:r w:rsidDel="00000000" w:rsidR="00000000" w:rsidRPr="00000000">
        <w:rPr>
          <w:rtl w:val="0"/>
        </w:rPr>
        <w:t xml:space="preserve"> </w:t>
      </w:r>
      <w:r w:rsidDel="00000000" w:rsidR="00000000" w:rsidRPr="00000000">
        <w:rPr>
          <w:rtl w:val="0"/>
        </w:rPr>
        <w:t xml:space="preserve">(Appendix A).</w:t>
      </w:r>
      <w:r w:rsidDel="00000000" w:rsidR="00000000" w:rsidRPr="00000000">
        <w:rPr>
          <w:rtl w:val="0"/>
        </w:rPr>
        <w:t xml:space="preserve"> T</w:t>
      </w:r>
      <w:r w:rsidDel="00000000" w:rsidR="00000000" w:rsidRPr="00000000">
        <w:rPr>
          <w:rtl w:val="0"/>
        </w:rPr>
        <w:t xml:space="preserve">o help distill theory </w:t>
      </w:r>
      <w:r w:rsidDel="00000000" w:rsidR="00000000" w:rsidRPr="00000000">
        <w:rPr>
          <w:rtl w:val="0"/>
        </w:rPr>
        <w:t xml:space="preserve">into fictional writing, I will also read books and watch films which interrogate the “human” as an unstable category in regards to race and posthumanism. Found in Appendix B, films like </w:t>
      </w:r>
      <w:r w:rsidDel="00000000" w:rsidR="00000000" w:rsidRPr="00000000">
        <w:rPr>
          <w:i w:val="1"/>
          <w:iCs w:val="1"/>
          <w:rtl w:val="0"/>
        </w:rPr>
        <w:t xml:space="preserve">After Yang</w:t>
      </w:r>
      <w:r w:rsidDel="00000000" w:rsidR="00000000" w:rsidRPr="00000000">
        <w:rPr>
          <w:rtl w:val="0"/>
        </w:rPr>
        <w:t xml:space="preserve"> explore the process of adopting an Asian cyborg into a family and books like </w:t>
      </w:r>
      <w:r w:rsidDel="00000000" w:rsidR="00000000" w:rsidRPr="00000000">
        <w:rPr>
          <w:i w:val="1"/>
          <w:iCs w:val="1"/>
          <w:rtl w:val="0"/>
        </w:rPr>
        <w:t xml:space="preserve">Bicentennial Man </w:t>
      </w:r>
      <w:r w:rsidDel="00000000" w:rsidR="00000000" w:rsidRPr="00000000">
        <w:rPr>
          <w:rtl w:val="0"/>
        </w:rPr>
        <w:t xml:space="preserve">explore the process of humanness from a cyborg perspective. Although many of these stories still ultimately affirm the difference between humans and cyborgs, I will pay attention to parts where the distinction between the two blurs. At these points I will take extensive notes in reference to the theory I will read and unpack what narrative and formal elements create such a blur. Concurrently to my initial research, I will create an in-depth outline of my story including major plot points, while referencing my notes from these texts to maintain coherence to posthuman and critical race theory. </w:t>
      </w:r>
      <w:r w:rsidDel="00000000" w:rsidR="00000000" w:rsidRPr="00000000">
        <w:rPr>
          <w:rtl w:val="0"/>
        </w:rPr>
        <w:t xml:space="preserve">I will also write in-depth character backgrounds for every major character in order to understand them as full characters. This strategy greatly benefits my writing process because I write while referencing previous notes to maintain coherenc</w:t>
      </w:r>
      <w:r w:rsidDel="00000000" w:rsidR="00000000" w:rsidRPr="00000000">
        <w:rPr>
          <w:rtl w:val="0"/>
        </w:rPr>
        <w:t xml:space="preserve">e to </w:t>
      </w:r>
      <w:r w:rsidDel="00000000" w:rsidR="00000000" w:rsidRPr="00000000">
        <w:rPr>
          <w:rtl w:val="0"/>
        </w:rPr>
        <w:t xml:space="preserve">the characters. </w:t>
      </w:r>
      <w:r w:rsidDel="00000000" w:rsidR="00000000" w:rsidRPr="00000000">
        <w:rPr>
          <w:rtl w:val="0"/>
        </w:rPr>
        <w:t xml:space="preserve">Throughout the writing, editing, and feedback process, I will closely document my progress and any changes I make to the project. Feedback will be made possible through </w:t>
      </w:r>
      <w:r w:rsidDel="00000000" w:rsidR="00000000" w:rsidRPr="00000000">
        <w:rPr>
          <w:rtl w:val="0"/>
        </w:rPr>
        <w:t xml:space="preserve">weekly hour long-minute meetings with Professor Michelle N. Huang, the faculty sponsor for this project.</w:t>
      </w:r>
    </w:p>
    <w:p w:rsidR="00000000" w:rsidDel="00000000" w:rsidP="00000000" w:rsidRDefault="00000000" w:rsidRPr="00000000" w14:paraId="00000006">
      <w:pPr>
        <w:spacing w:line="240" w:lineRule="auto"/>
        <w:ind w:left="0" w:firstLine="0"/>
        <w:rPr/>
      </w:pPr>
      <w:r w:rsidDel="00000000" w:rsidR="00000000" w:rsidRPr="00000000">
        <w:rPr>
          <w:b w:val="1"/>
          <w:bCs w:val="1"/>
          <w:rtl w:val="0"/>
        </w:rPr>
        <w:t xml:space="preserve">Qualifications:</w:t>
      </w:r>
      <w:r w:rsidDel="00000000" w:rsidR="00000000" w:rsidRPr="00000000">
        <w:rPr>
          <w:rtl w:val="0"/>
        </w:rPr>
        <w:t xml:space="preserve"> I have been </w:t>
      </w:r>
      <w:r w:rsidDel="00000000" w:rsidR="00000000" w:rsidRPr="00000000">
        <w:rPr>
          <w:rtl w:val="0"/>
        </w:rPr>
        <w:t xml:space="preserve">avidly reading and writing general fiction as a hobby for two and a half years. Last year I read 79 books and wrote 8 short stories, three of which were published in my high school’s literary and arts magazine. Recently, </w:t>
      </w:r>
      <w:r w:rsidDel="00000000" w:rsidR="00000000" w:rsidRPr="00000000">
        <w:rPr>
          <w:rtl w:val="0"/>
        </w:rPr>
        <w:t xml:space="preserve">one of my short stories was selected to be published in the Winter 2026 issue of Northwestern’s </w:t>
      </w:r>
      <w:r w:rsidDel="00000000" w:rsidR="00000000" w:rsidRPr="00000000">
        <w:rPr>
          <w:i w:val="1"/>
          <w:iCs w:val="1"/>
          <w:rtl w:val="0"/>
        </w:rPr>
        <w:t xml:space="preserve">Helicon</w:t>
      </w:r>
      <w:r w:rsidDel="00000000" w:rsidR="00000000" w:rsidRPr="00000000">
        <w:rPr>
          <w:rtl w:val="0"/>
        </w:rPr>
        <w:t xml:space="preserve"> Literary Magazine.</w:t>
      </w:r>
      <w:r w:rsidDel="00000000" w:rsidR="00000000" w:rsidRPr="00000000">
        <w:rPr>
          <w:rtl w:val="0"/>
        </w:rPr>
        <w:t xml:space="preserve"> I first encountered posthumanism in the Kaplan Scholars Program where I took a Gender Studies class taught by Prof. S.B. West and Prof. Marquis Bey. Writing the final paper for the class revealed to me ways posthuman theory undergirds narratives of alienation, including SF about cyborgs. As a cognitive science major, I am also invested in posthumanism from a scientific perspective. I’m currently working on a research project in the SoundBrain Lab where we look at the way people learn to categorize speech sounds as distinctly “human” or “AI.” My understanding of the way people learn these arbitrary categories will help me disrupt such a distinction in my writing. Next quarter, I am taking Introduction to Creative Fiction, where I will write sections of this story for open-ended assignments to gain feedback on my writing. Next year, I plan to apply for the Creative Writing major, and I will actively look for opportunities </w:t>
      </w:r>
      <w:r w:rsidDel="00000000" w:rsidR="00000000" w:rsidRPr="00000000">
        <w:rPr>
          <w:rtl w:val="0"/>
        </w:rPr>
        <w:t xml:space="preserve">to publis</w:t>
      </w:r>
      <w:r w:rsidDel="00000000" w:rsidR="00000000" w:rsidRPr="00000000">
        <w:rPr>
          <w:rtl w:val="0"/>
        </w:rPr>
        <w:t xml:space="preserve">h my novella or expand it into a full length novel as I take more creative writing classes. Since the creative writing major for fiction requires 10-15 pages of sample writing, pursuing this project would be integral to my goal of applying f</w:t>
      </w:r>
      <w:r w:rsidDel="00000000" w:rsidR="00000000" w:rsidRPr="00000000">
        <w:rPr>
          <w:rtl w:val="0"/>
        </w:rPr>
        <w:t xml:space="preserve">or the major.</w:t>
      </w:r>
      <w:r w:rsidDel="00000000" w:rsidR="00000000" w:rsidRPr="00000000">
        <w:rPr>
          <w:rtl w:val="0"/>
        </w:rPr>
      </w:r>
    </w:p>
    <w:p w:rsidR="00000000" w:rsidDel="00000000" w:rsidP="00000000" w:rsidRDefault="00000000" w:rsidRPr="00000000" w14:paraId="00000007">
      <w:pPr>
        <w:spacing w:line="240" w:lineRule="auto"/>
        <w:ind w:left="0"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line="240" w:lineRule="auto"/>
        <w:ind w:left="0" w:firstLine="0"/>
        <w:jc w:val="center"/>
        <w:rPr>
          <w:b w:val="1"/>
          <w:bCs w:val="1"/>
        </w:rPr>
      </w:pPr>
      <w:r w:rsidDel="00000000" w:rsidR="00000000" w:rsidRPr="00000000">
        <w:rPr>
          <w:b w:val="1"/>
          <w:bCs w:val="1"/>
          <w:rtl w:val="0"/>
        </w:rPr>
        <w:t xml:space="preserve">Notes</w:t>
      </w:r>
    </w:p>
    <w:p w:rsidR="00000000" w:rsidDel="00000000" w:rsidP="00000000" w:rsidRDefault="00000000" w:rsidRPr="00000000" w14:paraId="00000009">
      <w:pPr>
        <w:spacing w:line="240" w:lineRule="auto"/>
        <w:ind w:left="0" w:firstLine="0"/>
        <w:jc w:val="center"/>
        <w:rPr>
          <w:b w:val="1"/>
          <w:bCs w:val="1"/>
        </w:rPr>
      </w:pPr>
      <w:r w:rsidDel="00000000" w:rsidR="00000000" w:rsidRPr="00000000">
        <w:rPr>
          <w:rtl w:val="0"/>
        </w:rPr>
      </w:r>
    </w:p>
    <w:p w:rsidR="00000000" w:rsidDel="00000000" w:rsidP="00000000" w:rsidRDefault="00000000" w:rsidRPr="00000000" w14:paraId="0000000A">
      <w:pPr>
        <w:spacing w:line="240" w:lineRule="auto"/>
        <w:ind w:left="0" w:firstLine="720"/>
        <w:rPr/>
      </w:pPr>
      <w:r w:rsidDel="00000000" w:rsidR="00000000" w:rsidRPr="00000000">
        <w:rPr>
          <w:vertAlign w:val="superscript"/>
          <w:rtl w:val="0"/>
        </w:rPr>
        <w:t xml:space="preserve">1</w:t>
      </w:r>
      <w:r w:rsidDel="00000000" w:rsidR="00000000" w:rsidRPr="00000000">
        <w:rPr>
          <w:rtl w:val="0"/>
        </w:rPr>
        <w:t xml:space="preserve">In </w:t>
      </w:r>
      <w:r w:rsidDel="00000000" w:rsidR="00000000" w:rsidRPr="00000000">
        <w:rPr>
          <w:i w:val="1"/>
          <w:iCs w:val="1"/>
          <w:rtl w:val="0"/>
        </w:rPr>
        <w:t xml:space="preserve">Machines Like Me </w:t>
      </w:r>
      <w:r w:rsidDel="00000000" w:rsidR="00000000" w:rsidRPr="00000000">
        <w:rPr>
          <w:rtl w:val="0"/>
        </w:rPr>
        <w:t xml:space="preserve">that is why Charlie (the human) kills Adam (the cyborg), in </w:t>
      </w:r>
      <w:r w:rsidDel="00000000" w:rsidR="00000000" w:rsidRPr="00000000">
        <w:rPr>
          <w:i w:val="1"/>
          <w:iCs w:val="1"/>
          <w:rtl w:val="0"/>
        </w:rPr>
        <w:t xml:space="preserve">Klara and the Sun</w:t>
      </w:r>
      <w:r w:rsidDel="00000000" w:rsidR="00000000" w:rsidRPr="00000000">
        <w:rPr>
          <w:rtl w:val="0"/>
        </w:rPr>
        <w:t xml:space="preserve">, the plot twist is that Klara (the cyborg) is supposed to replace Josie (the human) but fundamentally cannot, and in </w:t>
      </w:r>
      <w:r w:rsidDel="00000000" w:rsidR="00000000" w:rsidRPr="00000000">
        <w:rPr>
          <w:i w:val="1"/>
          <w:iCs w:val="1"/>
          <w:rtl w:val="0"/>
        </w:rPr>
        <w:t xml:space="preserve">The Sandman</w:t>
      </w:r>
      <w:r w:rsidDel="00000000" w:rsidR="00000000" w:rsidRPr="00000000">
        <w:rPr>
          <w:rtl w:val="0"/>
        </w:rPr>
        <w:t xml:space="preserve">, Olimpia (the cyborg) is easily dismantled as a cyborg by Coppelius (a human) and drives Nathaniel (a human) insane.</w:t>
      </w:r>
    </w:p>
    <w:p w:rsidR="00000000" w:rsidDel="00000000" w:rsidP="00000000" w:rsidRDefault="00000000" w:rsidRPr="00000000" w14:paraId="0000000B">
      <w:pPr>
        <w:spacing w:line="240" w:lineRule="auto"/>
        <w:ind w:left="0" w:firstLine="720"/>
        <w:rPr/>
      </w:pPr>
      <w:r w:rsidDel="00000000" w:rsidR="00000000" w:rsidRPr="00000000">
        <w:rPr>
          <w:rtl w:val="0"/>
        </w:rPr>
      </w:r>
    </w:p>
    <w:p w:rsidR="00000000" w:rsidDel="00000000" w:rsidP="00000000" w:rsidRDefault="00000000" w:rsidRPr="00000000" w14:paraId="0000000C">
      <w:pPr>
        <w:spacing w:line="240" w:lineRule="auto"/>
        <w:ind w:left="0" w:firstLine="720"/>
        <w:rPr/>
      </w:pPr>
      <w:r w:rsidDel="00000000" w:rsidR="00000000" w:rsidRPr="00000000">
        <w:rPr>
          <w:vertAlign w:val="superscript"/>
          <w:rtl w:val="0"/>
        </w:rPr>
        <w:t xml:space="preserve">2</w:t>
      </w:r>
      <w:r w:rsidDel="00000000" w:rsidR="00000000" w:rsidRPr="00000000">
        <w:rPr>
          <w:rtl w:val="0"/>
        </w:rPr>
        <w:t xml:space="preserve">Because there is an ambiguity of definition between the words machine, cyborg, automata, robot, and AI, for the purposes of this proposal, I will use the word cyborg as the most hybrid and inclusive term. </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jc w:val="center"/>
        <w:rPr>
          <w:b w:val="1"/>
          <w:bCs w:val="1"/>
        </w:rPr>
      </w:pPr>
      <w:r w:rsidDel="00000000" w:rsidR="00000000" w:rsidRPr="00000000">
        <w:rPr>
          <w:b w:val="1"/>
          <w:bCs w:val="1"/>
          <w:rtl w:val="0"/>
        </w:rPr>
        <w:t xml:space="preserve">Works Cited (MLA)</w:t>
      </w:r>
    </w:p>
    <w:p w:rsidR="00000000" w:rsidDel="00000000" w:rsidP="00000000" w:rsidRDefault="00000000" w:rsidRPr="00000000" w14:paraId="0000000F">
      <w:pPr>
        <w:spacing w:line="240" w:lineRule="auto"/>
        <w:jc w:val="left"/>
        <w:rPr>
          <w:b w:val="1"/>
          <w:bCs w:val="1"/>
        </w:rPr>
      </w:pPr>
      <w:r w:rsidDel="00000000" w:rsidR="00000000" w:rsidRPr="00000000">
        <w:rPr>
          <w:rtl w:val="0"/>
        </w:rPr>
      </w:r>
    </w:p>
    <w:p w:rsidR="00000000" w:rsidDel="00000000" w:rsidP="00000000" w:rsidRDefault="00000000" w:rsidRPr="00000000" w14:paraId="00000010">
      <w:pPr>
        <w:spacing w:line="240" w:lineRule="auto"/>
        <w:ind w:left="880" w:hanging="440"/>
        <w:rPr/>
      </w:pPr>
      <w:r w:rsidDel="00000000" w:rsidR="00000000" w:rsidRPr="00000000">
        <w:rPr>
          <w:rtl w:val="0"/>
        </w:rPr>
        <w:t xml:space="preserve">Chen, Jinming, and Xiaohui Liang. “AI as Other: Reconfiguring </w:t>
      </w:r>
      <w:r w:rsidDel="00000000" w:rsidR="00000000" w:rsidRPr="00000000">
        <w:rPr>
          <w:rtl w:val="0"/>
        </w:rPr>
        <w:t xml:space="preserve">Human</w:t>
      </w:r>
      <w:r w:rsidDel="00000000" w:rsidR="00000000" w:rsidRPr="00000000">
        <w:rPr>
          <w:rtl w:val="0"/>
        </w:rPr>
        <w:t xml:space="preserve"> in Machines Like Me and Klara and the Sun.” </w:t>
      </w:r>
      <w:r w:rsidDel="00000000" w:rsidR="00000000" w:rsidRPr="00000000">
        <w:rPr>
          <w:i w:val="1"/>
          <w:iCs w:val="1"/>
          <w:rtl w:val="0"/>
        </w:rPr>
        <w:t xml:space="preserve">IRA International Journal of Education and Multidisciplinary Studies</w:t>
      </w:r>
      <w:r w:rsidDel="00000000" w:rsidR="00000000" w:rsidRPr="00000000">
        <w:rPr>
          <w:rtl w:val="0"/>
        </w:rPr>
        <w:t xml:space="preserve">, vol. 20, no. 3, Aug. 2024, p. 178. </w:t>
      </w:r>
      <w:r w:rsidDel="00000000" w:rsidR="00000000" w:rsidRPr="00000000">
        <w:rPr>
          <w:i w:val="1"/>
          <w:iCs w:val="1"/>
          <w:rtl w:val="0"/>
        </w:rPr>
        <w:t xml:space="preserve">DOI.org (Crossref)</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https://doi.org/10.21013/jems.v20.n3.p2</w:t>
        </w:r>
      </w:hyperlink>
      <w:r w:rsidDel="00000000" w:rsidR="00000000" w:rsidRPr="00000000">
        <w:rPr>
          <w:rtl w:val="0"/>
        </w:rPr>
        <w:t xml:space="preserve">.</w:t>
      </w:r>
    </w:p>
    <w:p w:rsidR="00000000" w:rsidDel="00000000" w:rsidP="00000000" w:rsidRDefault="00000000" w:rsidRPr="00000000" w14:paraId="00000011">
      <w:pPr>
        <w:spacing w:line="240" w:lineRule="auto"/>
        <w:ind w:left="880" w:hanging="440"/>
        <w:rPr/>
      </w:pPr>
      <w:r w:rsidDel="00000000" w:rsidR="00000000" w:rsidRPr="00000000">
        <w:rPr>
          <w:rtl w:val="0"/>
        </w:rPr>
      </w:r>
    </w:p>
    <w:p w:rsidR="00000000" w:rsidDel="00000000" w:rsidP="00000000" w:rsidRDefault="00000000" w:rsidRPr="00000000" w14:paraId="00000012">
      <w:pPr>
        <w:spacing w:line="240" w:lineRule="auto"/>
        <w:ind w:left="880" w:hanging="440"/>
        <w:rPr/>
      </w:pPr>
      <w:r w:rsidDel="00000000" w:rsidR="00000000" w:rsidRPr="00000000">
        <w:rPr>
          <w:rtl w:val="0"/>
        </w:rPr>
        <w:t xml:space="preserve">Hauskeller, Michael. “MY BRAIN, MY MIND, AND I: SOME PHILOSOPHICAL ASSUMPTIONS OF MIND-UPLOADING.” </w:t>
      </w:r>
      <w:r w:rsidDel="00000000" w:rsidR="00000000" w:rsidRPr="00000000">
        <w:rPr>
          <w:i w:val="1"/>
          <w:iCs w:val="1"/>
          <w:rtl w:val="0"/>
        </w:rPr>
        <w:t xml:space="preserve">International Journal of Machine Consciousness</w:t>
      </w:r>
      <w:r w:rsidDel="00000000" w:rsidR="00000000" w:rsidRPr="00000000">
        <w:rPr>
          <w:rtl w:val="0"/>
        </w:rPr>
        <w:t xml:space="preserve">, vol. 04, no. 01, June 2012, pp. 187–200. </w:t>
      </w:r>
      <w:r w:rsidDel="00000000" w:rsidR="00000000" w:rsidRPr="00000000">
        <w:rPr>
          <w:i w:val="1"/>
          <w:iCs w:val="1"/>
          <w:rtl w:val="0"/>
        </w:rPr>
        <w:t xml:space="preserve">DOI.org (Crossref)</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https://doi.org/10.1142/S1793843012400100</w:t>
        </w:r>
      </w:hyperlink>
      <w:r w:rsidDel="00000000" w:rsidR="00000000" w:rsidRPr="00000000">
        <w:rPr>
          <w:rtl w:val="0"/>
        </w:rPr>
        <w:t xml:space="preserve">.</w:t>
      </w:r>
    </w:p>
    <w:p w:rsidR="00000000" w:rsidDel="00000000" w:rsidP="00000000" w:rsidRDefault="00000000" w:rsidRPr="00000000" w14:paraId="00000013">
      <w:pPr>
        <w:spacing w:line="240" w:lineRule="auto"/>
        <w:ind w:left="880" w:hanging="440"/>
        <w:rPr/>
      </w:pPr>
      <w:r w:rsidDel="00000000" w:rsidR="00000000" w:rsidRPr="00000000">
        <w:rPr>
          <w:rtl w:val="0"/>
        </w:rPr>
      </w:r>
    </w:p>
    <w:p w:rsidR="00000000" w:rsidDel="00000000" w:rsidP="00000000" w:rsidRDefault="00000000" w:rsidRPr="00000000" w14:paraId="00000014">
      <w:pPr>
        <w:spacing w:line="480" w:lineRule="auto"/>
        <w:ind w:left="880" w:hanging="440"/>
        <w:rPr/>
      </w:pPr>
      <w:r w:rsidDel="00000000" w:rsidR="00000000" w:rsidRPr="00000000">
        <w:rPr>
          <w:rtl w:val="0"/>
        </w:rPr>
        <w:t xml:space="preserve">Lai, Larissa. </w:t>
      </w:r>
      <w:r w:rsidDel="00000000" w:rsidR="00000000" w:rsidRPr="00000000">
        <w:rPr>
          <w:i w:val="1"/>
          <w:iCs w:val="1"/>
          <w:rtl w:val="0"/>
        </w:rPr>
        <w:t xml:space="preserve">Salt Fish Girl</w:t>
      </w:r>
      <w:r w:rsidDel="00000000" w:rsidR="00000000" w:rsidRPr="00000000">
        <w:rPr>
          <w:rtl w:val="0"/>
        </w:rPr>
        <w:t xml:space="preserve">. Thomas Allen Publishers, 2002.</w:t>
      </w:r>
    </w:p>
    <w:p w:rsidR="00000000" w:rsidDel="00000000" w:rsidP="00000000" w:rsidRDefault="00000000" w:rsidRPr="00000000" w14:paraId="00000015">
      <w:pPr>
        <w:spacing w:line="240" w:lineRule="auto"/>
        <w:ind w:left="880" w:hanging="440"/>
        <w:rPr/>
      </w:pPr>
      <w:r w:rsidDel="00000000" w:rsidR="00000000" w:rsidRPr="00000000">
        <w:rPr>
          <w:rtl w:val="0"/>
        </w:rPr>
        <w:t xml:space="preserve">Huang, Michelle N. “The Posthuman Subject in/of Asian American Literature.” </w:t>
      </w:r>
      <w:r w:rsidDel="00000000" w:rsidR="00000000" w:rsidRPr="00000000">
        <w:rPr>
          <w:i w:val="1"/>
          <w:iCs w:val="1"/>
          <w:rtl w:val="0"/>
        </w:rPr>
        <w:t xml:space="preserve">Oxford Research Encyclopedia of Literature</w:t>
      </w:r>
      <w:r w:rsidDel="00000000" w:rsidR="00000000" w:rsidRPr="00000000">
        <w:rPr>
          <w:rtl w:val="0"/>
        </w:rPr>
        <w:t xml:space="preserve">, by Michelle N. Huang, Oxford University Press, 2019. </w:t>
      </w:r>
      <w:r w:rsidDel="00000000" w:rsidR="00000000" w:rsidRPr="00000000">
        <w:rPr>
          <w:i w:val="1"/>
          <w:iCs w:val="1"/>
          <w:rtl w:val="0"/>
        </w:rPr>
        <w:t xml:space="preserve">DOI.org (Crossref)</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https://doi.org/10.1093/acrefore/9780190201098.013.921</w:t>
        </w:r>
      </w:hyperlink>
      <w:r w:rsidDel="00000000" w:rsidR="00000000" w:rsidRPr="00000000">
        <w:rPr>
          <w:rtl w:val="0"/>
        </w:rPr>
        <w:t xml:space="preserve">.</w:t>
      </w:r>
    </w:p>
    <w:p w:rsidR="00000000" w:rsidDel="00000000" w:rsidP="00000000" w:rsidRDefault="00000000" w:rsidRPr="00000000" w14:paraId="00000016">
      <w:pPr>
        <w:spacing w:line="240" w:lineRule="auto"/>
        <w:ind w:left="880" w:hanging="440"/>
        <w:rPr/>
      </w:pPr>
      <w:r w:rsidDel="00000000" w:rsidR="00000000" w:rsidRPr="00000000">
        <w:rPr>
          <w:rtl w:val="0"/>
        </w:rPr>
      </w:r>
    </w:p>
    <w:p w:rsidR="00000000" w:rsidDel="00000000" w:rsidP="00000000" w:rsidRDefault="00000000" w:rsidRPr="00000000" w14:paraId="00000017">
      <w:pPr>
        <w:spacing w:line="240" w:lineRule="auto"/>
        <w:ind w:left="880" w:hanging="440"/>
        <w:rPr/>
      </w:pPr>
      <w:r w:rsidDel="00000000" w:rsidR="00000000" w:rsidRPr="00000000">
        <w:rPr>
          <w:rtl w:val="0"/>
        </w:rPr>
        <w:t xml:space="preserve">Telotte, J. P. </w:t>
      </w:r>
      <w:r w:rsidDel="00000000" w:rsidR="00000000" w:rsidRPr="00000000">
        <w:rPr>
          <w:i w:val="1"/>
          <w:iCs w:val="1"/>
          <w:rtl w:val="0"/>
        </w:rPr>
        <w:t xml:space="preserve">Of Robots and Artificial Beings</w:t>
      </w:r>
      <w:r w:rsidDel="00000000" w:rsidR="00000000" w:rsidRPr="00000000">
        <w:rPr>
          <w:rtl w:val="0"/>
        </w:rPr>
        <w:t xml:space="preserve">. Oxford University Press, 2017. </w:t>
      </w:r>
      <w:r w:rsidDel="00000000" w:rsidR="00000000" w:rsidRPr="00000000">
        <w:rPr>
          <w:i w:val="1"/>
          <w:iCs w:val="1"/>
          <w:rtl w:val="0"/>
        </w:rPr>
        <w:t xml:space="preserve">DOI.org (Crossref)</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https://doi.org/10.1093/oso/9780190695262.003.0003</w:t>
        </w:r>
      </w:hyperlink>
      <w:r w:rsidDel="00000000" w:rsidR="00000000" w:rsidRPr="00000000">
        <w:rPr>
          <w:rtl w:val="0"/>
        </w:rPr>
        <w:t xml:space="preserve">.</w:t>
      </w:r>
    </w:p>
    <w:p w:rsidR="00000000" w:rsidDel="00000000" w:rsidP="00000000" w:rsidRDefault="00000000" w:rsidRPr="00000000" w14:paraId="00000018">
      <w:pPr>
        <w:spacing w:line="240" w:lineRule="auto"/>
        <w:ind w:left="0" w:firstLine="0"/>
        <w:rPr/>
      </w:pPr>
      <w:r w:rsidDel="00000000" w:rsidR="00000000" w:rsidRPr="00000000">
        <w:rPr>
          <w:rtl w:val="0"/>
        </w:rPr>
      </w:r>
    </w:p>
    <w:p w:rsidR="00000000" w:rsidDel="00000000" w:rsidP="00000000" w:rsidRDefault="00000000" w:rsidRPr="00000000" w14:paraId="00000019">
      <w:pPr>
        <w:spacing w:line="240" w:lineRule="auto"/>
        <w:ind w:left="880" w:hanging="440"/>
        <w:rPr/>
      </w:pPr>
      <w:r w:rsidDel="00000000" w:rsidR="00000000" w:rsidRPr="00000000">
        <w:rPr>
          <w:rtl w:val="0"/>
        </w:rPr>
        <w:t xml:space="preserve">Haraway, Donna. “A Cyborg Manifesto.” </w:t>
      </w:r>
      <w:r w:rsidDel="00000000" w:rsidR="00000000" w:rsidRPr="00000000">
        <w:rPr>
          <w:i w:val="1"/>
          <w:iCs w:val="1"/>
          <w:rtl w:val="0"/>
        </w:rPr>
        <w:t xml:space="preserve">Manifestly Haraway</w:t>
      </w:r>
      <w:r w:rsidDel="00000000" w:rsidR="00000000" w:rsidRPr="00000000">
        <w:rPr>
          <w:rtl w:val="0"/>
        </w:rPr>
        <w:t xml:space="preserve">, University of Minnesota Press, 2016.</w:t>
      </w:r>
    </w:p>
    <w:p w:rsidR="00000000" w:rsidDel="00000000" w:rsidP="00000000" w:rsidRDefault="00000000" w:rsidRPr="00000000" w14:paraId="0000001A">
      <w:pPr>
        <w:spacing w:line="240" w:lineRule="auto"/>
        <w:ind w:left="880" w:hanging="440"/>
        <w:rPr/>
      </w:pPr>
      <w:r w:rsidDel="00000000" w:rsidR="00000000" w:rsidRPr="00000000">
        <w:rPr>
          <w:rtl w:val="0"/>
        </w:rPr>
      </w:r>
    </w:p>
    <w:p w:rsidR="00000000" w:rsidDel="00000000" w:rsidP="00000000" w:rsidRDefault="00000000" w:rsidRPr="00000000" w14:paraId="0000001B">
      <w:pPr>
        <w:spacing w:line="240" w:lineRule="auto"/>
        <w:ind w:left="880" w:hanging="440"/>
        <w:rPr/>
      </w:pPr>
      <w:r w:rsidDel="00000000" w:rsidR="00000000" w:rsidRPr="00000000">
        <w:rPr>
          <w:rtl w:val="0"/>
        </w:rPr>
        <w:t xml:space="preserve">Gilman, Sander L., et al. “A Thousand Plateaus: Capitalism and Schizophrenia.” </w:t>
      </w:r>
      <w:r w:rsidDel="00000000" w:rsidR="00000000" w:rsidRPr="00000000">
        <w:rPr>
          <w:i w:val="1"/>
          <w:iCs w:val="1"/>
          <w:rtl w:val="0"/>
        </w:rPr>
        <w:t xml:space="preserve">Journal of Interdisciplinary History</w:t>
      </w:r>
      <w:r w:rsidDel="00000000" w:rsidR="00000000" w:rsidRPr="00000000">
        <w:rPr>
          <w:rtl w:val="0"/>
        </w:rPr>
        <w:t xml:space="preserve">, vol. 19, no. 4, 1989, p. 657. </w:t>
      </w:r>
      <w:r w:rsidDel="00000000" w:rsidR="00000000" w:rsidRPr="00000000">
        <w:rPr>
          <w:i w:val="1"/>
          <w:iCs w:val="1"/>
          <w:rtl w:val="0"/>
        </w:rPr>
        <w:t xml:space="preserve">DOI.org (Crossref)</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https://doi.org/10.2307/203963</w:t>
        </w:r>
      </w:hyperlink>
      <w:r w:rsidDel="00000000" w:rsidR="00000000" w:rsidRPr="00000000">
        <w:rPr>
          <w:rtl w:val="0"/>
        </w:rPr>
        <w:t xml:space="preserve">.</w:t>
      </w:r>
    </w:p>
    <w:p w:rsidR="00000000" w:rsidDel="00000000" w:rsidP="00000000" w:rsidRDefault="00000000" w:rsidRPr="00000000" w14:paraId="0000001C">
      <w:pPr>
        <w:spacing w:line="240" w:lineRule="auto"/>
        <w:ind w:left="880" w:hanging="440"/>
        <w:rPr/>
      </w:pPr>
      <w:r w:rsidDel="00000000" w:rsidR="00000000" w:rsidRPr="00000000">
        <w:rPr>
          <w:rtl w:val="0"/>
        </w:rPr>
      </w:r>
    </w:p>
    <w:p w:rsidR="00000000" w:rsidDel="00000000" w:rsidP="00000000" w:rsidRDefault="00000000" w:rsidRPr="00000000" w14:paraId="0000001D">
      <w:pPr>
        <w:spacing w:line="240" w:lineRule="auto"/>
        <w:ind w:left="880" w:hanging="440"/>
        <w:rPr/>
      </w:pPr>
      <w:r w:rsidDel="00000000" w:rsidR="00000000" w:rsidRPr="00000000">
        <w:rPr>
          <w:rtl w:val="0"/>
        </w:rPr>
        <w:t xml:space="preserve">Spillers, Hortense. “Mama’s Baby, Papa’s Maybe: An American Grammar Book.” Diacritics, vol. 17, no. 2, 1987, pp. 65–81.</w:t>
      </w:r>
    </w:p>
    <w:p w:rsidR="00000000" w:rsidDel="00000000" w:rsidP="00000000" w:rsidRDefault="00000000" w:rsidRPr="00000000" w14:paraId="0000001E">
      <w:pPr>
        <w:spacing w:line="240" w:lineRule="auto"/>
        <w:ind w:left="0" w:firstLine="0"/>
        <w:rPr/>
      </w:pPr>
      <w:r w:rsidDel="00000000" w:rsidR="00000000" w:rsidRPr="00000000">
        <w:rPr>
          <w:rtl w:val="0"/>
        </w:rPr>
      </w:r>
    </w:p>
    <w:p w:rsidR="00000000" w:rsidDel="00000000" w:rsidP="00000000" w:rsidRDefault="00000000" w:rsidRPr="00000000" w14:paraId="0000001F">
      <w:pPr>
        <w:spacing w:line="240" w:lineRule="auto"/>
        <w:ind w:left="880" w:hanging="440"/>
        <w:rPr/>
      </w:pPr>
      <w:r w:rsidDel="00000000" w:rsidR="00000000" w:rsidRPr="00000000">
        <w:rPr>
          <w:rtl w:val="0"/>
        </w:rPr>
      </w:r>
    </w:p>
    <w:p w:rsidR="00000000" w:rsidDel="00000000" w:rsidP="00000000" w:rsidRDefault="00000000" w:rsidRPr="00000000" w14:paraId="00000020">
      <w:pPr>
        <w:spacing w:line="240" w:lineRule="auto"/>
        <w:rPr>
          <w:b w:val="1"/>
          <w:bCs w:val="1"/>
        </w:rPr>
      </w:pPr>
      <w:r w:rsidDel="00000000" w:rsidR="00000000" w:rsidRPr="00000000">
        <w:rPr>
          <w:b w:val="1"/>
          <w:bCs w:val="1"/>
          <w:rtl w:val="0"/>
        </w:rPr>
        <w:t xml:space="preserve">Appendix A: Theory and Secondary Criticism</w:t>
      </w:r>
    </w:p>
    <w:p w:rsidR="00000000" w:rsidDel="00000000" w:rsidP="00000000" w:rsidRDefault="00000000" w:rsidRPr="00000000" w14:paraId="00000021">
      <w:pPr>
        <w:spacing w:line="240" w:lineRule="auto"/>
        <w:rPr/>
      </w:pPr>
      <w:r w:rsidDel="00000000" w:rsidR="00000000" w:rsidRPr="00000000">
        <w:rPr>
          <w:i w:val="1"/>
          <w:iCs w:val="1"/>
          <w:rtl w:val="0"/>
        </w:rPr>
        <w:t xml:space="preserve">Techno-Orientalism, </w:t>
      </w:r>
      <w:r w:rsidDel="00000000" w:rsidR="00000000" w:rsidRPr="00000000">
        <w:rPr>
          <w:rtl w:val="0"/>
        </w:rPr>
        <w:t xml:space="preserve">Roh et al.</w:t>
      </w:r>
    </w:p>
    <w:p w:rsidR="00000000" w:rsidDel="00000000" w:rsidP="00000000" w:rsidRDefault="00000000" w:rsidRPr="00000000" w14:paraId="00000022">
      <w:pPr>
        <w:spacing w:line="240" w:lineRule="auto"/>
        <w:rPr>
          <w:i w:val="1"/>
          <w:iCs w:val="1"/>
        </w:rPr>
      </w:pPr>
      <w:r w:rsidDel="00000000" w:rsidR="00000000" w:rsidRPr="00000000">
        <w:rPr>
          <w:i w:val="1"/>
          <w:iCs w:val="1"/>
          <w:rtl w:val="0"/>
        </w:rPr>
        <w:t xml:space="preserve">Techno-Orientalism 2.0, </w:t>
      </w:r>
      <w:r w:rsidDel="00000000" w:rsidR="00000000" w:rsidRPr="00000000">
        <w:rPr>
          <w:rtl w:val="0"/>
        </w:rPr>
        <w:t xml:space="preserve">Roh et al.</w:t>
      </w: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i w:val="1"/>
          <w:iCs w:val="1"/>
          <w:rtl w:val="0"/>
        </w:rPr>
        <w:t xml:space="preserve">Deleuze and Guattari’s A Thousand Plateaus: A Reader’s Guide,</w:t>
      </w:r>
      <w:r w:rsidDel="00000000" w:rsidR="00000000" w:rsidRPr="00000000">
        <w:rPr>
          <w:rtl w:val="0"/>
        </w:rPr>
        <w:t xml:space="preserve"> Eugene W. Holland </w:t>
      </w:r>
    </w:p>
    <w:p w:rsidR="00000000" w:rsidDel="00000000" w:rsidP="00000000" w:rsidRDefault="00000000" w:rsidRPr="00000000" w14:paraId="00000024">
      <w:pPr>
        <w:spacing w:line="240" w:lineRule="auto"/>
        <w:rPr/>
      </w:pPr>
      <w:r w:rsidDel="00000000" w:rsidR="00000000" w:rsidRPr="00000000">
        <w:rPr>
          <w:i w:val="1"/>
          <w:iCs w:val="1"/>
          <w:rtl w:val="0"/>
        </w:rPr>
        <w:t xml:space="preserve">A Thousand Plateaus,</w:t>
      </w:r>
      <w:r w:rsidDel="00000000" w:rsidR="00000000" w:rsidRPr="00000000">
        <w:rPr>
          <w:rtl w:val="0"/>
        </w:rPr>
        <w:t xml:space="preserve"> Gilles Deleuze and Félix Guattari (translated by Sander L. Gilman)</w:t>
      </w:r>
    </w:p>
    <w:p w:rsidR="00000000" w:rsidDel="00000000" w:rsidP="00000000" w:rsidRDefault="00000000" w:rsidRPr="00000000" w14:paraId="00000025">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26">
      <w:pPr>
        <w:spacing w:line="240" w:lineRule="auto"/>
        <w:ind w:left="0" w:firstLine="0"/>
        <w:rPr/>
      </w:pPr>
      <w:r w:rsidDel="00000000" w:rsidR="00000000" w:rsidRPr="00000000">
        <w:rPr>
          <w:b w:val="1"/>
          <w:bCs w:val="1"/>
          <w:rtl w:val="0"/>
        </w:rPr>
        <w:t xml:space="preserve">Appendix B: Techno-orientalism primary texts</w:t>
      </w:r>
      <w:r w:rsidDel="00000000" w:rsidR="00000000" w:rsidRPr="00000000">
        <w:rPr>
          <w:rtl w:val="0"/>
        </w:rPr>
      </w:r>
    </w:p>
    <w:p w:rsidR="00000000" w:rsidDel="00000000" w:rsidP="00000000" w:rsidRDefault="00000000" w:rsidRPr="00000000" w14:paraId="00000027">
      <w:pPr>
        <w:spacing w:line="240" w:lineRule="auto"/>
        <w:ind w:left="0" w:firstLine="0"/>
        <w:rPr/>
      </w:pPr>
      <w:r w:rsidDel="00000000" w:rsidR="00000000" w:rsidRPr="00000000">
        <w:rPr>
          <w:rtl w:val="0"/>
        </w:rPr>
        <w:t xml:space="preserve">Films:</w:t>
      </w:r>
    </w:p>
    <w:p w:rsidR="00000000" w:rsidDel="00000000" w:rsidP="00000000" w:rsidRDefault="00000000" w:rsidRPr="00000000" w14:paraId="00000028">
      <w:pPr>
        <w:spacing w:line="240" w:lineRule="auto"/>
        <w:rPr/>
      </w:pPr>
      <w:r w:rsidDel="00000000" w:rsidR="00000000" w:rsidRPr="00000000">
        <w:rPr>
          <w:i w:val="1"/>
          <w:iCs w:val="1"/>
          <w:rtl w:val="0"/>
        </w:rPr>
        <w:t xml:space="preserve">Robot Stories</w:t>
      </w:r>
      <w:r w:rsidDel="00000000" w:rsidR="00000000" w:rsidRPr="00000000">
        <w:rPr>
          <w:rtl w:val="0"/>
        </w:rPr>
        <w:t xml:space="preserve"> (2003), dir. Greg Pak</w:t>
      </w:r>
    </w:p>
    <w:p w:rsidR="00000000" w:rsidDel="00000000" w:rsidP="00000000" w:rsidRDefault="00000000" w:rsidRPr="00000000" w14:paraId="00000029">
      <w:pPr>
        <w:spacing w:line="240" w:lineRule="auto"/>
        <w:rPr/>
      </w:pPr>
      <w:r w:rsidDel="00000000" w:rsidR="00000000" w:rsidRPr="00000000">
        <w:rPr>
          <w:i w:val="1"/>
          <w:iCs w:val="1"/>
          <w:rtl w:val="0"/>
        </w:rPr>
        <w:t xml:space="preserve">After Yang</w:t>
      </w:r>
      <w:r w:rsidDel="00000000" w:rsidR="00000000" w:rsidRPr="00000000">
        <w:rPr>
          <w:rtl w:val="0"/>
        </w:rPr>
        <w:t xml:space="preserve"> (2022), dir. Kogonada</w:t>
        <w:br w:type="textWrapping"/>
      </w:r>
      <w:r w:rsidDel="00000000" w:rsidR="00000000" w:rsidRPr="00000000">
        <w:rPr>
          <w:i w:val="1"/>
          <w:iCs w:val="1"/>
          <w:rtl w:val="0"/>
        </w:rPr>
        <w:t xml:space="preserve">Companion</w:t>
      </w:r>
      <w:r w:rsidDel="00000000" w:rsidR="00000000" w:rsidRPr="00000000">
        <w:rPr>
          <w:rtl w:val="0"/>
        </w:rPr>
        <w:t xml:space="preserve"> (2025), dir. Drew Hancock</w:t>
      </w:r>
    </w:p>
    <w:p w:rsidR="00000000" w:rsidDel="00000000" w:rsidP="00000000" w:rsidRDefault="00000000" w:rsidRPr="00000000" w14:paraId="0000002A">
      <w:pPr>
        <w:spacing w:line="240" w:lineRule="auto"/>
        <w:rPr/>
      </w:pPr>
      <w:r w:rsidDel="00000000" w:rsidR="00000000" w:rsidRPr="00000000">
        <w:rPr>
          <w:i w:val="1"/>
          <w:iCs w:val="1"/>
          <w:rtl w:val="0"/>
        </w:rPr>
        <w:t xml:space="preserve">A.I. Artificial Intelligence</w:t>
      </w:r>
      <w:r w:rsidDel="00000000" w:rsidR="00000000" w:rsidRPr="00000000">
        <w:rPr>
          <w:rtl w:val="0"/>
        </w:rPr>
        <w:t xml:space="preserve"> (2001), dir. Steven Spielberg</w:t>
      </w:r>
    </w:p>
    <w:p w:rsidR="00000000" w:rsidDel="00000000" w:rsidP="00000000" w:rsidRDefault="00000000" w:rsidRPr="00000000" w14:paraId="0000002B">
      <w:pPr>
        <w:spacing w:line="240" w:lineRule="auto"/>
        <w:rPr/>
      </w:pPr>
      <w:r w:rsidDel="00000000" w:rsidR="00000000" w:rsidRPr="00000000">
        <w:rPr>
          <w:rtl w:val="0"/>
        </w:rPr>
        <w:t xml:space="preserve">Autómata (2014), dir. Gabe Ibáñez</w:t>
      </w:r>
    </w:p>
    <w:p w:rsidR="00000000" w:rsidDel="00000000" w:rsidP="00000000" w:rsidRDefault="00000000" w:rsidRPr="00000000" w14:paraId="0000002C">
      <w:pPr>
        <w:spacing w:line="240" w:lineRule="auto"/>
        <w:rPr/>
      </w:pPr>
      <w:r w:rsidDel="00000000" w:rsidR="00000000" w:rsidRPr="00000000">
        <w:rPr>
          <w:i w:val="1"/>
          <w:iCs w:val="1"/>
          <w:rtl w:val="0"/>
        </w:rPr>
        <w:t xml:space="preserve">Advantageous</w:t>
      </w:r>
      <w:r w:rsidDel="00000000" w:rsidR="00000000" w:rsidRPr="00000000">
        <w:rPr>
          <w:rtl w:val="0"/>
        </w:rPr>
        <w:t xml:space="preserve"> (2015), dir. Jennifer Phang</w:t>
        <w:br w:type="textWrapping"/>
      </w:r>
    </w:p>
    <w:p w:rsidR="00000000" w:rsidDel="00000000" w:rsidP="00000000" w:rsidRDefault="00000000" w:rsidRPr="00000000" w14:paraId="0000002D">
      <w:pPr>
        <w:spacing w:line="240" w:lineRule="auto"/>
        <w:ind w:left="0" w:firstLine="0"/>
        <w:rPr/>
      </w:pPr>
      <w:r w:rsidDel="00000000" w:rsidR="00000000" w:rsidRPr="00000000">
        <w:rPr>
          <w:rtl w:val="0"/>
        </w:rPr>
        <w:t xml:space="preserve">TV Shows:</w:t>
      </w:r>
    </w:p>
    <w:p w:rsidR="00000000" w:rsidDel="00000000" w:rsidP="00000000" w:rsidRDefault="00000000" w:rsidRPr="00000000" w14:paraId="0000002E">
      <w:pPr>
        <w:spacing w:line="240" w:lineRule="auto"/>
        <w:rPr/>
      </w:pPr>
      <w:r w:rsidDel="00000000" w:rsidR="00000000" w:rsidRPr="00000000">
        <w:rPr>
          <w:i w:val="1"/>
          <w:iCs w:val="1"/>
          <w:rtl w:val="0"/>
        </w:rPr>
        <w:t xml:space="preserve">Small Wonder</w:t>
      </w:r>
      <w:r w:rsidDel="00000000" w:rsidR="00000000" w:rsidRPr="00000000">
        <w:rPr>
          <w:rtl w:val="0"/>
        </w:rPr>
        <w:t xml:space="preserve">, Season 1 (1985), dir. John Bowab</w:t>
        <w:br w:type="textWrapping"/>
      </w:r>
      <w:r w:rsidDel="00000000" w:rsidR="00000000" w:rsidRPr="00000000">
        <w:rPr>
          <w:i w:val="1"/>
          <w:iCs w:val="1"/>
          <w:rtl w:val="0"/>
        </w:rPr>
        <w:t xml:space="preserve">Westworld</w:t>
      </w:r>
      <w:r w:rsidDel="00000000" w:rsidR="00000000" w:rsidRPr="00000000">
        <w:rPr>
          <w:rtl w:val="0"/>
        </w:rPr>
        <w:t xml:space="preserve">, Season 1 (2016), dir. Jonathan Nolan</w:t>
        <w:br w:type="textWrapping"/>
      </w:r>
      <w:r w:rsidDel="00000000" w:rsidR="00000000" w:rsidRPr="00000000">
        <w:rPr>
          <w:i w:val="1"/>
          <w:iCs w:val="1"/>
          <w:rtl w:val="0"/>
        </w:rPr>
        <w:t xml:space="preserve">Altered Carbon</w:t>
      </w:r>
      <w:r w:rsidDel="00000000" w:rsidR="00000000" w:rsidRPr="00000000">
        <w:rPr>
          <w:rtl w:val="0"/>
        </w:rPr>
        <w:t xml:space="preserve">, Season 1 (2018), dir. Miguel Sapochnik</w:t>
      </w:r>
    </w:p>
    <w:p w:rsidR="00000000" w:rsidDel="00000000" w:rsidP="00000000" w:rsidRDefault="00000000" w:rsidRPr="00000000" w14:paraId="0000002F">
      <w:pPr>
        <w:spacing w:line="240" w:lineRule="auto"/>
        <w:ind w:left="0" w:firstLine="0"/>
        <w:rPr/>
      </w:pPr>
      <w:r w:rsidDel="00000000" w:rsidR="00000000" w:rsidRPr="00000000">
        <w:rPr>
          <w:rtl w:val="0"/>
        </w:rPr>
      </w:r>
    </w:p>
    <w:p w:rsidR="00000000" w:rsidDel="00000000" w:rsidP="00000000" w:rsidRDefault="00000000" w:rsidRPr="00000000" w14:paraId="00000030">
      <w:pPr>
        <w:spacing w:line="240" w:lineRule="auto"/>
        <w:ind w:left="0" w:firstLine="0"/>
        <w:rPr/>
      </w:pPr>
      <w:r w:rsidDel="00000000" w:rsidR="00000000" w:rsidRPr="00000000">
        <w:rPr>
          <w:rtl w:val="0"/>
        </w:rPr>
        <w:t xml:space="preserve">Texts:</w:t>
        <w:br w:type="textWrapping"/>
        <w:t xml:space="preserve">“Good Hunting” (2012), Ken Liu</w:t>
        <w:br w:type="textWrapping"/>
      </w:r>
      <w:r w:rsidDel="00000000" w:rsidR="00000000" w:rsidRPr="00000000">
        <w:rPr>
          <w:i w:val="1"/>
          <w:iCs w:val="1"/>
          <w:rtl w:val="0"/>
        </w:rPr>
        <w:t xml:space="preserve">Severance</w:t>
      </w:r>
      <w:r w:rsidDel="00000000" w:rsidR="00000000" w:rsidRPr="00000000">
        <w:rPr>
          <w:rtl w:val="0"/>
        </w:rPr>
        <w:t xml:space="preserve"> (2018), Ling Ma</w:t>
        <w:br w:type="textWrapping"/>
      </w:r>
      <w:r w:rsidDel="00000000" w:rsidR="00000000" w:rsidRPr="00000000">
        <w:rPr>
          <w:i w:val="1"/>
          <w:iCs w:val="1"/>
          <w:rtl w:val="0"/>
        </w:rPr>
        <w:t xml:space="preserve">Annihilation</w:t>
      </w:r>
      <w:r w:rsidDel="00000000" w:rsidR="00000000" w:rsidRPr="00000000">
        <w:rPr>
          <w:rtl w:val="0"/>
        </w:rPr>
        <w:t xml:space="preserve"> by (2014), Jeff VanderMeer</w:t>
        <w:br w:type="textWrapping"/>
      </w:r>
      <w:r w:rsidDel="00000000" w:rsidR="00000000" w:rsidRPr="00000000">
        <w:rPr>
          <w:i w:val="1"/>
          <w:iCs w:val="1"/>
          <w:rtl w:val="0"/>
        </w:rPr>
        <w:t xml:space="preserve">Neuromancer</w:t>
      </w:r>
      <w:r w:rsidDel="00000000" w:rsidR="00000000" w:rsidRPr="00000000">
        <w:rPr>
          <w:rtl w:val="0"/>
        </w:rPr>
        <w:t xml:space="preserve"> (1984), William Gibson</w:t>
      </w:r>
    </w:p>
    <w:p w:rsidR="00000000" w:rsidDel="00000000" w:rsidP="00000000" w:rsidRDefault="00000000" w:rsidRPr="00000000" w14:paraId="00000031">
      <w:pPr>
        <w:spacing w:line="240" w:lineRule="auto"/>
        <w:ind w:left="0" w:firstLine="0"/>
        <w:rPr/>
      </w:pPr>
      <w:r w:rsidDel="00000000" w:rsidR="00000000" w:rsidRPr="00000000">
        <w:rPr>
          <w:i w:val="1"/>
          <w:iCs w:val="1"/>
          <w:rtl w:val="0"/>
        </w:rPr>
        <w:t xml:space="preserve">Soft Science </w:t>
      </w:r>
      <w:r w:rsidDel="00000000" w:rsidR="00000000" w:rsidRPr="00000000">
        <w:rPr>
          <w:rtl w:val="0"/>
        </w:rPr>
        <w:t xml:space="preserve">(2019), Franny Choi </w:t>
        <w:br w:type="textWrapping"/>
      </w:r>
      <w:r w:rsidDel="00000000" w:rsidR="00000000" w:rsidRPr="00000000">
        <w:rPr>
          <w:i w:val="1"/>
          <w:iCs w:val="1"/>
          <w:rtl w:val="0"/>
        </w:rPr>
        <w:t xml:space="preserve">Bicentennial Man</w:t>
      </w:r>
      <w:r w:rsidDel="00000000" w:rsidR="00000000" w:rsidRPr="00000000">
        <w:rPr>
          <w:rtl w:val="0"/>
        </w:rPr>
        <w:t xml:space="preserve"> (1976), Isaac Asimov</w:t>
      </w: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t xml:space="preserve">Blurring Cyborgs and Humans, Creative Writing SURG Proposal - Travis Kim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93/acrefore/9780190201098.013.921" TargetMode="External"/><Relationship Id="rId10" Type="http://schemas.openxmlformats.org/officeDocument/2006/relationships/hyperlink" Target="https://doi.org/10.1093/acrefore/9780190201098.013.921" TargetMode="External"/><Relationship Id="rId13" Type="http://schemas.openxmlformats.org/officeDocument/2006/relationships/hyperlink" Target="https://doi.org/10.1093/oso/9780190695262.003.0003" TargetMode="External"/><Relationship Id="rId12" Type="http://schemas.openxmlformats.org/officeDocument/2006/relationships/hyperlink" Target="https://doi.org/10.1093/oso/9780190695262.003.00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2/S1793843012400100" TargetMode="External"/><Relationship Id="rId15" Type="http://schemas.openxmlformats.org/officeDocument/2006/relationships/hyperlink" Target="https://doi.org/10.2307/203963" TargetMode="External"/><Relationship Id="rId14" Type="http://schemas.openxmlformats.org/officeDocument/2006/relationships/hyperlink" Target="https://doi.org/10.2307/203963"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i.org/10.21013/jems.v20.n3.p2" TargetMode="External"/><Relationship Id="rId7" Type="http://schemas.openxmlformats.org/officeDocument/2006/relationships/hyperlink" Target="https://doi.org/10.21013/jems.v20.n3.p2" TargetMode="External"/><Relationship Id="rId8" Type="http://schemas.openxmlformats.org/officeDocument/2006/relationships/hyperlink" Target="https://doi.org/10.1142/S1793843012400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