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rFonts w:ascii="Arial" w:hAnsi="Arial"/>
          <w:b/>
          <w:color w:val="17365D"/>
          <w:sz w:val="60"/>
        </w:rPr>
        <w:t>AFL COACHING</w:t>
        <w:br/>
        <w:t>REFERENCE LIBRARY</w:t>
      </w:r>
    </w:p>
    <w:p>
      <w:pPr>
        <w:pStyle w:val="DocumentSubtitle"/>
        <w:jc w:val="center"/>
      </w:pPr>
      <w:r>
        <w:rPr>
          <w:b/>
          <w:color w:val="365F91"/>
          <w:sz w:val="36"/>
        </w:rPr>
        <w:t>MASTER DOCUMENT</w:t>
      </w:r>
    </w:p>
    <w:tbl>
      <w:tblPr>
        <w:tblW w:type="auto" w:w="0"/>
        <w:jc w:val="center"/>
        <w:tblLook w:firstColumn="1" w:firstRow="1" w:lastColumn="0" w:lastRow="0" w:noHBand="0" w:noVBand="1" w:val="04A0"/>
      </w:tblPr>
      <w:tblGrid>
        <w:gridCol w:w="10080"/>
      </w:tblGrid>
      <w:tr>
        <w:trPr>
          <w:cantSplit/>
        </w:trPr>
        <w:tc>
          <w:tcPr>
            <w:tcW w:type="dxa" w:w="10080"/>
            <w:shd w:fill="D9EAF7"/>
            <w:tcMar>
              <w:top w:w="0" w:type="dxa"/>
              <w:start w:w="0" w:type="dxa"/>
              <w:bottom w:w="0" w:type="dxa"/>
              <w:end w:w="0" w:type="dxa"/>
            </w:tcMar>
          </w:tcPr>
          <w:p>
            <w:r>
              <w:rPr>
                <w:rFonts w:ascii="Arial" w:hAnsi="Arial"/>
              </w:rPr>
            </w:r>
          </w:p>
        </w:tc>
      </w:tr>
    </w:tbl>
    <w:p/>
    <w:p>
      <w:pPr>
        <w:ind w:left="1152" w:right="1152"/>
        <w:jc w:val="center"/>
      </w:pPr>
      <w:r>
        <w:rPr>
          <w:rFonts w:ascii="Arial" w:hAnsi="Arial"/>
          <w:color w:val="404040"/>
          <w:sz w:val="24"/>
        </w:rPr>
        <w:t>Standards, structure, formatting rules and continuation instructions for the complete Australian football drill library.</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Document Control</w:t>
            </w:r>
          </w:p>
        </w:tc>
        <w:tc>
          <w:tcPr>
            <w:tcW w:type="dxa" w:w="691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Details</w:t>
            </w:r>
          </w:p>
        </w:tc>
      </w:tr>
      <w:tr>
        <w:trPr>
          <w:cantSplit/>
        </w:trPr>
        <w:tc>
          <w:tcPr>
            <w:tcW w:type="dxa" w:w="2880"/>
            <w:vAlign w:val="center"/>
            <w:tcMar>
              <w:top w:w="80" w:type="dxa"/>
              <w:start w:w="100" w:type="dxa"/>
              <w:bottom w:w="80" w:type="dxa"/>
              <w:end w:w="100" w:type="dxa"/>
            </w:tcMar>
          </w:tcPr>
          <w:p>
            <w:pPr>
              <w:spacing w:after="0"/>
            </w:pPr>
            <w:r>
              <w:rPr>
                <w:rFonts w:ascii="Arial" w:hAnsi="Arial" w:eastAsia="Arial"/>
                <w:b w:val="0"/>
                <w:i w:val="0"/>
                <w:sz w:val="18"/>
              </w:rPr>
              <w:t>Project</w:t>
            </w:r>
          </w:p>
        </w:tc>
        <w:tc>
          <w:tcPr>
            <w:tcW w:type="dxa" w:w="6912"/>
            <w:vAlign w:val="center"/>
            <w:tcMar>
              <w:top w:w="80" w:type="dxa"/>
              <w:start w:w="100" w:type="dxa"/>
              <w:bottom w:w="80" w:type="dxa"/>
              <w:end w:w="100" w:type="dxa"/>
            </w:tcMar>
          </w:tcPr>
          <w:p>
            <w:pPr>
              <w:spacing w:after="0"/>
            </w:pPr>
            <w:r>
              <w:rPr>
                <w:rFonts w:ascii="Arial" w:hAnsi="Arial" w:eastAsia="Arial"/>
                <w:b w:val="0"/>
                <w:i w:val="0"/>
                <w:sz w:val="18"/>
              </w:rPr>
              <w:t>AFL Coaching Reference Library</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eastAsia="Arial"/>
                <w:b w:val="0"/>
                <w:i w:val="0"/>
                <w:sz w:val="18"/>
              </w:rPr>
              <w:t>Completed chapters</w:t>
            </w:r>
          </w:p>
        </w:tc>
        <w:tc>
          <w:tcPr>
            <w:tcW w:type="dxa" w:w="6912"/>
            <w:vAlign w:val="center"/>
            <w:tcMar>
              <w:top w:w="80" w:type="dxa"/>
              <w:start w:w="100" w:type="dxa"/>
              <w:bottom w:w="80" w:type="dxa"/>
              <w:end w:w="100" w:type="dxa"/>
            </w:tcMar>
            <w:shd w:fill="F3F6FA"/>
          </w:tcPr>
          <w:p>
            <w:r>
              <w:t>Chapters 1–16 complete: Kicking, Handballing, Marking, Ground Balls, Tackling and Pressure, Spoiling and Aerial Defence, Ruck and Stoppage Craft, Evasion, Agility and Movement, Decision Making, Team Offence, Team Defence, Transition, Conditioning with Football, Small-Sided Games, Match Simulation, and Testing and Assessment</w:t>
            </w:r>
          </w:p>
        </w:tc>
      </w:tr>
      <w:tr>
        <w:trPr>
          <w:cantSplit/>
        </w:trPr>
        <w:tc>
          <w:tcPr>
            <w:tcW w:type="dxa" w:w="2880"/>
            <w:vAlign w:val="center"/>
            <w:tcMar>
              <w:top w:w="80" w:type="dxa"/>
              <w:start w:w="100" w:type="dxa"/>
              <w:bottom w:w="80" w:type="dxa"/>
              <w:end w:w="100" w:type="dxa"/>
            </w:tcMar>
          </w:tcPr>
          <w:p>
            <w:pPr>
              <w:spacing w:after="0"/>
            </w:pPr>
            <w:r>
              <w:rPr>
                <w:rFonts w:ascii="Arial" w:hAnsi="Arial" w:eastAsia="Arial"/>
                <w:b w:val="0"/>
                <w:i w:val="0"/>
                <w:sz w:val="18"/>
              </w:rPr>
              <w:t>Current completion point</w:t>
            </w:r>
          </w:p>
        </w:tc>
        <w:tc>
          <w:tcPr>
            <w:tcW w:type="dxa" w:w="6912"/>
            <w:vAlign w:val="center"/>
            <w:tcMar>
              <w:top w:w="80" w:type="dxa"/>
              <w:start w:w="100" w:type="dxa"/>
              <w:bottom w:w="80" w:type="dxa"/>
              <w:end w:w="100" w:type="dxa"/>
            </w:tcMar>
          </w:tcPr>
          <w:p>
            <w:r>
              <w:t>TA-060 – Testing and Assessment Chapter Final Assessment</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eastAsia="Arial"/>
                <w:b w:val="0"/>
                <w:i w:val="0"/>
                <w:sz w:val="18"/>
              </w:rPr>
              <w:t>Next chapter</w:t>
            </w:r>
          </w:p>
        </w:tc>
        <w:tc>
          <w:tcPr>
            <w:tcW w:type="dxa" w:w="6912"/>
            <w:vAlign w:val="center"/>
            <w:tcMar>
              <w:top w:w="80" w:type="dxa"/>
              <w:start w:w="100" w:type="dxa"/>
              <w:bottom w:w="80" w:type="dxa"/>
              <w:end w:w="100" w:type="dxa"/>
            </w:tcMar>
            <w:shd w:fill="F3F6FA"/>
          </w:tcPr>
          <w:p>
            <w:r>
              <w:t>Future chapter architecture pending user direction</w:t>
            </w:r>
          </w:p>
        </w:tc>
      </w:tr>
      <w:tr>
        <w:trPr>
          <w:cantSplit/>
        </w:trPr>
        <w:tc>
          <w:tcPr>
            <w:tcW w:type="dxa" w:w="2880"/>
            <w:vAlign w:val="center"/>
            <w:tcMar>
              <w:top w:w="80" w:type="dxa"/>
              <w:start w:w="100" w:type="dxa"/>
              <w:bottom w:w="80" w:type="dxa"/>
              <w:end w:w="100" w:type="dxa"/>
            </w:tcMar>
          </w:tcPr>
          <w:p>
            <w:pPr>
              <w:spacing w:after="0"/>
            </w:pPr>
            <w:r>
              <w:rPr>
                <w:rFonts w:ascii="Arial" w:hAnsi="Arial" w:eastAsia="Arial"/>
                <w:b w:val="0"/>
                <w:i w:val="0"/>
                <w:sz w:val="18"/>
              </w:rPr>
              <w:t>Version</w:t>
            </w:r>
          </w:p>
        </w:tc>
        <w:tc>
          <w:tcPr>
            <w:tcW w:type="dxa" w:w="6912"/>
            <w:vAlign w:val="center"/>
            <w:tcMar>
              <w:top w:w="80" w:type="dxa"/>
              <w:start w:w="100" w:type="dxa"/>
              <w:bottom w:w="80" w:type="dxa"/>
              <w:end w:w="100" w:type="dxa"/>
            </w:tcMar>
          </w:tcPr>
          <w:p>
            <w:r>
              <w:t>16.0</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eastAsia="Arial"/>
                <w:b w:val="0"/>
                <w:i w:val="0"/>
                <w:sz w:val="18"/>
              </w:rPr>
              <w:t>Date</w:t>
            </w:r>
          </w:p>
        </w:tc>
        <w:tc>
          <w:tcPr>
            <w:tcW w:type="dxa" w:w="6912"/>
            <w:vAlign w:val="center"/>
            <w:tcMar>
              <w:top w:w="80" w:type="dxa"/>
              <w:start w:w="100" w:type="dxa"/>
              <w:bottom w:w="80" w:type="dxa"/>
              <w:end w:w="100" w:type="dxa"/>
            </w:tcMar>
            <w:shd w:fill="F3F6FA"/>
          </w:tcPr>
          <w:p>
            <w:r>
              <w:t>20 July 2026</w:t>
            </w:r>
          </w:p>
        </w:tc>
      </w:tr>
    </w:tbl>
    <w:p>
      <w:pPr>
        <w:spacing w:after="0"/>
      </w:pPr>
    </w:p>
    <w:p>
      <w:pPr>
        <w:pStyle w:val="Callout"/>
        <w:jc w:val="center"/>
      </w:pPr>
      <w:r>
        <w:t>CORE RULE</w:t>
      </w:r>
    </w:p>
    <w:p>
      <w:pPr>
        <w:ind w:left="792" w:right="792"/>
        <w:jc w:val="center"/>
      </w:pPr>
      <w:r>
        <w:t>Every drill must be practical, coachable, clearly differentiated from surrounding drills and written in the complete approved drill format. Do not shorten the format unless the user explicitly requests a shorter edition.</w:t>
      </w:r>
    </w:p>
    <w:p>
      <w:r>
        <w:br w:type="page"/>
      </w:r>
    </w:p>
    <w:p>
      <w:pPr>
        <w:pStyle w:val="Heading1"/>
        <w:keepNext/>
      </w:pPr>
      <w:r>
        <w:t>Contents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65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Section</w:t>
            </w:r>
          </w:p>
        </w:tc>
        <w:tc>
          <w:tcPr>
            <w:tcW w:type="dxa" w:w="820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Title</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1</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Purpose and Authority</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Current Project Status</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3</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Library Architecture</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4</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Chapter and Drill Numbering</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5</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Approved Drill Record Structure</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6</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Field Definitions and Controlled Scales</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7</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Writing and Coaching Standards</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8</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Drill Design Standards</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9</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Formatting Standards</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Related-Drill and Cross-Reference Rules</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11</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Quality Assurance Checklist</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12</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Production Workflow</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13</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New-Chat Continuation Protocol</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14</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Ready-to-Paste New-Chat Prompt</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15</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Blank Master Drill Template</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Appendix A</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Approved Terminology</w:t>
            </w:r>
          </w:p>
        </w:tc>
      </w:tr>
      <w:tr>
        <w:trPr>
          <w:cantSplit/>
        </w:trPr>
        <w:tc>
          <w:tcPr>
            <w:tcW w:type="dxa" w:w="1656"/>
            <w:vAlign w:val="center"/>
            <w:tcMar>
              <w:top w:w="80" w:type="dxa"/>
              <w:start w:w="100" w:type="dxa"/>
              <w:bottom w:w="80" w:type="dxa"/>
              <w:end w:w="100" w:type="dxa"/>
            </w:tcMar>
          </w:tcPr>
          <w:p>
            <w:pPr>
              <w:spacing w:after="0"/>
            </w:pPr>
            <w:r>
              <w:rPr>
                <w:rFonts w:ascii="Arial" w:hAnsi="Arial"/>
              </w:rPr>
            </w:r>
            <w:r>
              <w:rPr>
                <w:rFonts w:ascii="Arial" w:hAnsi="Arial"/>
                <w:b w:val="0"/>
                <w:sz w:val="18"/>
              </w:rPr>
              <w:t>Appendix B</w:t>
            </w:r>
          </w:p>
        </w:tc>
        <w:tc>
          <w:tcPr>
            <w:tcW w:type="dxa" w:w="8208"/>
            <w:vAlign w:val="center"/>
            <w:tcMar>
              <w:top w:w="80" w:type="dxa"/>
              <w:start w:w="100" w:type="dxa"/>
              <w:bottom w:w="80" w:type="dxa"/>
              <w:end w:w="100" w:type="dxa"/>
            </w:tcMar>
          </w:tcPr>
          <w:p>
            <w:pPr>
              <w:spacing w:after="0"/>
            </w:pPr>
            <w:r>
              <w:rPr>
                <w:rFonts w:ascii="Arial" w:hAnsi="Arial"/>
              </w:rPr>
            </w:r>
            <w:r>
              <w:rPr>
                <w:rFonts w:ascii="Arial" w:hAnsi="Arial"/>
                <w:b w:val="0"/>
                <w:sz w:val="18"/>
              </w:rPr>
              <w:t>Chapter Planning Worksheet</w:t>
            </w:r>
          </w:p>
        </w:tc>
      </w:tr>
      <w:tr>
        <w:trPr>
          <w:cantSplit/>
        </w:trPr>
        <w:tc>
          <w:tcPr>
            <w:tcW w:type="dxa" w:w="16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Appendix C</w:t>
            </w:r>
          </w:p>
        </w:tc>
        <w:tc>
          <w:tcPr>
            <w:tcW w:type="dxa" w:w="820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Version and Change Log</w:t>
            </w:r>
          </w:p>
        </w:tc>
      </w:tr>
    </w:tbl>
    <w:p>
      <w:pPr>
        <w:spacing w:after="0"/>
      </w:pPr>
    </w:p>
    <w:p>
      <w:pPr>
        <w:pStyle w:val="Heading1"/>
        <w:keepNext/>
      </w:pPr>
      <w:r>
        <w:t>1. Purpose and Authority</w:t>
      </w:r>
    </w:p>
    <w:p>
      <w:r>
        <w:t>This document is the controlling reference for creating, editing and extending the AFL Coaching Reference Library. It is designed to be uploaded or pasted into a new ChatGPT, Gemini or other AI conversation so that work can continue without relying on the original long conversation.</w:t>
      </w:r>
    </w:p>
    <w:p>
      <w:pPr>
        <w:pStyle w:val="ListBullet"/>
        <w:spacing w:after="60"/>
      </w:pPr>
      <w:r>
        <w:t>Defines the permanent structure and standard for every drill.</w:t>
      </w:r>
    </w:p>
    <w:p>
      <w:pPr>
        <w:pStyle w:val="ListBullet"/>
        <w:spacing w:after="60"/>
      </w:pPr>
      <w:r>
        <w:t>Preserves numbering, chapter order, terminology and formatting across separate chats.</w:t>
      </w:r>
    </w:p>
    <w:p>
      <w:pPr>
        <w:pStyle w:val="ListBullet"/>
        <w:spacing w:after="60"/>
      </w:pPr>
      <w:r>
        <w:t>Prevents abbreviated, inconsistent or duplicated drill records.</w:t>
      </w:r>
    </w:p>
    <w:p>
      <w:pPr>
        <w:pStyle w:val="ListBullet"/>
        <w:spacing w:after="60"/>
      </w:pPr>
      <w:r>
        <w:t>Provides a complete handover prompt and blank drill template.</w:t>
      </w:r>
    </w:p>
    <w:p>
      <w:pPr>
        <w:pStyle w:val="ListBullet"/>
        <w:spacing w:after="60"/>
      </w:pPr>
      <w:r>
        <w:t>Records the current completion point and the next required output.</w:t>
      </w:r>
    </w:p>
    <w:p>
      <w:r>
        <w:rPr>
          <w:b/>
        </w:rPr>
        <w:t xml:space="preserve">Authority rule: </w:t>
      </w:r>
      <w:r>
        <w:t>Where a future chat response conflicts with this master document, this master document takes priority unless the user explicitly changes the standard.</w:t>
      </w:r>
    </w:p>
    <w:p>
      <w:pPr>
        <w:pStyle w:val="Heading1"/>
        <w:keepNext/>
      </w:pPr>
      <w:r>
        <w:t>2. Current Project Status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Item</w:t>
            </w:r>
          </w:p>
        </w:tc>
        <w:tc>
          <w:tcPr>
            <w:tcW w:type="dxa" w:w="6624"/>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Status</w:t>
            </w:r>
          </w:p>
        </w:tc>
      </w:tr>
      <w:tr>
        <w:trPr>
          <w:cantSplit/>
        </w:trPr>
        <w:tc>
          <w:tcPr>
            <w:tcW w:type="dxa" w:w="3168"/>
            <w:vAlign w:val="center"/>
            <w:tcMar>
              <w:top w:w="80" w:type="dxa"/>
              <w:start w:w="100" w:type="dxa"/>
              <w:bottom w:w="80" w:type="dxa"/>
              <w:end w:w="100" w:type="dxa"/>
            </w:tcMar>
          </w:tcPr>
          <w:p>
            <w:pPr>
              <w:spacing w:after="0"/>
            </w:pPr>
            <w:r>
              <w:rPr>
                <w:rFonts w:ascii="Arial" w:hAnsi="Arial" w:eastAsia="Arial"/>
                <w:b w:val="0"/>
                <w:i w:val="0"/>
                <w:sz w:val="18"/>
              </w:rPr>
              <w:t>Completed chapters</w:t>
            </w:r>
          </w:p>
        </w:tc>
        <w:tc>
          <w:tcPr>
            <w:tcW w:type="dxa" w:w="6624"/>
            <w:vAlign w:val="center"/>
            <w:tcMar>
              <w:top w:w="80" w:type="dxa"/>
              <w:start w:w="100" w:type="dxa"/>
              <w:bottom w:w="80" w:type="dxa"/>
              <w:end w:w="100" w:type="dxa"/>
            </w:tcMar>
          </w:tcPr>
          <w:p>
            <w:r>
              <w:t>Chapters 1–16 – Kicking, Handballing, Marking, Ground Balls, Tackling and Pressure, Spoiling and Aerial Defence, Ruck and Stoppage Craft, Evasion, Agility and Movement, Decision Making, Team Offence, Team Defence, Transition, Conditioning with Football, Small-Sided Games, Match Simulation, and Testing and Assessment</w:t>
            </w:r>
          </w:p>
        </w:tc>
      </w:tr>
      <w:tr>
        <w:trPr>
          <w:cantSplit/>
        </w:trPr>
        <w:tc>
          <w:tcPr>
            <w:tcW w:type="dxa" w:w="3168"/>
            <w:vAlign w:val="center"/>
            <w:tcMar>
              <w:top w:w="80" w:type="dxa"/>
              <w:start w:w="100" w:type="dxa"/>
              <w:bottom w:w="80" w:type="dxa"/>
              <w:end w:w="100" w:type="dxa"/>
            </w:tcMar>
            <w:shd w:fill="F3F6FA"/>
          </w:tcPr>
          <w:p>
            <w:pPr>
              <w:spacing w:after="0"/>
            </w:pPr>
            <w:r>
              <w:rPr>
                <w:rFonts w:ascii="Arial" w:hAnsi="Arial" w:eastAsia="Arial"/>
                <w:b w:val="0"/>
                <w:i w:val="0"/>
                <w:sz w:val="18"/>
              </w:rPr>
              <w:t>Completed drill ranges</w:t>
            </w:r>
          </w:p>
        </w:tc>
        <w:tc>
          <w:tcPr>
            <w:tcW w:type="dxa" w:w="6624"/>
            <w:vAlign w:val="center"/>
            <w:tcMar>
              <w:top w:w="80" w:type="dxa"/>
              <w:start w:w="100" w:type="dxa"/>
              <w:bottom w:w="80" w:type="dxa"/>
              <w:end w:w="100" w:type="dxa"/>
            </w:tcMar>
            <w:shd w:fill="F3F6FA"/>
          </w:tcPr>
          <w:p>
            <w:r>
              <w:t>KK-001 to KK-150; HB-001 to HB-120; MK-001 to MK-120; GB-001 to GB-120; TK-001 to TK-120; SP-001 to SP-080; RK-001 to RK-080; EA-001 to EA-080; DM-001 to DM-100; TO-001 to TO-100; TD-001 to TD-100; TR-001 to TR-100; CF-001 to CF-080; SG-001 to SG-100; MS-001 to MS-100; TA-001 to TA-060</w:t>
            </w:r>
          </w:p>
        </w:tc>
      </w:tr>
      <w:tr>
        <w:trPr>
          <w:cantSplit/>
        </w:trPr>
        <w:tc>
          <w:tcPr>
            <w:tcW w:type="dxa" w:w="3168"/>
            <w:vAlign w:val="center"/>
            <w:tcMar>
              <w:top w:w="80" w:type="dxa"/>
              <w:start w:w="100" w:type="dxa"/>
              <w:bottom w:w="80" w:type="dxa"/>
              <w:end w:w="100" w:type="dxa"/>
            </w:tcMar>
          </w:tcPr>
          <w:p>
            <w:pPr>
              <w:spacing w:after="0"/>
            </w:pPr>
            <w:r>
              <w:rPr>
                <w:rFonts w:ascii="Arial" w:hAnsi="Arial" w:eastAsia="Arial"/>
                <w:b w:val="0"/>
                <w:i w:val="0"/>
                <w:sz w:val="18"/>
              </w:rPr>
              <w:t>Total completed drills</w:t>
            </w:r>
          </w:p>
        </w:tc>
        <w:tc>
          <w:tcPr>
            <w:tcW w:type="dxa" w:w="6624"/>
            <w:vAlign w:val="center"/>
            <w:tcMar>
              <w:top w:w="80" w:type="dxa"/>
              <w:start w:w="100" w:type="dxa"/>
              <w:bottom w:w="80" w:type="dxa"/>
              <w:end w:w="100" w:type="dxa"/>
            </w:tcMar>
          </w:tcPr>
          <w:p>
            <w:r>
              <w:t>1610</w:t>
            </w:r>
          </w:p>
        </w:tc>
      </w:tr>
      <w:tr>
        <w:trPr>
          <w:cantSplit/>
        </w:trPr>
        <w:tc>
          <w:tcPr>
            <w:tcW w:type="dxa" w:w="3168"/>
            <w:vAlign w:val="center"/>
            <w:tcMar>
              <w:top w:w="80" w:type="dxa"/>
              <w:start w:w="100" w:type="dxa"/>
              <w:bottom w:w="80" w:type="dxa"/>
              <w:end w:w="100" w:type="dxa"/>
            </w:tcMar>
            <w:shd w:fill="F3F6FA"/>
          </w:tcPr>
          <w:p>
            <w:pPr>
              <w:spacing w:after="0"/>
            </w:pPr>
            <w:r>
              <w:rPr>
                <w:rFonts w:ascii="Arial" w:hAnsi="Arial" w:eastAsia="Arial"/>
                <w:b w:val="0"/>
                <w:i w:val="0"/>
                <w:sz w:val="18"/>
              </w:rPr>
              <w:t>Latest completed chapter</w:t>
            </w:r>
          </w:p>
        </w:tc>
        <w:tc>
          <w:tcPr>
            <w:tcW w:type="dxa" w:w="6624"/>
            <w:vAlign w:val="center"/>
            <w:tcMar>
              <w:top w:w="80" w:type="dxa"/>
              <w:start w:w="100" w:type="dxa"/>
              <w:bottom w:w="80" w:type="dxa"/>
              <w:end w:w="100" w:type="dxa"/>
            </w:tcMar>
            <w:shd w:fill="F3F6FA"/>
          </w:tcPr>
          <w:p>
            <w:r>
              <w:t>Chapter 16 – Testing and Assessment</w:t>
            </w:r>
          </w:p>
        </w:tc>
      </w:tr>
      <w:tr>
        <w:trPr>
          <w:cantSplit/>
        </w:trPr>
        <w:tc>
          <w:tcPr>
            <w:tcW w:type="dxa" w:w="3168"/>
            <w:vAlign w:val="center"/>
            <w:tcMar>
              <w:top w:w="80" w:type="dxa"/>
              <w:start w:w="100" w:type="dxa"/>
              <w:bottom w:w="80" w:type="dxa"/>
              <w:end w:w="100" w:type="dxa"/>
            </w:tcMar>
          </w:tcPr>
          <w:p>
            <w:pPr>
              <w:spacing w:after="0"/>
            </w:pPr>
            <w:r>
              <w:rPr>
                <w:rFonts w:ascii="Arial" w:hAnsi="Arial" w:eastAsia="Arial"/>
                <w:b w:val="0"/>
                <w:i w:val="0"/>
                <w:sz w:val="18"/>
              </w:rPr>
              <w:t>Last completed drill</w:t>
            </w:r>
          </w:p>
        </w:tc>
        <w:tc>
          <w:tcPr>
            <w:tcW w:type="dxa" w:w="6624"/>
            <w:vAlign w:val="center"/>
            <w:tcMar>
              <w:top w:w="80" w:type="dxa"/>
              <w:start w:w="100" w:type="dxa"/>
              <w:bottom w:w="80" w:type="dxa"/>
              <w:end w:w="100" w:type="dxa"/>
            </w:tcMar>
          </w:tcPr>
          <w:p>
            <w:r>
              <w:t>TA-060 – Testing and Assessment Chapter Final Assessment</w:t>
            </w:r>
          </w:p>
        </w:tc>
      </w:tr>
      <w:tr>
        <w:trPr>
          <w:cantSplit/>
        </w:trPr>
        <w:tc>
          <w:tcPr>
            <w:tcW w:type="dxa" w:w="3168"/>
            <w:vAlign w:val="center"/>
            <w:tcMar>
              <w:top w:w="80" w:type="dxa"/>
              <w:start w:w="100" w:type="dxa"/>
              <w:bottom w:w="80" w:type="dxa"/>
              <w:end w:w="100" w:type="dxa"/>
            </w:tcMar>
            <w:shd w:fill="F3F6FA"/>
          </w:tcPr>
          <w:p>
            <w:pPr>
              <w:spacing w:after="0"/>
            </w:pPr>
            <w:r>
              <w:rPr>
                <w:rFonts w:ascii="Arial" w:hAnsi="Arial" w:eastAsia="Arial"/>
                <w:b w:val="0"/>
                <w:i w:val="0"/>
                <w:sz w:val="18"/>
              </w:rPr>
              <w:t>Next chapter and drill</w:t>
            </w:r>
          </w:p>
        </w:tc>
        <w:tc>
          <w:tcPr>
            <w:tcW w:type="dxa" w:w="6624"/>
            <w:vAlign w:val="center"/>
            <w:tcMar>
              <w:top w:w="80" w:type="dxa"/>
              <w:start w:w="100" w:type="dxa"/>
              <w:bottom w:w="80" w:type="dxa"/>
              <w:end w:w="100" w:type="dxa"/>
            </w:tcMar>
            <w:shd w:fill="F3F6FA"/>
          </w:tcPr>
          <w:p>
            <w:r>
              <w:t>Future chapter architecture and prefix pending user direction</w:t>
            </w:r>
          </w:p>
        </w:tc>
      </w:tr>
      <w:tr>
        <w:trPr>
          <w:cantSplit/>
        </w:trPr>
        <w:tc>
          <w:tcPr>
            <w:tcW w:type="dxa" w:w="3168"/>
            <w:vAlign w:val="center"/>
            <w:tcMar>
              <w:top w:w="80" w:type="dxa"/>
              <w:start w:w="100" w:type="dxa"/>
              <w:bottom w:w="80" w:type="dxa"/>
              <w:end w:w="100" w:type="dxa"/>
            </w:tcMar>
          </w:tcPr>
          <w:p>
            <w:pPr>
              <w:spacing w:after="0"/>
            </w:pPr>
            <w:r>
              <w:rPr>
                <w:rFonts w:ascii="Arial" w:hAnsi="Arial" w:eastAsia="Arial"/>
                <w:b w:val="0"/>
                <w:i w:val="0"/>
                <w:sz w:val="18"/>
              </w:rPr>
              <w:t>Required next block</w:t>
            </w:r>
          </w:p>
        </w:tc>
        <w:tc>
          <w:tcPr>
            <w:tcW w:type="dxa" w:w="6624"/>
            <w:vAlign w:val="center"/>
            <w:tcMar>
              <w:top w:w="80" w:type="dxa"/>
              <w:start w:w="100" w:type="dxa"/>
              <w:bottom w:w="80" w:type="dxa"/>
              <w:end w:w="100" w:type="dxa"/>
            </w:tcMar>
          </w:tcPr>
          <w:p>
            <w:r>
              <w:t>No further drill block is assigned until the user defines the next chapter</w:t>
            </w:r>
          </w:p>
        </w:tc>
      </w:tr>
    </w:tbl>
    <w:p>
      <w:pPr>
        <w:spacing w:after="0"/>
      </w:pPr>
    </w:p>
    <w:p>
      <w:pPr>
        <w:pStyle w:val="Heading2"/>
        <w:keepNext/>
      </w:pPr>
      <w:r>
        <w:t>2.1 Continuation Rule</w:t>
      </w:r>
    </w:p>
    <w:p>
      <w:r>
        <w:rPr>
          <w:rFonts w:ascii="Arial" w:hAnsi="Arial" w:eastAsia="Arial"/>
          <w:b w:val="0"/>
          <w:i w:val="0"/>
          <w:sz w:val="20"/>
        </w:rPr>
        <w:t>When the user says “C”, “continue”, “continue the drills”, “go on”, or provides another equivalent instruction, immediately produce the next sequential drills. Do not repeat the project history, ask for confirmation, or provide an explanation before the drills.</w:t>
      </w:r>
    </w:p>
    <w:p>
      <w:pPr>
        <w:pStyle w:val="Heading2"/>
        <w:keepNext/>
      </w:pPr>
      <w:r>
        <w:t>2.2 Completion Rule</w:t>
      </w:r>
    </w:p>
    <w:p>
      <w:r>
        <w:t>At the end of a drill block, stop cleanly after the final drill. Do not announce the next block unless a brief single-line status note is genuinely useful. Never claim that a chapter is complete until the final assigned drill number has been produced.</w:t>
      </w:r>
    </w:p>
    <w:p>
      <w:pPr>
        <w:pStyle w:val="Heading2"/>
      </w:pPr>
      <w:r>
        <w:t>2.3 Master File Update Rule</w:t>
      </w:r>
    </w:p>
    <w:p>
      <w:pPr/>
      <w:r>
        <w:t>Immediately after the final drill in a chapter is completed, create and deliver a new updated version of this Master Document before beginning the next chapter. The updated master file must record completed chapters and drill ranges, total completed drills, the latest completed drill, the next chapter and drill block, and the version/change log. It is a control and continuation document and must not contain the full drill records unless the user explicitly requests them.</w:t>
      </w:r>
    </w:p>
    <w:p>
      <w:pPr>
        <w:pStyle w:val="Heading1"/>
        <w:keepNext/>
      </w:pPr>
      <w:r>
        <w:t>3. Library Architecture</w:t>
      </w:r>
    </w:p>
    <w:p>
      <w:r>
        <w:t>The library is organised as progressive chapters. Each chapter begins with fundamentals, develops movement and pressure, then advances into tactical, position-specific and match-simulation work.</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504"/>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Ch.</w:t>
            </w:r>
          </w:p>
        </w:tc>
        <w:tc>
          <w:tcPr>
            <w:tcW w:type="dxa" w:w="1944"/>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Chapter</w:t>
            </w:r>
          </w:p>
        </w:tc>
        <w:tc>
          <w:tcPr>
            <w:tcW w:type="dxa" w:w="64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Prefix</w:t>
            </w:r>
          </w:p>
        </w:tc>
        <w:tc>
          <w:tcPr>
            <w:tcW w:type="dxa" w:w="79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Target</w:t>
            </w:r>
          </w:p>
        </w:tc>
        <w:tc>
          <w:tcPr>
            <w:tcW w:type="dxa" w:w="9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Status</w:t>
            </w:r>
          </w:p>
        </w:tc>
        <w:tc>
          <w:tcPr>
            <w:tcW w:type="dxa" w:w="532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Scope</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1</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Kicking</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KK</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150</w:t>
            </w:r>
          </w:p>
        </w:tc>
        <w:tc>
          <w:tcPr>
            <w:tcW w:type="dxa" w:w="936"/>
            <w:vAlign w:val="center"/>
            <w:tcMar>
              <w:top w:w="80" w:type="dxa"/>
              <w:start w:w="100" w:type="dxa"/>
              <w:bottom w:w="80" w:type="dxa"/>
              <w:end w:w="100" w:type="dxa"/>
            </w:tcMar>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Technical kicking, movement, possession, transition, forward entry, goal kicking, tactical decision making and match simulation.</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Handballing</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HB</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120</w:t>
            </w:r>
          </w:p>
        </w:tc>
        <w:tc>
          <w:tcPr>
            <w:tcW w:type="dxa" w:w="936"/>
            <w:vAlign w:val="center"/>
            <w:tcMar>
              <w:top w:w="80" w:type="dxa"/>
              <w:start w:w="100" w:type="dxa"/>
              <w:bottom w:w="80" w:type="dxa"/>
              <w:end w:w="100" w:type="dxa"/>
            </w:tcMar>
            <w:shd w:fill="F3F6FA"/>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Technique, receiving and releasing, movement, congestion, overlap, transition, elite decision making and assessment.</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3</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Marking</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MK</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120</w:t>
            </w:r>
          </w:p>
        </w:tc>
        <w:tc>
          <w:tcPr>
            <w:tcW w:type="dxa" w:w="936"/>
            <w:vAlign w:val="center"/>
            <w:tcMar>
              <w:top w:w="80" w:type="dxa"/>
              <w:start w:w="100" w:type="dxa"/>
              <w:bottom w:w="80" w:type="dxa"/>
              <w:end w:w="100" w:type="dxa"/>
            </w:tcMar>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Chest, overhead, contested, intercept, leading, pack marking and match application.</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4</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Ground Balls</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GB</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120</w:t>
            </w:r>
          </w:p>
        </w:tc>
        <w:tc>
          <w:tcPr>
            <w:tcW w:type="dxa" w:w="936"/>
            <w:vAlign w:val="center"/>
            <w:tcMar>
              <w:top w:w="80" w:type="dxa"/>
              <w:start w:w="100" w:type="dxa"/>
              <w:bottom w:w="80" w:type="dxa"/>
              <w:end w:w="100" w:type="dxa"/>
            </w:tcMar>
            <w:shd w:fill="F3F6FA"/>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Approach, clean collection, body positioning, pressure, congestion, release and transition.</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5</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Tackling and Pressure</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TK</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120</w:t>
            </w:r>
          </w:p>
        </w:tc>
        <w:tc>
          <w:tcPr>
            <w:tcW w:type="dxa" w:w="936"/>
            <w:vAlign w:val="center"/>
            <w:tcMar>
              <w:top w:w="80" w:type="dxa"/>
              <w:start w:w="100" w:type="dxa"/>
              <w:bottom w:w="80" w:type="dxa"/>
              <w:end w:w="100" w:type="dxa"/>
            </w:tcMar>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Technique, tracking, contact, repeat pressure, team pressure and safe match application.</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6</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Spoiling and Aerial Defence</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SP</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80</w:t>
            </w:r>
          </w:p>
        </w:tc>
        <w:tc>
          <w:tcPr>
            <w:tcW w:type="dxa" w:w="936"/>
            <w:vAlign w:val="center"/>
            <w:tcMar>
              <w:top w:w="80" w:type="dxa"/>
              <w:start w:w="100" w:type="dxa"/>
              <w:bottom w:w="80" w:type="dxa"/>
              <w:end w:w="100" w:type="dxa"/>
            </w:tcMar>
            <w:shd w:fill="F3F6FA"/>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Positioning, timing, bodywork, spoil direction, recovery and defensive structure.</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7</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Ruck and Stoppage Craft</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RK</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80</w:t>
            </w:r>
          </w:p>
        </w:tc>
        <w:tc>
          <w:tcPr>
            <w:tcW w:type="dxa" w:w="936"/>
            <w:vAlign w:val="center"/>
            <w:tcMar>
              <w:top w:w="80" w:type="dxa"/>
              <w:start w:w="100" w:type="dxa"/>
              <w:bottom w:w="80" w:type="dxa"/>
              <w:end w:w="100" w:type="dxa"/>
            </w:tcMar>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Ruck technique, hit zones, follow-up, stoppage systems and midfield connection.</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8</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Evasion, Agility and Movement</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EA</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80</w:t>
            </w:r>
          </w:p>
        </w:tc>
        <w:tc>
          <w:tcPr>
            <w:tcW w:type="dxa" w:w="936"/>
            <w:vAlign w:val="center"/>
            <w:tcMar>
              <w:top w:w="80" w:type="dxa"/>
              <w:start w:w="100" w:type="dxa"/>
              <w:bottom w:w="80" w:type="dxa"/>
              <w:end w:w="100" w:type="dxa"/>
            </w:tcMar>
            <w:shd w:fill="F3F6FA"/>
          </w:tcPr>
          <w:p>
            <w:pPr>
              <w:spacing w:after="0"/>
            </w:pPr>
            <w: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Footwork, sidestep, change of direction, acceleration, balance and ball-carrying movement.</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9</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Decision Making</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DM</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100</w:t>
            </w:r>
          </w:p>
        </w:tc>
        <w:tc>
          <w:tcPr>
            <w:tcW w:type="dxa" w:w="936"/>
            <w:vAlign w:val="center"/>
            <w:tcMar>
              <w:top w:w="80" w:type="dxa"/>
              <w:start w:w="100" w:type="dxa"/>
              <w:bottom w:w="80" w:type="dxa"/>
              <w:end w:w="100" w:type="dxa"/>
            </w:tcMar>
          </w:tcPr>
          <w:p>
            <w:pPr>
              <w:spacing w:after="0"/>
            </w:pPr>
            <w: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Scanning, option selection, risk, numbers, field position, pressure and scenario play.</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Team Offence</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TO</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100</w:t>
            </w:r>
          </w:p>
        </w:tc>
        <w:tc>
          <w:tcPr>
            <w:tcW w:type="dxa" w:w="936"/>
            <w:vAlign w:val="center"/>
            <w:tcMar>
              <w:top w:w="80" w:type="dxa"/>
              <w:start w:w="100" w:type="dxa"/>
              <w:bottom w:w="80" w:type="dxa"/>
              <w:end w:w="100" w:type="dxa"/>
            </w:tcMar>
            <w:shd w:fill="F3F6FA"/>
          </w:tcPr>
          <w:p>
            <w:pPr>
              <w:spacing w:after="0"/>
            </w:pPr>
            <w: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Possession, width, corridor, forward structure, ball movement and scoring methods.</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11</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Team Defence</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TD</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100</w:t>
            </w:r>
          </w:p>
        </w:tc>
        <w:tc>
          <w:tcPr>
            <w:tcW w:type="dxa" w:w="936"/>
            <w:vAlign w:val="center"/>
            <w:tcMar>
              <w:top w:w="80" w:type="dxa"/>
              <w:start w:w="100" w:type="dxa"/>
              <w:bottom w:w="80" w:type="dxa"/>
              <w:end w:w="100" w:type="dxa"/>
            </w:tcMar>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Pressing, zoning, man-on-man, intercept shape, repeat entries and defensive exits.</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12</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Transition</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TR</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100</w:t>
            </w:r>
          </w:p>
        </w:tc>
        <w:tc>
          <w:tcPr>
            <w:tcW w:type="dxa" w:w="936"/>
            <w:vAlign w:val="center"/>
            <w:tcMar>
              <w:top w:w="80" w:type="dxa"/>
              <w:start w:w="100" w:type="dxa"/>
              <w:bottom w:w="80" w:type="dxa"/>
              <w:end w:w="100" w:type="dxa"/>
            </w:tcMar>
            <w:shd w:fill="F3F6FA"/>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Turnover reaction, attack-to-defence, defence-to-attack, running support and structure.</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13</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Conditioning with Football</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CF</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80</w:t>
            </w:r>
          </w:p>
        </w:tc>
        <w:tc>
          <w:tcPr>
            <w:tcW w:type="dxa" w:w="936"/>
            <w:vAlign w:val="center"/>
            <w:tcMar>
              <w:top w:w="80" w:type="dxa"/>
              <w:start w:w="100" w:type="dxa"/>
              <w:bottom w:w="80" w:type="dxa"/>
              <w:end w:w="100" w:type="dxa"/>
            </w:tcMar>
          </w:tcPr>
          <w:p>
            <w:pPr>
              <w:spacing w:after="0"/>
            </w:pPr>
            <w:r>
              <w:rPr>
                <w:rFonts w:ascii="Arial" w:hAnsi="Arial" w:eastAsia="Arial"/>
                <w:b w:val="0"/>
                <w:i w:val="0"/>
                <w:sz w:val="18"/>
              </w:rP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Football-specific speed, repeat efforts, work capacity and skill execution under fatigue.</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14</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Small-Sided Games</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SG</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100</w:t>
            </w:r>
          </w:p>
        </w:tc>
        <w:tc>
          <w:tcPr>
            <w:tcW w:type="dxa" w:w="936"/>
            <w:vAlign w:val="center"/>
            <w:tcMar>
              <w:top w:w="80" w:type="dxa"/>
              <w:start w:w="100" w:type="dxa"/>
              <w:bottom w:w="80" w:type="dxa"/>
              <w:end w:w="100" w:type="dxa"/>
            </w:tcMar>
            <w:shd w:fill="F3F6FA"/>
          </w:tcPr>
          <w:p>
            <w: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Constraint-led games targeting skills, decisions, structure and competitive behaviour.</w:t>
            </w:r>
          </w:p>
        </w:tc>
      </w:tr>
      <w:tr>
        <w:trPr>
          <w:cantSplit/>
        </w:trPr>
        <w:tc>
          <w:tcPr>
            <w:tcW w:type="dxa" w:w="504"/>
            <w:vAlign w:val="center"/>
            <w:tcMar>
              <w:top w:w="80" w:type="dxa"/>
              <w:start w:w="100" w:type="dxa"/>
              <w:bottom w:w="80" w:type="dxa"/>
              <w:end w:w="100" w:type="dxa"/>
            </w:tcMar>
          </w:tcPr>
          <w:p>
            <w:pPr>
              <w:spacing w:after="0"/>
            </w:pPr>
            <w:r>
              <w:rPr>
                <w:rFonts w:ascii="Arial" w:hAnsi="Arial"/>
              </w:rPr>
            </w:r>
            <w:r>
              <w:rPr>
                <w:rFonts w:ascii="Arial" w:hAnsi="Arial"/>
                <w:b w:val="0"/>
                <w:sz w:val="18"/>
              </w:rPr>
              <w:t>15</w:t>
            </w:r>
          </w:p>
        </w:tc>
        <w:tc>
          <w:tcPr>
            <w:tcW w:type="dxa" w:w="1944"/>
            <w:vAlign w:val="center"/>
            <w:tcMar>
              <w:top w:w="80" w:type="dxa"/>
              <w:start w:w="100" w:type="dxa"/>
              <w:bottom w:w="80" w:type="dxa"/>
              <w:end w:w="100" w:type="dxa"/>
            </w:tcMar>
          </w:tcPr>
          <w:p>
            <w:pPr>
              <w:spacing w:after="0"/>
            </w:pPr>
            <w:r>
              <w:rPr>
                <w:rFonts w:ascii="Arial" w:hAnsi="Arial"/>
              </w:rPr>
            </w:r>
            <w:r>
              <w:rPr>
                <w:rFonts w:ascii="Arial" w:hAnsi="Arial"/>
                <w:b w:val="0"/>
                <w:sz w:val="18"/>
              </w:rPr>
              <w:t>Match Simulation</w:t>
            </w:r>
          </w:p>
        </w:tc>
        <w:tc>
          <w:tcPr>
            <w:tcW w:type="dxa" w:w="648"/>
            <w:vAlign w:val="center"/>
            <w:tcMar>
              <w:top w:w="80" w:type="dxa"/>
              <w:start w:w="100" w:type="dxa"/>
              <w:bottom w:w="80" w:type="dxa"/>
              <w:end w:w="100" w:type="dxa"/>
            </w:tcMar>
          </w:tcPr>
          <w:p>
            <w:pPr>
              <w:spacing w:after="0"/>
            </w:pPr>
            <w:r>
              <w:rPr>
                <w:rFonts w:ascii="Arial" w:hAnsi="Arial"/>
              </w:rPr>
            </w:r>
            <w:r>
              <w:rPr>
                <w:rFonts w:ascii="Arial" w:hAnsi="Arial"/>
                <w:b w:val="0"/>
                <w:sz w:val="18"/>
              </w:rPr>
              <w:t>MS</w:t>
            </w:r>
          </w:p>
        </w:tc>
        <w:tc>
          <w:tcPr>
            <w:tcW w:type="dxa" w:w="792"/>
            <w:vAlign w:val="center"/>
            <w:tcMar>
              <w:top w:w="80" w:type="dxa"/>
              <w:start w:w="100" w:type="dxa"/>
              <w:bottom w:w="80" w:type="dxa"/>
              <w:end w:w="100" w:type="dxa"/>
            </w:tcMar>
          </w:tcPr>
          <w:p>
            <w:pPr>
              <w:spacing w:after="0"/>
            </w:pPr>
            <w:r>
              <w:rPr>
                <w:rFonts w:ascii="Arial" w:hAnsi="Arial"/>
              </w:rPr>
            </w:r>
            <w:r>
              <w:rPr>
                <w:rFonts w:ascii="Arial" w:hAnsi="Arial"/>
                <w:b w:val="0"/>
                <w:sz w:val="18"/>
              </w:rPr>
              <w:t>100</w:t>
            </w:r>
          </w:p>
        </w:tc>
        <w:tc>
          <w:tcPr>
            <w:tcW w:type="dxa" w:w="936"/>
            <w:vAlign w:val="center"/>
            <w:tcMar>
              <w:top w:w="80" w:type="dxa"/>
              <w:start w:w="100" w:type="dxa"/>
              <w:bottom w:w="80" w:type="dxa"/>
              <w:end w:w="100" w:type="dxa"/>
            </w:tcMar>
          </w:tcPr>
          <w:p>
            <w:r>
              <w:t>Complete</w:t>
            </w:r>
          </w:p>
        </w:tc>
        <w:tc>
          <w:tcPr>
            <w:tcW w:type="dxa" w:w="5328"/>
            <w:vAlign w:val="center"/>
            <w:tcMar>
              <w:top w:w="80" w:type="dxa"/>
              <w:start w:w="100" w:type="dxa"/>
              <w:bottom w:w="80" w:type="dxa"/>
              <w:end w:w="100" w:type="dxa"/>
            </w:tcMar>
          </w:tcPr>
          <w:p>
            <w:pPr>
              <w:spacing w:after="0"/>
            </w:pPr>
            <w:r>
              <w:rPr>
                <w:rFonts w:ascii="Arial" w:hAnsi="Arial"/>
              </w:rPr>
            </w:r>
            <w:r>
              <w:rPr>
                <w:rFonts w:ascii="Arial" w:hAnsi="Arial"/>
                <w:b w:val="0"/>
                <w:sz w:val="18"/>
              </w:rPr>
              <w:t>Scenario-based, phase-based and full-match tactical simulations.</w:t>
            </w:r>
          </w:p>
        </w:tc>
      </w:tr>
      <w:tr>
        <w:trPr>
          <w:cantSplit/>
        </w:trPr>
        <w:tc>
          <w:tcPr>
            <w:tcW w:type="dxa" w:w="5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16</w:t>
            </w:r>
          </w:p>
        </w:tc>
        <w:tc>
          <w:tcPr>
            <w:tcW w:type="dxa" w:w="194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Testing and Assessment</w:t>
            </w:r>
          </w:p>
        </w:tc>
        <w:tc>
          <w:tcPr>
            <w:tcW w:type="dxa" w:w="6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TA</w:t>
            </w:r>
          </w:p>
        </w:tc>
        <w:tc>
          <w:tcPr>
            <w:tcW w:type="dxa" w:w="7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60</w:t>
            </w:r>
          </w:p>
        </w:tc>
        <w:tc>
          <w:tcPr>
            <w:tcW w:type="dxa" w:w="936"/>
            <w:vAlign w:val="center"/>
            <w:tcMar>
              <w:top w:w="80" w:type="dxa"/>
              <w:start w:w="100" w:type="dxa"/>
              <w:bottom w:w="80" w:type="dxa"/>
              <w:end w:w="100" w:type="dxa"/>
            </w:tcMar>
            <w:shd w:fill="F3F6FA"/>
          </w:tcPr>
          <w:p>
            <w:r>
              <w:t>Complete</w:t>
            </w:r>
          </w:p>
        </w:tc>
        <w:tc>
          <w:tcPr>
            <w:tcW w:type="dxa" w:w="532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Technical testing, tactical observation, benchmarks, player profiles and review tools.</w:t>
            </w:r>
          </w:p>
        </w:tc>
      </w:tr>
    </w:tbl>
    <w:p>
      <w:pPr>
        <w:spacing w:after="0"/>
      </w:pPr>
    </w:p>
    <w:p>
      <w:r>
        <w:rPr>
          <w:b/>
        </w:rPr>
        <w:t xml:space="preserve">Planning note: </w:t>
      </w:r>
      <w:r>
        <w:t>The target drill counts are controlled planning values, not an obligation to pad chapters. The user may increase, reduce, merge or reorder chapters. Goal kicking remains within the Kicking chapter unless the user later directs that it become a separate chapter.</w:t>
      </w:r>
    </w:p>
    <w:p>
      <w:pPr>
        <w:pStyle w:val="Heading2"/>
        <w:keepNext/>
      </w:pPr>
      <w:r>
        <w:t>3.1 Standard Internal Progression for a 120-Drill Chapter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Range</w:t>
            </w:r>
          </w:p>
        </w:tc>
        <w:tc>
          <w:tcPr>
            <w:tcW w:type="dxa" w:w="288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Development Stage</w:t>
            </w:r>
          </w:p>
        </w:tc>
        <w:tc>
          <w:tcPr>
            <w:tcW w:type="dxa" w:w="576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Primary Focus</w:t>
            </w:r>
          </w:p>
        </w:tc>
      </w:tr>
      <w:tr>
        <w:trPr>
          <w:cantSplit/>
        </w:trPr>
        <w:tc>
          <w:tcPr>
            <w:tcW w:type="dxa" w:w="1440"/>
            <w:vAlign w:val="center"/>
            <w:tcMar>
              <w:top w:w="80" w:type="dxa"/>
              <w:start w:w="100" w:type="dxa"/>
              <w:bottom w:w="80" w:type="dxa"/>
              <w:end w:w="100" w:type="dxa"/>
            </w:tcMar>
          </w:tcPr>
          <w:p>
            <w:pPr>
              <w:spacing w:after="0"/>
            </w:pPr>
            <w:r>
              <w:rPr>
                <w:rFonts w:ascii="Arial" w:hAnsi="Arial"/>
              </w:rPr>
            </w:r>
            <w:r>
              <w:rPr>
                <w:rFonts w:ascii="Arial" w:hAnsi="Arial"/>
                <w:b w:val="0"/>
                <w:sz w:val="18"/>
              </w:rPr>
              <w:t>001–020</w:t>
            </w:r>
          </w:p>
        </w:tc>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Fundamentals</w:t>
            </w:r>
          </w:p>
        </w:tc>
        <w:tc>
          <w:tcPr>
            <w:tcW w:type="dxa" w:w="5760"/>
            <w:vAlign w:val="center"/>
            <w:tcMar>
              <w:top w:w="80" w:type="dxa"/>
              <w:start w:w="100" w:type="dxa"/>
              <w:bottom w:w="80" w:type="dxa"/>
              <w:end w:w="100" w:type="dxa"/>
            </w:tcMar>
          </w:tcPr>
          <w:p>
            <w:pPr>
              <w:spacing w:after="0"/>
            </w:pPr>
            <w:r>
              <w:rPr>
                <w:rFonts w:ascii="Arial" w:hAnsi="Arial"/>
              </w:rPr>
            </w:r>
            <w:r>
              <w:rPr>
                <w:rFonts w:ascii="Arial" w:hAnsi="Arial"/>
                <w:b w:val="0"/>
                <w:sz w:val="18"/>
              </w:rPr>
              <w:t>Technique, body position, basic accuracy and introductory partner work.</w:t>
            </w:r>
          </w:p>
        </w:tc>
      </w:tr>
      <w:tr>
        <w:trPr>
          <w:cantSplit/>
        </w:trPr>
        <w:tc>
          <w:tcPr>
            <w:tcW w:type="dxa" w:w="144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021–040</w:t>
            </w:r>
          </w:p>
        </w:tc>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Movement</w:t>
            </w:r>
          </w:p>
        </w:tc>
        <w:tc>
          <w:tcPr>
            <w:tcW w:type="dxa" w:w="57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Executing the skill while moving, receiving, supporting and chaining disposals.</w:t>
            </w:r>
          </w:p>
        </w:tc>
      </w:tr>
      <w:tr>
        <w:trPr>
          <w:cantSplit/>
        </w:trPr>
        <w:tc>
          <w:tcPr>
            <w:tcW w:type="dxa" w:w="1440"/>
            <w:vAlign w:val="center"/>
            <w:tcMar>
              <w:top w:w="80" w:type="dxa"/>
              <w:start w:w="100" w:type="dxa"/>
              <w:bottom w:w="80" w:type="dxa"/>
              <w:end w:w="100" w:type="dxa"/>
            </w:tcMar>
          </w:tcPr>
          <w:p>
            <w:pPr>
              <w:spacing w:after="0"/>
            </w:pPr>
            <w:r>
              <w:rPr>
                <w:rFonts w:ascii="Arial" w:hAnsi="Arial"/>
              </w:rPr>
            </w:r>
            <w:r>
              <w:rPr>
                <w:rFonts w:ascii="Arial" w:hAnsi="Arial"/>
                <w:b w:val="0"/>
                <w:sz w:val="18"/>
              </w:rPr>
              <w:t>041–060</w:t>
            </w:r>
          </w:p>
        </w:tc>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Pressure and Contest</w:t>
            </w:r>
          </w:p>
        </w:tc>
        <w:tc>
          <w:tcPr>
            <w:tcW w:type="dxa" w:w="5760"/>
            <w:vAlign w:val="center"/>
            <w:tcMar>
              <w:top w:w="80" w:type="dxa"/>
              <w:start w:w="100" w:type="dxa"/>
              <w:bottom w:w="80" w:type="dxa"/>
              <w:end w:w="100" w:type="dxa"/>
            </w:tcMar>
          </w:tcPr>
          <w:p>
            <w:pPr>
              <w:spacing w:after="0"/>
            </w:pPr>
            <w:r>
              <w:rPr>
                <w:rFonts w:ascii="Arial" w:hAnsi="Arial"/>
              </w:rPr>
            </w:r>
            <w:r>
              <w:rPr>
                <w:rFonts w:ascii="Arial" w:hAnsi="Arial"/>
                <w:b w:val="0"/>
                <w:sz w:val="18"/>
              </w:rPr>
              <w:t>Congestion, contact, limited time, imperfect possession and recovery.</w:t>
            </w:r>
          </w:p>
        </w:tc>
      </w:tr>
      <w:tr>
        <w:trPr>
          <w:cantSplit/>
        </w:trPr>
        <w:tc>
          <w:tcPr>
            <w:tcW w:type="dxa" w:w="144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061–080</w:t>
            </w:r>
          </w:p>
        </w:tc>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Team Ball Movement</w:t>
            </w:r>
          </w:p>
        </w:tc>
        <w:tc>
          <w:tcPr>
            <w:tcW w:type="dxa" w:w="57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Overlap, support, positional connection, transition and structured use.</w:t>
            </w:r>
          </w:p>
        </w:tc>
      </w:tr>
      <w:tr>
        <w:trPr>
          <w:cantSplit/>
        </w:trPr>
        <w:tc>
          <w:tcPr>
            <w:tcW w:type="dxa" w:w="1440"/>
            <w:vAlign w:val="center"/>
            <w:tcMar>
              <w:top w:w="80" w:type="dxa"/>
              <w:start w:w="100" w:type="dxa"/>
              <w:bottom w:w="80" w:type="dxa"/>
              <w:end w:w="100" w:type="dxa"/>
            </w:tcMar>
          </w:tcPr>
          <w:p>
            <w:pPr>
              <w:spacing w:after="0"/>
            </w:pPr>
            <w:r>
              <w:rPr>
                <w:rFonts w:ascii="Arial" w:hAnsi="Arial"/>
              </w:rPr>
            </w:r>
            <w:r>
              <w:rPr>
                <w:rFonts w:ascii="Arial" w:hAnsi="Arial"/>
                <w:b w:val="0"/>
                <w:sz w:val="18"/>
              </w:rPr>
              <w:t>081–100</w:t>
            </w:r>
          </w:p>
        </w:tc>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Advanced and Elite Application</w:t>
            </w:r>
          </w:p>
        </w:tc>
        <w:tc>
          <w:tcPr>
            <w:tcW w:type="dxa" w:w="5760"/>
            <w:vAlign w:val="center"/>
            <w:tcMar>
              <w:top w:w="80" w:type="dxa"/>
              <w:start w:w="100" w:type="dxa"/>
              <w:bottom w:w="80" w:type="dxa"/>
              <w:end w:w="100" w:type="dxa"/>
            </w:tcMar>
          </w:tcPr>
          <w:p>
            <w:pPr>
              <w:spacing w:after="0"/>
            </w:pPr>
            <w:r>
              <w:rPr>
                <w:rFonts w:ascii="Arial" w:hAnsi="Arial"/>
              </w:rPr>
            </w:r>
            <w:r>
              <w:rPr>
                <w:rFonts w:ascii="Arial" w:hAnsi="Arial"/>
                <w:b w:val="0"/>
                <w:sz w:val="18"/>
              </w:rPr>
              <w:t>Deception, numbers, risk, fatigue, pressure and complex decision making.</w:t>
            </w:r>
          </w:p>
        </w:tc>
      </w:tr>
      <w:tr>
        <w:trPr>
          <w:cantSplit/>
        </w:trPr>
        <w:tc>
          <w:tcPr>
            <w:tcW w:type="dxa" w:w="144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101–120</w:t>
            </w:r>
          </w:p>
        </w:tc>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Position-Specific, Match Scenarios and Assessment</w:t>
            </w:r>
          </w:p>
        </w:tc>
        <w:tc>
          <w:tcPr>
            <w:tcW w:type="dxa" w:w="57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Role application, scoreboard scenarios, simulations and complete assessment.</w:t>
            </w:r>
          </w:p>
        </w:tc>
      </w:tr>
    </w:tbl>
    <w:p>
      <w:pPr>
        <w:spacing w:after="0"/>
      </w:pPr>
    </w:p>
    <w:p>
      <w:pPr>
        <w:pStyle w:val="Heading1"/>
        <w:keepNext/>
      </w:pPr>
      <w:r>
        <w:t>4. Chapter and Drill Numbering</w:t>
      </w:r>
    </w:p>
    <w:p>
      <w:pPr>
        <w:pStyle w:val="Heading2"/>
        <w:keepNext/>
      </w:pPr>
      <w:r>
        <w:t>4.1 Drill ID Format</w:t>
      </w:r>
    </w:p>
    <w:p>
      <w:r>
        <w:t>Every drill ID consists of a two-letter chapter prefix, a hyphen and a three-digit sequential number.</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tcPr>
          <w:p>
            <w:pPr>
              <w:spacing w:after="0"/>
            </w:pPr>
            <w:r>
              <w:rPr>
                <w:rFonts w:ascii="Arial" w:hAnsi="Arial"/>
              </w:rPr>
            </w:r>
            <w:r>
              <w:rPr>
                <w:rFonts w:ascii="Courier New" w:hAnsi="Courier New"/>
                <w:sz w:val="17"/>
              </w:rPr>
              <w:t>PREFIX-###</w:t>
            </w:r>
            <w:r>
              <w:rPr>
                <w:rFonts w:ascii="Arial" w:hAnsi="Arial"/>
              </w:rPr>
              <w:br/>
            </w:r>
            <w:r>
              <w:rPr>
                <w:rFonts w:ascii="Courier New" w:hAnsi="Courier New"/>
                <w:sz w:val="17"/>
              </w:rPr>
            </w:r>
            <w:r>
              <w:rPr>
                <w:rFonts w:ascii="Arial" w:hAnsi="Arial"/>
              </w:rPr>
              <w:br/>
            </w:r>
            <w:r>
              <w:rPr>
                <w:rFonts w:ascii="Courier New" w:hAnsi="Courier New"/>
                <w:sz w:val="17"/>
              </w:rPr>
              <w:t>Examples:</w:t>
            </w:r>
            <w:r>
              <w:rPr>
                <w:rFonts w:ascii="Arial" w:hAnsi="Arial"/>
              </w:rPr>
              <w:br/>
            </w:r>
            <w:r>
              <w:rPr>
                <w:rFonts w:ascii="Courier New" w:hAnsi="Courier New"/>
                <w:sz w:val="17"/>
              </w:rPr>
              <w:t>KK-001</w:t>
            </w:r>
            <w:r>
              <w:rPr>
                <w:rFonts w:ascii="Arial" w:hAnsi="Arial"/>
              </w:rPr>
              <w:br/>
            </w:r>
            <w:r>
              <w:rPr>
                <w:rFonts w:ascii="Courier New" w:hAnsi="Courier New"/>
                <w:sz w:val="17"/>
              </w:rPr>
              <w:t>HB-001</w:t>
            </w:r>
            <w:r>
              <w:rPr>
                <w:rFonts w:ascii="Arial" w:hAnsi="Arial"/>
              </w:rPr>
              <w:br/>
            </w:r>
            <w:r>
              <w:rPr>
                <w:rFonts w:ascii="Courier New" w:hAnsi="Courier New"/>
                <w:sz w:val="17"/>
              </w:rPr>
              <w:t>MK-037</w:t>
            </w:r>
            <w:r>
              <w:rPr>
                <w:rFonts w:ascii="Arial" w:hAnsi="Arial"/>
              </w:rPr>
              <w:br/>
            </w:r>
            <w:r>
              <w:rPr>
                <w:rFonts w:ascii="Courier New" w:hAnsi="Courier New"/>
                <w:sz w:val="17"/>
              </w:rPr>
              <w:t>TR-100</w:t>
            </w:r>
          </w:p>
        </w:tc>
      </w:tr>
    </w:tbl>
    <w:p/>
    <w:p>
      <w:pPr>
        <w:pStyle w:val="ListBullet"/>
        <w:spacing w:after="60"/>
      </w:pPr>
      <w:r>
        <w:t>Always use leading zeroes: HB-001, not HB-1.</w:t>
      </w:r>
    </w:p>
    <w:p>
      <w:pPr>
        <w:pStyle w:val="ListBullet"/>
        <w:spacing w:after="60"/>
      </w:pPr>
      <w:r>
        <w:t>Do not skip, duplicate or recycle an ID.</w:t>
      </w:r>
    </w:p>
    <w:p>
      <w:pPr>
        <w:pStyle w:val="ListBullet"/>
        <w:spacing w:after="60"/>
      </w:pPr>
      <w:r>
        <w:t>The ID and title must appear together in the heading: “HB-001 – Stationary Handball Fundamentals”.</w:t>
      </w:r>
    </w:p>
    <w:p>
      <w:pPr>
        <w:pStyle w:val="ListBullet"/>
        <w:spacing w:after="60"/>
      </w:pPr>
      <w:r>
        <w:t>A renamed drill retains its ID unless the drill itself is removed and formally replaced.</w:t>
      </w:r>
    </w:p>
    <w:p>
      <w:pPr>
        <w:pStyle w:val="ListBullet"/>
        <w:spacing w:after="60"/>
      </w:pPr>
      <w:r>
        <w:t>Related-drill references must use both the ID and the exact current title.</w:t>
      </w:r>
    </w:p>
    <w:p>
      <w:pPr>
        <w:pStyle w:val="Heading2"/>
        <w:keepNext/>
      </w:pPr>
      <w:r>
        <w:t>4.2 Drill Block Output</w:t>
      </w:r>
    </w:p>
    <w:p>
      <w:r>
        <w:t>The normal production block is ten drills at a time. A response may contain fewer drills if the final record would otherwise be cut off. Complete records are more important than reaching a fixed number per response.</w:t>
      </w:r>
    </w:p>
    <w:p>
      <w:pPr>
        <w:pStyle w:val="Heading1"/>
        <w:keepNext/>
      </w:pPr>
      <w:r>
        <w:t>5. Approved Drill Record Structure</w:t>
      </w:r>
    </w:p>
    <w:p>
      <w:r>
        <w:t>Every full-format drill must contain the following fields in this exact order. Headings may not be omitted unless the user explicitly requests a condensed format.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57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No.</w:t>
            </w:r>
          </w:p>
        </w:tc>
        <w:tc>
          <w:tcPr>
            <w:tcW w:type="dxa" w:w="27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Required Field</w:t>
            </w:r>
          </w:p>
        </w:tc>
        <w:tc>
          <w:tcPr>
            <w:tcW w:type="dxa" w:w="669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Standard</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1</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Drill title heading</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Drill ID and unique descriptive name.</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Drill ID</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Exact chapter prefix and sequence number.</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3</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Category</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The broad library skill category.</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4</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Primary Skill</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The single main capability being developed.</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5</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Secondary Skills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Three to six supporting capabilities.</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6</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Objective</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 clear statement describing the intended learning outcome.</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7</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Age Groups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Suitability table for all approved age groups.</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8</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Skill Level</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Foundation, Beginner, Intermediate, Advanced, Elite or a defined range.</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9</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Players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Minimum, ideal and maximum numbers.</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Ground Size</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Dimensions, zone or ground fraction.</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11</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Equipment</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Complete equipment list.</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12</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Time</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Recommended duration.</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13</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Physical Load</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Controlled 1–5 scale with descriptor.</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14</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Mental Load</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Controlled 1–5 scale with descriptor.</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15</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Contact</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Controlled 0–3 scale with descriptor.</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16</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Coaching Difficulty</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Controlled 1–5 scale with descriptor.</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17</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Session Placement</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Where the drill fits within a session.</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18</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Setup</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Physical layout, teams, starting positions and constraints.</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19</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How the Drill Works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Numbered operating instructions.</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20</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Coaching Points</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Technical and tactical teaching priorities.</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21</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Coaching Cues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Short phrases a coach can call during the drill.</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22</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What the Coach Should Observe</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Specific behaviours and outcomes to monitor.</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23</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Common Errors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Two-column error and correction table.</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24</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Progressions</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Ways to increase difficulty or realism.</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25</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Regressions</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Ways to simplify the drill while preserving its purpose.</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26</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Success Indicators</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Observable evidence that the drill objective is being achieved.</w:t>
            </w:r>
          </w:p>
        </w:tc>
      </w:tr>
      <w:tr>
        <w:trPr>
          <w:cantSplit/>
        </w:trPr>
        <w:tc>
          <w:tcPr>
            <w:tcW w:type="dxa" w:w="576"/>
            <w:vAlign w:val="center"/>
            <w:tcMar>
              <w:top w:w="80" w:type="dxa"/>
              <w:start w:w="100" w:type="dxa"/>
              <w:bottom w:w="80" w:type="dxa"/>
              <w:end w:w="100" w:type="dxa"/>
            </w:tcMar>
          </w:tcPr>
          <w:p>
            <w:pPr>
              <w:spacing w:after="0"/>
            </w:pPr>
            <w:r>
              <w:rPr>
                <w:rFonts w:ascii="Arial" w:hAnsi="Arial"/>
              </w:rPr>
            </w:r>
            <w:r>
              <w:rPr>
                <w:rFonts w:ascii="Arial" w:hAnsi="Arial"/>
                <w:b w:val="0"/>
                <w:sz w:val="18"/>
              </w:rPr>
              <w:t>27</w:t>
            </w:r>
          </w:p>
        </w:tc>
        <w:tc>
          <w:tcPr>
            <w:tcW w:type="dxa" w:w="2736"/>
            <w:vAlign w:val="center"/>
            <w:tcMar>
              <w:top w:w="80" w:type="dxa"/>
              <w:start w:w="100" w:type="dxa"/>
              <w:bottom w:w="80" w:type="dxa"/>
              <w:end w:w="100" w:type="dxa"/>
            </w:tcMar>
          </w:tcPr>
          <w:p>
            <w:pPr>
              <w:spacing w:after="0"/>
            </w:pPr>
            <w:r>
              <w:rPr>
                <w:rFonts w:ascii="Arial" w:hAnsi="Arial"/>
              </w:rPr>
            </w:r>
            <w:r>
              <w:rPr>
                <w:rFonts w:ascii="Arial" w:hAnsi="Arial"/>
                <w:b w:val="0"/>
                <w:sz w:val="18"/>
              </w:rPr>
              <w:t>Match Application</w:t>
            </w:r>
          </w:p>
        </w:tc>
        <w:tc>
          <w:tcPr>
            <w:tcW w:type="dxa" w:w="6696"/>
            <w:vAlign w:val="center"/>
            <w:tcMar>
              <w:top w:w="80" w:type="dxa"/>
              <w:start w:w="100" w:type="dxa"/>
              <w:bottom w:w="80" w:type="dxa"/>
              <w:end w:w="100" w:type="dxa"/>
            </w:tcMar>
          </w:tcPr>
          <w:p>
            <w:pPr>
              <w:spacing w:after="0"/>
            </w:pPr>
            <w:r>
              <w:rPr>
                <w:rFonts w:ascii="Arial" w:hAnsi="Arial"/>
              </w:rPr>
            </w:r>
            <w:r>
              <w:rPr>
                <w:rFonts w:ascii="Arial" w:hAnsi="Arial"/>
                <w:b w:val="0"/>
                <w:sz w:val="18"/>
              </w:rPr>
              <w:t>Direct explanation of how the drill transfers to Australian football.</w:t>
            </w:r>
          </w:p>
        </w:tc>
      </w:tr>
      <w:tr>
        <w:trPr>
          <w:cantSplit/>
        </w:trPr>
        <w:tc>
          <w:tcPr>
            <w:tcW w:type="dxa" w:w="5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28</w:t>
            </w:r>
          </w:p>
        </w:tc>
        <w:tc>
          <w:tcPr>
            <w:tcW w:type="dxa" w:w="27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Related Drills</w:t>
            </w:r>
          </w:p>
        </w:tc>
        <w:tc>
          <w:tcPr>
            <w:tcW w:type="dxa" w:w="669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Relevant prior or adjacent drills by ID and title.</w:t>
            </w:r>
          </w:p>
        </w:tc>
      </w:tr>
    </w:tbl>
    <w:p>
      <w:pPr>
        <w:spacing w:after="0"/>
      </w:pPr>
    </w:p>
    <w:p>
      <w:pPr>
        <w:pStyle w:val="Heading1"/>
        <w:keepNext/>
      </w:pPr>
      <w:r>
        <w:t>6. Field Definitions and Controlled Scales</w:t>
      </w:r>
    </w:p>
    <w:p>
      <w:pPr>
        <w:pStyle w:val="Heading2"/>
        <w:keepNext/>
      </w:pPr>
      <w:r>
        <w:t>6.1 Approved Age Groups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Age Group</w:t>
            </w:r>
          </w:p>
        </w:tc>
        <w:tc>
          <w:tcPr>
            <w:tcW w:type="dxa" w:w="763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Use</w:t>
            </w:r>
          </w:p>
        </w:tc>
      </w:tr>
      <w:tr>
        <w:trPr>
          <w:cantSplit/>
        </w:trPr>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Under 8</w:t>
            </w:r>
          </w:p>
        </w:tc>
        <w:tc>
          <w:tcPr>
            <w:tcW w:type="dxa" w:w="7632"/>
            <w:vAlign w:val="center"/>
            <w:tcMar>
              <w:top w:w="80" w:type="dxa"/>
              <w:start w:w="100" w:type="dxa"/>
              <w:bottom w:w="80" w:type="dxa"/>
              <w:end w:w="100" w:type="dxa"/>
            </w:tcMar>
          </w:tcPr>
          <w:p>
            <w:pPr>
              <w:spacing w:after="0"/>
            </w:pPr>
            <w:r>
              <w:rPr>
                <w:rFonts w:ascii="Arial" w:hAnsi="Arial"/>
              </w:rPr>
            </w:r>
            <w:r>
              <w:rPr>
                <w:rFonts w:ascii="Arial" w:hAnsi="Arial"/>
                <w:b w:val="0"/>
                <w:sz w:val="18"/>
              </w:rPr>
              <w:t>Introductory participation and basic movement.</w:t>
            </w:r>
          </w:p>
        </w:tc>
      </w:tr>
      <w:tr>
        <w:trPr>
          <w:cantSplit/>
        </w:trPr>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Under 10</w:t>
            </w:r>
          </w:p>
        </w:tc>
        <w:tc>
          <w:tcPr>
            <w:tcW w:type="dxa" w:w="76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Foundation skill development.</w:t>
            </w:r>
          </w:p>
        </w:tc>
      </w:tr>
      <w:tr>
        <w:trPr>
          <w:cantSplit/>
        </w:trPr>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Under 12</w:t>
            </w:r>
          </w:p>
        </w:tc>
        <w:tc>
          <w:tcPr>
            <w:tcW w:type="dxa" w:w="7632"/>
            <w:vAlign w:val="center"/>
            <w:tcMar>
              <w:top w:w="80" w:type="dxa"/>
              <w:start w:w="100" w:type="dxa"/>
              <w:bottom w:w="80" w:type="dxa"/>
              <w:end w:w="100" w:type="dxa"/>
            </w:tcMar>
          </w:tcPr>
          <w:p>
            <w:pPr>
              <w:spacing w:after="0"/>
            </w:pPr>
            <w:r>
              <w:rPr>
                <w:rFonts w:ascii="Arial" w:hAnsi="Arial"/>
              </w:rPr>
            </w:r>
            <w:r>
              <w:rPr>
                <w:rFonts w:ascii="Arial" w:hAnsi="Arial"/>
                <w:b w:val="0"/>
                <w:sz w:val="18"/>
              </w:rPr>
              <w:t>Foundation-to-intermediate development.</w:t>
            </w:r>
          </w:p>
        </w:tc>
      </w:tr>
      <w:tr>
        <w:trPr>
          <w:cantSplit/>
        </w:trPr>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Under 14</w:t>
            </w:r>
          </w:p>
        </w:tc>
        <w:tc>
          <w:tcPr>
            <w:tcW w:type="dxa" w:w="76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Intermediate tactical and pressure introduction.</w:t>
            </w:r>
          </w:p>
        </w:tc>
      </w:tr>
      <w:tr>
        <w:trPr>
          <w:cantSplit/>
        </w:trPr>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Under 16</w:t>
            </w:r>
          </w:p>
        </w:tc>
        <w:tc>
          <w:tcPr>
            <w:tcW w:type="dxa" w:w="7632"/>
            <w:vAlign w:val="center"/>
            <w:tcMar>
              <w:top w:w="80" w:type="dxa"/>
              <w:start w:w="100" w:type="dxa"/>
              <w:bottom w:w="80" w:type="dxa"/>
              <w:end w:w="100" w:type="dxa"/>
            </w:tcMar>
          </w:tcPr>
          <w:p>
            <w:pPr>
              <w:spacing w:after="0"/>
            </w:pPr>
            <w:r>
              <w:rPr>
                <w:rFonts w:ascii="Arial" w:hAnsi="Arial"/>
              </w:rPr>
            </w:r>
            <w:r>
              <w:rPr>
                <w:rFonts w:ascii="Arial" w:hAnsi="Arial"/>
                <w:b w:val="0"/>
                <w:sz w:val="18"/>
              </w:rPr>
              <w:t>Advanced youth development.</w:t>
            </w:r>
          </w:p>
        </w:tc>
      </w:tr>
      <w:tr>
        <w:trPr>
          <w:cantSplit/>
        </w:trPr>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Under 18</w:t>
            </w:r>
          </w:p>
        </w:tc>
        <w:tc>
          <w:tcPr>
            <w:tcW w:type="dxa" w:w="76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High-performance youth development.</w:t>
            </w:r>
          </w:p>
        </w:tc>
      </w:tr>
      <w:tr>
        <w:trPr>
          <w:cantSplit/>
        </w:trPr>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Senior Women</w:t>
            </w:r>
          </w:p>
        </w:tc>
        <w:tc>
          <w:tcPr>
            <w:tcW w:type="dxa" w:w="7632"/>
            <w:vAlign w:val="center"/>
            <w:tcMar>
              <w:top w:w="80" w:type="dxa"/>
              <w:start w:w="100" w:type="dxa"/>
              <w:bottom w:w="80" w:type="dxa"/>
              <w:end w:w="100" w:type="dxa"/>
            </w:tcMar>
          </w:tcPr>
          <w:p>
            <w:pPr>
              <w:spacing w:after="0"/>
            </w:pPr>
            <w:r>
              <w:rPr>
                <w:rFonts w:ascii="Arial" w:hAnsi="Arial"/>
              </w:rPr>
            </w:r>
            <w:r>
              <w:rPr>
                <w:rFonts w:ascii="Arial" w:hAnsi="Arial"/>
                <w:b w:val="0"/>
                <w:sz w:val="18"/>
              </w:rPr>
              <w:t>Open-age women’s football.</w:t>
            </w:r>
          </w:p>
        </w:tc>
      </w:tr>
      <w:tr>
        <w:trPr>
          <w:cantSplit/>
        </w:trPr>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Senior Men</w:t>
            </w:r>
          </w:p>
        </w:tc>
        <w:tc>
          <w:tcPr>
            <w:tcW w:type="dxa" w:w="76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Open-age men’s football.</w:t>
            </w:r>
          </w:p>
        </w:tc>
      </w:tr>
      <w:tr>
        <w:trPr>
          <w:cantSplit/>
        </w:trPr>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Over 35 Men</w:t>
            </w:r>
          </w:p>
        </w:tc>
        <w:tc>
          <w:tcPr>
            <w:tcW w:type="dxa" w:w="7632"/>
            <w:vAlign w:val="center"/>
            <w:tcMar>
              <w:top w:w="80" w:type="dxa"/>
              <w:start w:w="100" w:type="dxa"/>
              <w:bottom w:w="80" w:type="dxa"/>
              <w:end w:w="100" w:type="dxa"/>
            </w:tcMar>
          </w:tcPr>
          <w:p>
            <w:pPr>
              <w:spacing w:after="0"/>
            </w:pPr>
            <w:r>
              <w:rPr>
                <w:rFonts w:ascii="Arial" w:hAnsi="Arial"/>
              </w:rPr>
            </w:r>
            <w:r>
              <w:rPr>
                <w:rFonts w:ascii="Arial" w:hAnsi="Arial"/>
                <w:b w:val="0"/>
                <w:sz w:val="18"/>
              </w:rPr>
              <w:t>Masters football with sensible load and contact adjustment.</w:t>
            </w:r>
          </w:p>
        </w:tc>
      </w:tr>
    </w:tbl>
    <w:p>
      <w:pPr>
        <w:spacing w:after="0"/>
      </w:pPr>
    </w:p>
    <w:p>
      <w:r>
        <w:t>Suitability symbols: ✓ suitable as written; ○ suitable with modification; ✗ generally unsuitable.</w:t>
      </w:r>
    </w:p>
    <w:p>
      <w:pPr>
        <w:pStyle w:val="Heading2"/>
        <w:keepNext/>
      </w:pPr>
      <w:r>
        <w:t>6.2 Skill-Level Scale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Level</w:t>
            </w:r>
          </w:p>
        </w:tc>
        <w:tc>
          <w:tcPr>
            <w:tcW w:type="dxa" w:w="799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Definition</w:t>
            </w:r>
          </w:p>
        </w:tc>
      </w:tr>
      <w:tr>
        <w:trPr>
          <w:cantSplit/>
        </w:trPr>
        <w:tc>
          <w:tcPr>
            <w:tcW w:type="dxa" w:w="1800"/>
            <w:vAlign w:val="center"/>
            <w:tcMar>
              <w:top w:w="80" w:type="dxa"/>
              <w:start w:w="100" w:type="dxa"/>
              <w:bottom w:w="80" w:type="dxa"/>
              <w:end w:w="100" w:type="dxa"/>
            </w:tcMar>
          </w:tcPr>
          <w:p>
            <w:pPr>
              <w:spacing w:after="0"/>
            </w:pPr>
            <w:r>
              <w:rPr>
                <w:rFonts w:ascii="Arial" w:hAnsi="Arial"/>
              </w:rPr>
            </w:r>
            <w:r>
              <w:rPr>
                <w:rFonts w:ascii="Arial" w:hAnsi="Arial"/>
                <w:b w:val="0"/>
                <w:sz w:val="18"/>
              </w:rPr>
              <w:t>Foundation</w:t>
            </w:r>
          </w:p>
        </w:tc>
        <w:tc>
          <w:tcPr>
            <w:tcW w:type="dxa" w:w="7992"/>
            <w:vAlign w:val="center"/>
            <w:tcMar>
              <w:top w:w="80" w:type="dxa"/>
              <w:start w:w="100" w:type="dxa"/>
              <w:bottom w:w="80" w:type="dxa"/>
              <w:end w:w="100" w:type="dxa"/>
            </w:tcMar>
          </w:tcPr>
          <w:p>
            <w:pPr>
              <w:spacing w:after="0"/>
            </w:pPr>
            <w:r>
              <w:rPr>
                <w:rFonts w:ascii="Arial" w:hAnsi="Arial"/>
              </w:rPr>
            </w:r>
            <w:r>
              <w:rPr>
                <w:rFonts w:ascii="Arial" w:hAnsi="Arial"/>
                <w:b w:val="0"/>
                <w:sz w:val="18"/>
              </w:rPr>
              <w:t>First exposure to the skill; highly controlled and unopposed.</w:t>
            </w:r>
          </w:p>
        </w:tc>
      </w:tr>
      <w:tr>
        <w:trPr>
          <w:cantSplit/>
        </w:trPr>
        <w:tc>
          <w:tcPr>
            <w:tcW w:type="dxa" w:w="180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Beginner</w:t>
            </w:r>
          </w:p>
        </w:tc>
        <w:tc>
          <w:tcPr>
            <w:tcW w:type="dxa" w:w="79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Basic technique with simple movement and predictable targets.</w:t>
            </w:r>
          </w:p>
        </w:tc>
      </w:tr>
      <w:tr>
        <w:trPr>
          <w:cantSplit/>
        </w:trPr>
        <w:tc>
          <w:tcPr>
            <w:tcW w:type="dxa" w:w="1800"/>
            <w:vAlign w:val="center"/>
            <w:tcMar>
              <w:top w:w="80" w:type="dxa"/>
              <w:start w:w="100" w:type="dxa"/>
              <w:bottom w:w="80" w:type="dxa"/>
              <w:end w:w="100" w:type="dxa"/>
            </w:tcMar>
          </w:tcPr>
          <w:p>
            <w:pPr>
              <w:spacing w:after="0"/>
            </w:pPr>
            <w:r>
              <w:rPr>
                <w:rFonts w:ascii="Arial" w:hAnsi="Arial"/>
              </w:rPr>
            </w:r>
            <w:r>
              <w:rPr>
                <w:rFonts w:ascii="Arial" w:hAnsi="Arial"/>
                <w:b w:val="0"/>
                <w:sz w:val="18"/>
              </w:rPr>
              <w:t>Intermediate</w:t>
            </w:r>
          </w:p>
        </w:tc>
        <w:tc>
          <w:tcPr>
            <w:tcW w:type="dxa" w:w="7992"/>
            <w:vAlign w:val="center"/>
            <w:tcMar>
              <w:top w:w="80" w:type="dxa"/>
              <w:start w:w="100" w:type="dxa"/>
              <w:bottom w:w="80" w:type="dxa"/>
              <w:end w:w="100" w:type="dxa"/>
            </w:tcMar>
          </w:tcPr>
          <w:p>
            <w:pPr>
              <w:spacing w:after="0"/>
            </w:pPr>
            <w:r>
              <w:rPr>
                <w:rFonts w:ascii="Arial" w:hAnsi="Arial"/>
              </w:rPr>
            </w:r>
            <w:r>
              <w:rPr>
                <w:rFonts w:ascii="Arial" w:hAnsi="Arial"/>
                <w:b w:val="0"/>
                <w:sz w:val="18"/>
              </w:rPr>
              <w:t>Functional technique with movement, choice and controlled pressure.</w:t>
            </w:r>
          </w:p>
        </w:tc>
      </w:tr>
      <w:tr>
        <w:trPr>
          <w:cantSplit/>
        </w:trPr>
        <w:tc>
          <w:tcPr>
            <w:tcW w:type="dxa" w:w="180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Advanced</w:t>
            </w:r>
          </w:p>
        </w:tc>
        <w:tc>
          <w:tcPr>
            <w:tcW w:type="dxa" w:w="799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High-speed execution with tactical decisions and realistic pressure.</w:t>
            </w:r>
          </w:p>
        </w:tc>
      </w:tr>
      <w:tr>
        <w:trPr>
          <w:cantSplit/>
        </w:trPr>
        <w:tc>
          <w:tcPr>
            <w:tcW w:type="dxa" w:w="1800"/>
            <w:vAlign w:val="center"/>
            <w:tcMar>
              <w:top w:w="80" w:type="dxa"/>
              <w:start w:w="100" w:type="dxa"/>
              <w:bottom w:w="80" w:type="dxa"/>
              <w:end w:w="100" w:type="dxa"/>
            </w:tcMar>
          </w:tcPr>
          <w:p>
            <w:pPr>
              <w:spacing w:after="0"/>
            </w:pPr>
            <w:r>
              <w:rPr>
                <w:rFonts w:ascii="Arial" w:hAnsi="Arial"/>
              </w:rPr>
            </w:r>
            <w:r>
              <w:rPr>
                <w:rFonts w:ascii="Arial" w:hAnsi="Arial"/>
                <w:b w:val="0"/>
                <w:sz w:val="18"/>
              </w:rPr>
              <w:t>Elite</w:t>
            </w:r>
          </w:p>
        </w:tc>
        <w:tc>
          <w:tcPr>
            <w:tcW w:type="dxa" w:w="7992"/>
            <w:vAlign w:val="center"/>
            <w:tcMar>
              <w:top w:w="80" w:type="dxa"/>
              <w:start w:w="100" w:type="dxa"/>
              <w:bottom w:w="80" w:type="dxa"/>
              <w:end w:w="100" w:type="dxa"/>
            </w:tcMar>
          </w:tcPr>
          <w:p>
            <w:pPr>
              <w:spacing w:after="0"/>
            </w:pPr>
            <w:r>
              <w:rPr>
                <w:rFonts w:ascii="Arial" w:hAnsi="Arial"/>
              </w:rPr>
            </w:r>
            <w:r>
              <w:rPr>
                <w:rFonts w:ascii="Arial" w:hAnsi="Arial"/>
                <w:b w:val="0"/>
                <w:sz w:val="18"/>
              </w:rPr>
              <w:t>Complex, deceptive, match-specific execution with minimal time and high consequence.</w:t>
            </w:r>
          </w:p>
        </w:tc>
      </w:tr>
    </w:tbl>
    <w:p>
      <w:pPr>
        <w:spacing w:after="0"/>
      </w:pPr>
    </w:p>
    <w:p>
      <w:pPr>
        <w:pStyle w:val="Heading2"/>
        <w:keepNext/>
      </w:pPr>
      <w:r>
        <w:t>6.3 Physical Load Scale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Rating</w:t>
            </w:r>
          </w:p>
        </w:tc>
        <w:tc>
          <w:tcPr>
            <w:tcW w:type="dxa" w:w="237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Descriptor</w:t>
            </w:r>
          </w:p>
        </w:tc>
        <w:tc>
          <w:tcPr>
            <w:tcW w:type="dxa" w:w="648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Definition</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1</w:t>
            </w:r>
          </w:p>
        </w:tc>
        <w:tc>
          <w:tcPr>
            <w:tcW w:type="dxa" w:w="2376"/>
            <w:vAlign w:val="center"/>
            <w:tcMar>
              <w:top w:w="80" w:type="dxa"/>
              <w:start w:w="100" w:type="dxa"/>
              <w:bottom w:w="80" w:type="dxa"/>
              <w:end w:w="100" w:type="dxa"/>
            </w:tcMar>
          </w:tcPr>
          <w:p>
            <w:pPr>
              <w:spacing w:after="0"/>
            </w:pPr>
            <w:r>
              <w:rPr>
                <w:rFonts w:ascii="Arial" w:hAnsi="Arial"/>
              </w:rPr>
            </w:r>
            <w:r>
              <w:rPr>
                <w:rFonts w:ascii="Arial" w:hAnsi="Arial"/>
                <w:b w:val="0"/>
                <w:sz w:val="18"/>
              </w:rPr>
              <w:t>Very Low</w:t>
            </w:r>
          </w:p>
        </w:tc>
        <w:tc>
          <w:tcPr>
            <w:tcW w:type="dxa" w:w="6480"/>
            <w:vAlign w:val="center"/>
            <w:tcMar>
              <w:top w:w="80" w:type="dxa"/>
              <w:start w:w="100" w:type="dxa"/>
              <w:bottom w:w="80" w:type="dxa"/>
              <w:end w:w="100" w:type="dxa"/>
            </w:tcMar>
          </w:tcPr>
          <w:p>
            <w:pPr>
              <w:spacing w:after="0"/>
            </w:pPr>
            <w:r>
              <w:rPr>
                <w:rFonts w:ascii="Arial" w:hAnsi="Arial"/>
              </w:rPr>
            </w:r>
            <w:r>
              <w:rPr>
                <w:rFonts w:ascii="Arial" w:hAnsi="Arial"/>
                <w:b w:val="0"/>
                <w:sz w:val="18"/>
              </w:rPr>
              <w:t>Stationary or low-movement technical work with substantial recovery.</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w:t>
            </w:r>
          </w:p>
        </w:tc>
        <w:tc>
          <w:tcPr>
            <w:tcW w:type="dxa" w:w="23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Low</w:t>
            </w:r>
          </w:p>
        </w:tc>
        <w:tc>
          <w:tcPr>
            <w:tcW w:type="dxa" w:w="64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Light continuous movement or short controlled efforts.</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3</w:t>
            </w:r>
          </w:p>
        </w:tc>
        <w:tc>
          <w:tcPr>
            <w:tcW w:type="dxa" w:w="2376"/>
            <w:vAlign w:val="center"/>
            <w:tcMar>
              <w:top w:w="80" w:type="dxa"/>
              <w:start w:w="100" w:type="dxa"/>
              <w:bottom w:w="80" w:type="dxa"/>
              <w:end w:w="100" w:type="dxa"/>
            </w:tcMar>
          </w:tcPr>
          <w:p>
            <w:pPr>
              <w:spacing w:after="0"/>
            </w:pPr>
            <w:r>
              <w:rPr>
                <w:rFonts w:ascii="Arial" w:hAnsi="Arial"/>
              </w:rPr>
            </w:r>
            <w:r>
              <w:rPr>
                <w:rFonts w:ascii="Arial" w:hAnsi="Arial"/>
                <w:b w:val="0"/>
                <w:sz w:val="18"/>
              </w:rPr>
              <w:t>Moderate</w:t>
            </w:r>
          </w:p>
        </w:tc>
        <w:tc>
          <w:tcPr>
            <w:tcW w:type="dxa" w:w="6480"/>
            <w:vAlign w:val="center"/>
            <w:tcMar>
              <w:top w:w="80" w:type="dxa"/>
              <w:start w:w="100" w:type="dxa"/>
              <w:bottom w:w="80" w:type="dxa"/>
              <w:end w:w="100" w:type="dxa"/>
            </w:tcMar>
          </w:tcPr>
          <w:p>
            <w:pPr>
              <w:spacing w:after="0"/>
            </w:pPr>
            <w:r>
              <w:rPr>
                <w:rFonts w:ascii="Arial" w:hAnsi="Arial"/>
              </w:rPr>
            </w:r>
            <w:r>
              <w:rPr>
                <w:rFonts w:ascii="Arial" w:hAnsi="Arial"/>
                <w:b w:val="0"/>
                <w:sz w:val="18"/>
              </w:rPr>
              <w:t>Regular movement and work without sustained high-intensity demand.</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4</w:t>
            </w:r>
          </w:p>
        </w:tc>
        <w:tc>
          <w:tcPr>
            <w:tcW w:type="dxa" w:w="23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High</w:t>
            </w:r>
          </w:p>
        </w:tc>
        <w:tc>
          <w:tcPr>
            <w:tcW w:type="dxa" w:w="64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Repeated running, transition or contest efforts with limited recovery.</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5</w:t>
            </w:r>
          </w:p>
        </w:tc>
        <w:tc>
          <w:tcPr>
            <w:tcW w:type="dxa" w:w="2376"/>
            <w:vAlign w:val="center"/>
            <w:tcMar>
              <w:top w:w="80" w:type="dxa"/>
              <w:start w:w="100" w:type="dxa"/>
              <w:bottom w:w="80" w:type="dxa"/>
              <w:end w:w="100" w:type="dxa"/>
            </w:tcMar>
          </w:tcPr>
          <w:p>
            <w:pPr>
              <w:spacing w:after="0"/>
            </w:pPr>
            <w:r>
              <w:rPr>
                <w:rFonts w:ascii="Arial" w:hAnsi="Arial"/>
              </w:rPr>
            </w:r>
            <w:r>
              <w:rPr>
                <w:rFonts w:ascii="Arial" w:hAnsi="Arial"/>
                <w:b w:val="0"/>
                <w:sz w:val="18"/>
              </w:rPr>
              <w:t>Very High / Match Intensity</w:t>
            </w:r>
          </w:p>
        </w:tc>
        <w:tc>
          <w:tcPr>
            <w:tcW w:type="dxa" w:w="6480"/>
            <w:vAlign w:val="center"/>
            <w:tcMar>
              <w:top w:w="80" w:type="dxa"/>
              <w:start w:w="100" w:type="dxa"/>
              <w:bottom w:w="80" w:type="dxa"/>
              <w:end w:w="100" w:type="dxa"/>
            </w:tcMar>
          </w:tcPr>
          <w:p>
            <w:pPr>
              <w:spacing w:after="0"/>
            </w:pPr>
            <w:r>
              <w:rPr>
                <w:rFonts w:ascii="Arial" w:hAnsi="Arial"/>
              </w:rPr>
            </w:r>
            <w:r>
              <w:rPr>
                <w:rFonts w:ascii="Arial" w:hAnsi="Arial"/>
                <w:b w:val="0"/>
                <w:sz w:val="18"/>
              </w:rPr>
              <w:t>Sustained or repeated high-intensity work comparable to demanding match phases.</w:t>
            </w:r>
          </w:p>
        </w:tc>
      </w:tr>
    </w:tbl>
    <w:p>
      <w:pPr>
        <w:spacing w:after="0"/>
      </w:pPr>
    </w:p>
    <w:p>
      <w:pPr>
        <w:pStyle w:val="Heading2"/>
        <w:keepNext/>
      </w:pPr>
      <w:r>
        <w:t>6.4 Mental Load Scale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Rating</w:t>
            </w:r>
          </w:p>
        </w:tc>
        <w:tc>
          <w:tcPr>
            <w:tcW w:type="dxa" w:w="237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Descriptor</w:t>
            </w:r>
          </w:p>
        </w:tc>
        <w:tc>
          <w:tcPr>
            <w:tcW w:type="dxa" w:w="648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Definition</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1</w:t>
            </w:r>
          </w:p>
        </w:tc>
        <w:tc>
          <w:tcPr>
            <w:tcW w:type="dxa" w:w="2376"/>
            <w:vAlign w:val="center"/>
            <w:tcMar>
              <w:top w:w="80" w:type="dxa"/>
              <w:start w:w="100" w:type="dxa"/>
              <w:bottom w:w="80" w:type="dxa"/>
              <w:end w:w="100" w:type="dxa"/>
            </w:tcMar>
          </w:tcPr>
          <w:p>
            <w:pPr>
              <w:spacing w:after="0"/>
            </w:pPr>
            <w:r>
              <w:rPr>
                <w:rFonts w:ascii="Arial" w:hAnsi="Arial"/>
              </w:rPr>
            </w:r>
            <w:r>
              <w:rPr>
                <w:rFonts w:ascii="Arial" w:hAnsi="Arial"/>
                <w:b w:val="0"/>
                <w:sz w:val="18"/>
              </w:rPr>
              <w:t>Very Low</w:t>
            </w:r>
          </w:p>
        </w:tc>
        <w:tc>
          <w:tcPr>
            <w:tcW w:type="dxa" w:w="6480"/>
            <w:vAlign w:val="center"/>
            <w:tcMar>
              <w:top w:w="80" w:type="dxa"/>
              <w:start w:w="100" w:type="dxa"/>
              <w:bottom w:w="80" w:type="dxa"/>
              <w:end w:w="100" w:type="dxa"/>
            </w:tcMar>
          </w:tcPr>
          <w:p>
            <w:pPr>
              <w:spacing w:after="0"/>
            </w:pPr>
            <w:r>
              <w:rPr>
                <w:rFonts w:ascii="Arial" w:hAnsi="Arial"/>
              </w:rPr>
            </w:r>
            <w:r>
              <w:rPr>
                <w:rFonts w:ascii="Arial" w:hAnsi="Arial"/>
                <w:b w:val="0"/>
                <w:sz w:val="18"/>
              </w:rPr>
              <w:t>Predetermined action with minimal scanning or choice.</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w:t>
            </w:r>
          </w:p>
        </w:tc>
        <w:tc>
          <w:tcPr>
            <w:tcW w:type="dxa" w:w="23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Low</w:t>
            </w:r>
          </w:p>
        </w:tc>
        <w:tc>
          <w:tcPr>
            <w:tcW w:type="dxa" w:w="64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 simple cue or choice.</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3</w:t>
            </w:r>
          </w:p>
        </w:tc>
        <w:tc>
          <w:tcPr>
            <w:tcW w:type="dxa" w:w="2376"/>
            <w:vAlign w:val="center"/>
            <w:tcMar>
              <w:top w:w="80" w:type="dxa"/>
              <w:start w:w="100" w:type="dxa"/>
              <w:bottom w:w="80" w:type="dxa"/>
              <w:end w:w="100" w:type="dxa"/>
            </w:tcMar>
          </w:tcPr>
          <w:p>
            <w:pPr>
              <w:spacing w:after="0"/>
            </w:pPr>
            <w:r>
              <w:rPr>
                <w:rFonts w:ascii="Arial" w:hAnsi="Arial"/>
              </w:rPr>
            </w:r>
            <w:r>
              <w:rPr>
                <w:rFonts w:ascii="Arial" w:hAnsi="Arial"/>
                <w:b w:val="0"/>
                <w:sz w:val="18"/>
              </w:rPr>
              <w:t>Moderate</w:t>
            </w:r>
          </w:p>
        </w:tc>
        <w:tc>
          <w:tcPr>
            <w:tcW w:type="dxa" w:w="6480"/>
            <w:vAlign w:val="center"/>
            <w:tcMar>
              <w:top w:w="80" w:type="dxa"/>
              <w:start w:w="100" w:type="dxa"/>
              <w:bottom w:w="80" w:type="dxa"/>
              <w:end w:w="100" w:type="dxa"/>
            </w:tcMar>
          </w:tcPr>
          <w:p>
            <w:pPr>
              <w:spacing w:after="0"/>
            </w:pPr>
            <w:r>
              <w:rPr>
                <w:rFonts w:ascii="Arial" w:hAnsi="Arial"/>
              </w:rPr>
            </w:r>
            <w:r>
              <w:rPr>
                <w:rFonts w:ascii="Arial" w:hAnsi="Arial"/>
                <w:b w:val="0"/>
                <w:sz w:val="18"/>
              </w:rPr>
              <w:t>Multiple visible options with manageable pressure.</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4</w:t>
            </w:r>
          </w:p>
        </w:tc>
        <w:tc>
          <w:tcPr>
            <w:tcW w:type="dxa" w:w="237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High</w:t>
            </w:r>
          </w:p>
        </w:tc>
        <w:tc>
          <w:tcPr>
            <w:tcW w:type="dxa" w:w="64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Rapid scanning, changing options, tactical context or significant pressure.</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5</w:t>
            </w:r>
          </w:p>
        </w:tc>
        <w:tc>
          <w:tcPr>
            <w:tcW w:type="dxa" w:w="2376"/>
            <w:vAlign w:val="center"/>
            <w:tcMar>
              <w:top w:w="80" w:type="dxa"/>
              <w:start w:w="100" w:type="dxa"/>
              <w:bottom w:w="80" w:type="dxa"/>
              <w:end w:w="100" w:type="dxa"/>
            </w:tcMar>
          </w:tcPr>
          <w:p>
            <w:pPr>
              <w:spacing w:after="0"/>
            </w:pPr>
            <w:r>
              <w:rPr>
                <w:rFonts w:ascii="Arial" w:hAnsi="Arial"/>
              </w:rPr>
            </w:r>
            <w:r>
              <w:rPr>
                <w:rFonts w:ascii="Arial" w:hAnsi="Arial"/>
                <w:b w:val="0"/>
                <w:sz w:val="18"/>
              </w:rPr>
              <w:t>Elite</w:t>
            </w:r>
          </w:p>
        </w:tc>
        <w:tc>
          <w:tcPr>
            <w:tcW w:type="dxa" w:w="6480"/>
            <w:vAlign w:val="center"/>
            <w:tcMar>
              <w:top w:w="80" w:type="dxa"/>
              <w:start w:w="100" w:type="dxa"/>
              <w:bottom w:w="80" w:type="dxa"/>
              <w:end w:w="100" w:type="dxa"/>
            </w:tcMar>
          </w:tcPr>
          <w:p>
            <w:pPr>
              <w:spacing w:after="0"/>
            </w:pPr>
            <w:r>
              <w:rPr>
                <w:rFonts w:ascii="Arial" w:hAnsi="Arial"/>
              </w:rPr>
            </w:r>
            <w:r>
              <w:rPr>
                <w:rFonts w:ascii="Arial" w:hAnsi="Arial"/>
                <w:b w:val="0"/>
                <w:sz w:val="18"/>
              </w:rPr>
              <w:t>Complex match information, disguise, score/time pressure or consequences across multiple phases.</w:t>
            </w:r>
          </w:p>
        </w:tc>
      </w:tr>
    </w:tbl>
    <w:p>
      <w:pPr>
        <w:spacing w:after="0"/>
      </w:pPr>
    </w:p>
    <w:p>
      <w:pPr>
        <w:pStyle w:val="Heading2"/>
        <w:keepNext/>
      </w:pPr>
      <w:r>
        <w:t>6.5 Contact Scale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Rating</w:t>
            </w:r>
          </w:p>
        </w:tc>
        <w:tc>
          <w:tcPr>
            <w:tcW w:type="dxa" w:w="252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Descriptor</w:t>
            </w:r>
          </w:p>
        </w:tc>
        <w:tc>
          <w:tcPr>
            <w:tcW w:type="dxa" w:w="63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Definition</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0</w:t>
            </w:r>
          </w:p>
        </w:tc>
        <w:tc>
          <w:tcPr>
            <w:tcW w:type="dxa" w:w="2520"/>
            <w:vAlign w:val="center"/>
            <w:tcMar>
              <w:top w:w="80" w:type="dxa"/>
              <w:start w:w="100" w:type="dxa"/>
              <w:bottom w:w="80" w:type="dxa"/>
              <w:end w:w="100" w:type="dxa"/>
            </w:tcMar>
          </w:tcPr>
          <w:p>
            <w:pPr>
              <w:spacing w:after="0"/>
            </w:pPr>
            <w:r>
              <w:rPr>
                <w:rFonts w:ascii="Arial" w:hAnsi="Arial"/>
              </w:rPr>
            </w:r>
            <w:r>
              <w:rPr>
                <w:rFonts w:ascii="Arial" w:hAnsi="Arial"/>
                <w:b w:val="0"/>
                <w:sz w:val="18"/>
              </w:rPr>
              <w:t>No Contact</w:t>
            </w:r>
          </w:p>
        </w:tc>
        <w:tc>
          <w:tcPr>
            <w:tcW w:type="dxa" w:w="6336"/>
            <w:vAlign w:val="center"/>
            <w:tcMar>
              <w:top w:w="80" w:type="dxa"/>
              <w:start w:w="100" w:type="dxa"/>
              <w:bottom w:w="80" w:type="dxa"/>
              <w:end w:w="100" w:type="dxa"/>
            </w:tcMar>
          </w:tcPr>
          <w:p>
            <w:pPr>
              <w:spacing w:after="0"/>
            </w:pPr>
            <w:r>
              <w:rPr>
                <w:rFonts w:ascii="Arial" w:hAnsi="Arial"/>
              </w:rPr>
            </w:r>
            <w:r>
              <w:rPr>
                <w:rFonts w:ascii="Arial" w:hAnsi="Arial"/>
                <w:b w:val="0"/>
                <w:sz w:val="18"/>
              </w:rPr>
              <w:t>Unopposed or strictly non-contact.</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w:t>
            </w:r>
          </w:p>
        </w:tc>
        <w:tc>
          <w:tcPr>
            <w:tcW w:type="dxa" w:w="252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Incidental / Controlled Pressure</w:t>
            </w:r>
          </w:p>
        </w:tc>
        <w:tc>
          <w:tcPr>
            <w:tcW w:type="dxa" w:w="63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Shadow pressure, bump-pad work or incidental contact only.</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2</w:t>
            </w:r>
          </w:p>
        </w:tc>
        <w:tc>
          <w:tcPr>
            <w:tcW w:type="dxa" w:w="2520"/>
            <w:vAlign w:val="center"/>
            <w:tcMar>
              <w:top w:w="80" w:type="dxa"/>
              <w:start w:w="100" w:type="dxa"/>
              <w:bottom w:w="80" w:type="dxa"/>
              <w:end w:w="100" w:type="dxa"/>
            </w:tcMar>
          </w:tcPr>
          <w:p>
            <w:pPr>
              <w:spacing w:after="0"/>
            </w:pPr>
            <w:r>
              <w:rPr>
                <w:rFonts w:ascii="Arial" w:hAnsi="Arial"/>
              </w:rPr>
            </w:r>
            <w:r>
              <w:rPr>
                <w:rFonts w:ascii="Arial" w:hAnsi="Arial"/>
                <w:b w:val="0"/>
                <w:sz w:val="18"/>
              </w:rPr>
              <w:t>Controlled Contact</w:t>
            </w:r>
          </w:p>
        </w:tc>
        <w:tc>
          <w:tcPr>
            <w:tcW w:type="dxa" w:w="6336"/>
            <w:vAlign w:val="center"/>
            <w:tcMar>
              <w:top w:w="80" w:type="dxa"/>
              <w:start w:w="100" w:type="dxa"/>
              <w:bottom w:w="80" w:type="dxa"/>
              <w:end w:w="100" w:type="dxa"/>
            </w:tcMar>
          </w:tcPr>
          <w:p>
            <w:pPr>
              <w:spacing w:after="0"/>
            </w:pPr>
            <w:r>
              <w:rPr>
                <w:rFonts w:ascii="Arial" w:hAnsi="Arial"/>
              </w:rPr>
            </w:r>
            <w:r>
              <w:rPr>
                <w:rFonts w:ascii="Arial" w:hAnsi="Arial"/>
                <w:b w:val="0"/>
                <w:sz w:val="18"/>
              </w:rPr>
              <w:t>Tackling, bodywork or contests under explicit restrictions.</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3</w:t>
            </w:r>
          </w:p>
        </w:tc>
        <w:tc>
          <w:tcPr>
            <w:tcW w:type="dxa" w:w="252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Match-Like Contact</w:t>
            </w:r>
          </w:p>
        </w:tc>
        <w:tc>
          <w:tcPr>
            <w:tcW w:type="dxa" w:w="63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Realistic legal contact under appropriate coaching, age and safety controls.</w:t>
            </w:r>
          </w:p>
        </w:tc>
      </w:tr>
    </w:tbl>
    <w:p>
      <w:pPr>
        <w:spacing w:after="0"/>
      </w:pPr>
    </w:p>
    <w:p>
      <w:pPr>
        <w:pStyle w:val="Heading2"/>
        <w:keepNext/>
      </w:pPr>
      <w:r>
        <w:t>6.6 Coaching Difficulty Scale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93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Rating</w:t>
            </w:r>
          </w:p>
        </w:tc>
        <w:tc>
          <w:tcPr>
            <w:tcW w:type="dxa" w:w="8856"/>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Definition</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1</w:t>
            </w:r>
          </w:p>
        </w:tc>
        <w:tc>
          <w:tcPr>
            <w:tcW w:type="dxa" w:w="8856"/>
            <w:vAlign w:val="center"/>
            <w:tcMar>
              <w:top w:w="80" w:type="dxa"/>
              <w:start w:w="100" w:type="dxa"/>
              <w:bottom w:w="80" w:type="dxa"/>
              <w:end w:w="100" w:type="dxa"/>
            </w:tcMar>
          </w:tcPr>
          <w:p>
            <w:pPr>
              <w:spacing w:after="0"/>
            </w:pPr>
            <w:r>
              <w:rPr>
                <w:rFonts w:ascii="Arial" w:hAnsi="Arial"/>
              </w:rPr>
            </w:r>
            <w:r>
              <w:rPr>
                <w:rFonts w:ascii="Arial" w:hAnsi="Arial"/>
                <w:b w:val="0"/>
                <w:sz w:val="18"/>
              </w:rPr>
              <w:t>Simple organisation; minimal observation or intervention required.</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2</w:t>
            </w:r>
          </w:p>
        </w:tc>
        <w:tc>
          <w:tcPr>
            <w:tcW w:type="dxa" w:w="88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Basic coaching knowledge and one main teaching point.</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3</w:t>
            </w:r>
          </w:p>
        </w:tc>
        <w:tc>
          <w:tcPr>
            <w:tcW w:type="dxa" w:w="8856"/>
            <w:vAlign w:val="center"/>
            <w:tcMar>
              <w:top w:w="80" w:type="dxa"/>
              <w:start w:w="100" w:type="dxa"/>
              <w:bottom w:w="80" w:type="dxa"/>
              <w:end w:w="100" w:type="dxa"/>
            </w:tcMar>
          </w:tcPr>
          <w:p>
            <w:pPr>
              <w:spacing w:after="0"/>
            </w:pPr>
            <w:r>
              <w:rPr>
                <w:rFonts w:ascii="Arial" w:hAnsi="Arial"/>
              </w:rPr>
            </w:r>
            <w:r>
              <w:rPr>
                <w:rFonts w:ascii="Arial" w:hAnsi="Arial"/>
                <w:b w:val="0"/>
                <w:sz w:val="18"/>
              </w:rPr>
              <w:t>Intermediate organisation, rotations and several observable behaviours.</w:t>
            </w:r>
          </w:p>
        </w:tc>
      </w:tr>
      <w:tr>
        <w:trPr>
          <w:cantSplit/>
        </w:trPr>
        <w:tc>
          <w:tcPr>
            <w:tcW w:type="dxa" w:w="93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4</w:t>
            </w:r>
          </w:p>
        </w:tc>
        <w:tc>
          <w:tcPr>
            <w:tcW w:type="dxa" w:w="8856"/>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Advanced tactical coaching, live constraints and active correction.</w:t>
            </w:r>
          </w:p>
        </w:tc>
      </w:tr>
      <w:tr>
        <w:trPr>
          <w:cantSplit/>
        </w:trPr>
        <w:tc>
          <w:tcPr>
            <w:tcW w:type="dxa" w:w="936"/>
            <w:vAlign w:val="center"/>
            <w:tcMar>
              <w:top w:w="80" w:type="dxa"/>
              <w:start w:w="100" w:type="dxa"/>
              <w:bottom w:w="80" w:type="dxa"/>
              <w:end w:w="100" w:type="dxa"/>
            </w:tcMar>
          </w:tcPr>
          <w:p>
            <w:pPr>
              <w:spacing w:after="0"/>
            </w:pPr>
            <w:r>
              <w:rPr>
                <w:rFonts w:ascii="Arial" w:hAnsi="Arial"/>
              </w:rPr>
            </w:r>
            <w:r>
              <w:rPr>
                <w:rFonts w:ascii="Arial" w:hAnsi="Arial"/>
                <w:b w:val="0"/>
                <w:sz w:val="18"/>
              </w:rPr>
              <w:t>5</w:t>
            </w:r>
          </w:p>
        </w:tc>
        <w:tc>
          <w:tcPr>
            <w:tcW w:type="dxa" w:w="8856"/>
            <w:vAlign w:val="center"/>
            <w:tcMar>
              <w:top w:w="80" w:type="dxa"/>
              <w:start w:w="100" w:type="dxa"/>
              <w:bottom w:w="80" w:type="dxa"/>
              <w:end w:w="100" w:type="dxa"/>
            </w:tcMar>
          </w:tcPr>
          <w:p>
            <w:pPr>
              <w:spacing w:after="0"/>
            </w:pPr>
            <w:r>
              <w:rPr>
                <w:rFonts w:ascii="Arial" w:hAnsi="Arial"/>
              </w:rPr>
            </w:r>
            <w:r>
              <w:rPr>
                <w:rFonts w:ascii="Arial" w:hAnsi="Arial"/>
                <w:b w:val="0"/>
                <w:sz w:val="18"/>
              </w:rPr>
              <w:t>Expert management of complex scenarios, multiple lines, tactical adaptation and player feedback.</w:t>
            </w:r>
          </w:p>
        </w:tc>
      </w:tr>
    </w:tbl>
    <w:p>
      <w:pPr>
        <w:spacing w:after="0"/>
      </w:pPr>
    </w:p>
    <w:p>
      <w:pPr>
        <w:pStyle w:val="Heading2"/>
        <w:keepNext/>
      </w:pPr>
      <w:r>
        <w:t>6.7 Approved Session Placement Terms</w:t>
      </w:r>
    </w:p>
    <w:p>
      <w:r>
        <w:t>Warm-Up, Technical Skill Block, Main Skill Block, Decision-Making Block, Contested Football Block, Team Ball Movement, Transition Block, Team Offence, Team Defence, Forward Entry, Match Preparation, Tactical Block, Conditioning Through Football, Leadership Development, Match Simulation, Final Main Activity, Assessment.</w:t>
      </w:r>
    </w:p>
    <w:p>
      <w:pPr>
        <w:pStyle w:val="Heading1"/>
        <w:keepNext/>
      </w:pPr>
      <w:r>
        <w:t>7. Writing and Coaching Standards</w:t>
      </w:r>
    </w:p>
    <w:p>
      <w:pPr>
        <w:pStyle w:val="Heading2"/>
        <w:keepNext/>
      </w:pPr>
      <w:r>
        <w:t>7.1 Voice and Language</w:t>
      </w:r>
    </w:p>
    <w:p>
      <w:pPr>
        <w:pStyle w:val="ListBullet"/>
        <w:spacing w:after="60"/>
      </w:pPr>
      <w:r>
        <w:t>Use professional Australian football terminology: football, handball, kick, mark, spoil, stoppage, inside 50, defensive 50 and corridor.</w:t>
      </w:r>
    </w:p>
    <w:p>
      <w:pPr>
        <w:pStyle w:val="ListBullet"/>
        <w:spacing w:after="60"/>
      </w:pPr>
      <w:r>
        <w:t>Use “Australian football” or “AFL” appropriately. Do not use American football terminology.</w:t>
      </w:r>
    </w:p>
    <w:p>
      <w:pPr>
        <w:pStyle w:val="ListBullet"/>
        <w:spacing w:after="60"/>
      </w:pPr>
      <w:r>
        <w:t>Write in clear instructional language suitable for coaches, not promotional language.</w:t>
      </w:r>
    </w:p>
    <w:p>
      <w:pPr>
        <w:pStyle w:val="ListBullet"/>
        <w:spacing w:after="60"/>
      </w:pPr>
      <w:r>
        <w:t>Use active verbs: scan, position, lead, release, accelerate, protect, communicate and transition.</w:t>
      </w:r>
    </w:p>
    <w:p>
      <w:pPr>
        <w:pStyle w:val="ListBullet"/>
        <w:spacing w:after="60"/>
      </w:pPr>
      <w:r>
        <w:t>Use Australian spelling: organise, recognise, defence, metres and centre.</w:t>
      </w:r>
    </w:p>
    <w:p>
      <w:pPr>
        <w:pStyle w:val="ListBullet"/>
        <w:spacing w:after="60"/>
      </w:pPr>
      <w:r>
        <w:t>Avoid unnecessary jargon. Where tactical terminology is required, make the action clear through the setup and instructions.</w:t>
      </w:r>
    </w:p>
    <w:p>
      <w:pPr>
        <w:pStyle w:val="Heading2"/>
        <w:keepNext/>
      </w:pPr>
      <w:r>
        <w:t>7.2 Objective Standard</w:t>
      </w:r>
    </w:p>
    <w:p>
      <w:r>
        <w:t>The objective must describe the player outcome, not merely restate the drill title. It should normally begin with “Develop…” or “Teach…” and identify the technical or tactical behaviour being improved.</w:t>
      </w:r>
    </w:p>
    <w:p>
      <w:pPr>
        <w:pStyle w:val="Heading2"/>
        <w:keepNext/>
      </w:pPr>
      <w:r>
        <w:t>7.3 Coaching-Point Standard</w:t>
      </w:r>
    </w:p>
    <w:p>
      <w:pPr>
        <w:pStyle w:val="ListBullet"/>
        <w:spacing w:after="60"/>
      </w:pPr>
      <w:r>
        <w:t>Include five to eight specific, coachable behaviours.</w:t>
      </w:r>
    </w:p>
    <w:p>
      <w:pPr>
        <w:pStyle w:val="ListBullet"/>
        <w:spacing w:after="60"/>
      </w:pPr>
      <w:r>
        <w:t>Cover technique, decision making, movement and team structure where relevant.</w:t>
      </w:r>
    </w:p>
    <w:p>
      <w:pPr>
        <w:pStyle w:val="ListBullet"/>
        <w:spacing w:after="60"/>
      </w:pPr>
      <w:r>
        <w:t>Avoid repeating the same sentence in the Setup, How It Works and Coaching Points sections.</w:t>
      </w:r>
    </w:p>
    <w:p>
      <w:pPr>
        <w:pStyle w:val="Heading2"/>
        <w:keepNext/>
      </w:pPr>
      <w:r>
        <w:t>7.4 Coaching-Cue Standard</w:t>
      </w:r>
    </w:p>
    <w:p>
      <w:pPr>
        <w:pStyle w:val="ListBullet"/>
        <w:spacing w:after="60"/>
      </w:pPr>
      <w:r>
        <w:t>Use three to five short calls that can be spoken during live training.</w:t>
      </w:r>
    </w:p>
    <w:p>
      <w:pPr>
        <w:pStyle w:val="ListBullet"/>
        <w:spacing w:after="60"/>
      </w:pPr>
      <w:r>
        <w:t>Each cue should normally contain two to six words.</w:t>
      </w:r>
    </w:p>
    <w:p>
      <w:pPr>
        <w:pStyle w:val="ListBullet"/>
        <w:spacing w:after="60"/>
      </w:pPr>
      <w:r>
        <w:t>Cues must direct attention or action, not offer a long explanation.</w:t>
      </w:r>
    </w:p>
    <w:p>
      <w:pPr>
        <w:pStyle w:val="Heading2"/>
        <w:keepNext/>
      </w:pPr>
      <w:r>
        <w:t>7.5 Observation Standard</w:t>
      </w:r>
    </w:p>
    <w:p>
      <w:r>
        <w:t>Observation points must tell the coach exactly what to watch. They should include the behaviour before possession, the disposal or contest itself, support movement and the response after the action.</w:t>
      </w:r>
    </w:p>
    <w:p>
      <w:pPr>
        <w:pStyle w:val="Heading1"/>
        <w:keepNext/>
      </w:pPr>
      <w:r>
        <w:t>8. Drill Design Standards</w:t>
      </w:r>
    </w:p>
    <w:p>
      <w:pPr>
        <w:pStyle w:val="Heading2"/>
        <w:keepNext/>
      </w:pPr>
      <w:r>
        <w:t>8.1 Every Drill Must Be Distinct</w:t>
      </w:r>
    </w:p>
    <w:p>
      <w:r>
        <w:t>A new drill must introduce a genuinely different learning problem, constraint, field position, player relationship, decision or match scenario. Changing only the title, player count or cone layout is not sufficient.</w:t>
      </w:r>
    </w:p>
    <w:p>
      <w:pPr>
        <w:pStyle w:val="ListBullet"/>
        <w:spacing w:after="60"/>
      </w:pPr>
      <w:r>
        <w:t>Check the previous five drills before creating the next drill.</w:t>
      </w:r>
    </w:p>
    <w:p>
      <w:pPr>
        <w:pStyle w:val="ListBullet"/>
        <w:spacing w:after="60"/>
      </w:pPr>
      <w:r>
        <w:t>Ensure the primary skill and objective are not duplicates.</w:t>
      </w:r>
    </w:p>
    <w:p>
      <w:pPr>
        <w:pStyle w:val="ListBullet"/>
        <w:spacing w:after="60"/>
      </w:pPr>
      <w:r>
        <w:t>Use progressions to extend an existing drill rather than creating a near-copy as a new record.</w:t>
      </w:r>
    </w:p>
    <w:p>
      <w:pPr>
        <w:pStyle w:val="Heading2"/>
        <w:keepNext/>
      </w:pPr>
      <w:r>
        <w:t>8.2 Constraint-Led Design</w:t>
      </w:r>
    </w:p>
    <w:p>
      <w:pPr>
        <w:pStyle w:val="ListBullet"/>
        <w:spacing w:after="60"/>
      </w:pPr>
      <w:r>
        <w:t>Use space, time, numbers, scoring, direction, permitted disposals or starting positions to shape behaviour.</w:t>
      </w:r>
    </w:p>
    <w:p>
      <w:pPr>
        <w:pStyle w:val="ListBullet"/>
        <w:spacing w:after="60"/>
      </w:pPr>
      <w:r>
        <w:t>The constraint must support the stated objective and must not create unrealistic habits.</w:t>
      </w:r>
    </w:p>
    <w:p>
      <w:pPr>
        <w:pStyle w:val="ListBullet"/>
        <w:spacing w:after="60"/>
      </w:pPr>
      <w:r>
        <w:t>Remove constraints in progressions when the drill is ready to become more match-like.</w:t>
      </w:r>
    </w:p>
    <w:p>
      <w:pPr>
        <w:pStyle w:val="Heading2"/>
        <w:keepNext/>
      </w:pPr>
      <w:r>
        <w:t>8.3 Match Realism</w:t>
      </w:r>
    </w:p>
    <w:p>
      <w:pPr>
        <w:pStyle w:val="ListBullet"/>
        <w:spacing w:after="60"/>
      </w:pPr>
      <w:r>
        <w:t>Advanced drills must include realistic pressure, support, field position and turnover consequences.</w:t>
      </w:r>
    </w:p>
    <w:p>
      <w:pPr>
        <w:pStyle w:val="ListBullet"/>
        <w:spacing w:after="60"/>
      </w:pPr>
      <w:r>
        <w:t>Do not force a particular disposal when match conditions would require choice, unless the drill is deliberately isolating technique.</w:t>
      </w:r>
    </w:p>
    <w:p>
      <w:pPr>
        <w:pStyle w:val="ListBullet"/>
        <w:spacing w:after="60"/>
      </w:pPr>
      <w:r>
        <w:t>Include transition after turnovers in advanced team drills wherever practical.</w:t>
      </w:r>
    </w:p>
    <w:p>
      <w:pPr>
        <w:pStyle w:val="Heading2"/>
        <w:keepNext/>
      </w:pPr>
      <w:r>
        <w:t>8.4 Safety and Age Appropriateness</w:t>
      </w:r>
    </w:p>
    <w:p>
      <w:pPr>
        <w:pStyle w:val="ListBullet"/>
        <w:spacing w:after="60"/>
      </w:pPr>
      <w:r>
        <w:t>Contact must be legal, coached and appropriate to the players’ age, skill and competition rules.</w:t>
      </w:r>
    </w:p>
    <w:p>
      <w:pPr>
        <w:pStyle w:val="ListBullet"/>
        <w:spacing w:after="60"/>
      </w:pPr>
      <w:r>
        <w:t>Wet-weather simulation must not create an unsafe playing surface.</w:t>
      </w:r>
    </w:p>
    <w:p>
      <w:pPr>
        <w:pStyle w:val="ListBullet"/>
        <w:spacing w:after="60"/>
      </w:pPr>
      <w:r>
        <w:t>Fatigue drills must protect technique and decision quality rather than reward reckless exhaustion.</w:t>
      </w:r>
    </w:p>
    <w:p>
      <w:pPr>
        <w:pStyle w:val="ListBullet"/>
        <w:spacing w:after="60"/>
      </w:pPr>
      <w:r>
        <w:t>Regressions must be available for mixed ability, returning players and masters football.</w:t>
      </w:r>
    </w:p>
    <w:p>
      <w:pPr>
        <w:pStyle w:val="Heading2"/>
        <w:keepNext/>
      </w:pPr>
      <w:r>
        <w:t>8.5 Player Numbers and Rotations</w:t>
      </w:r>
    </w:p>
    <w:p>
      <w:pPr>
        <w:pStyle w:val="ListBullet"/>
        <w:spacing w:after="60"/>
      </w:pPr>
      <w:r>
        <w:t>Provide realistic minimum, ideal and maximum numbers.</w:t>
      </w:r>
    </w:p>
    <w:p>
      <w:pPr>
        <w:pStyle w:val="ListBullet"/>
        <w:spacing w:after="60"/>
      </w:pPr>
      <w:r>
        <w:t>Design rotations that minimise standing and preserve the learning objective.</w:t>
      </w:r>
    </w:p>
    <w:p>
      <w:pPr>
        <w:pStyle w:val="ListBullet"/>
        <w:spacing w:after="60"/>
      </w:pPr>
      <w:r>
        <w:t>When a drill requires a full squad, explain positional or team structure clearly.</w:t>
      </w:r>
    </w:p>
    <w:p>
      <w:pPr>
        <w:pStyle w:val="Heading1"/>
        <w:keepNext/>
      </w:pPr>
      <w:r>
        <w:t>9. Formatting Standards</w:t>
      </w:r>
    </w:p>
    <w:p>
      <w:pPr>
        <w:pStyle w:val="ListBullet"/>
        <w:spacing w:after="60"/>
      </w:pPr>
      <w:r>
        <w:t>Use a level-one heading for each drill: “# HB-001 – Drill Name” in plain-text/Markdown environments.</w:t>
      </w:r>
    </w:p>
    <w:p>
      <w:pPr>
        <w:pStyle w:val="ListBullet"/>
        <w:spacing w:after="60"/>
      </w:pPr>
      <w:r>
        <w:t>Use level-two headings for every required field.</w:t>
      </w:r>
    </w:p>
    <w:p>
      <w:pPr>
        <w:pStyle w:val="ListBullet"/>
        <w:spacing w:after="60"/>
      </w:pPr>
      <w:r>
        <w:t>Use tables for Age Groups and Common Errors. Use tables for controlled scales only in the master reference, not within every drill unless required.</w:t>
      </w:r>
    </w:p>
    <w:p>
      <w:pPr>
        <w:pStyle w:val="ListBullet"/>
        <w:spacing w:after="60"/>
      </w:pPr>
      <w:r>
        <w:t>Use numbered instructions for “How the Drill Works”.</w:t>
      </w:r>
    </w:p>
    <w:p>
      <w:pPr>
        <w:pStyle w:val="ListBullet"/>
        <w:spacing w:after="60"/>
      </w:pPr>
      <w:r>
        <w:t>Use bullet lists for Coaching Points, Cues, Observations, Progressions, Regressions and Success Indicators.</w:t>
      </w:r>
    </w:p>
    <w:p>
      <w:pPr>
        <w:pStyle w:val="ListBullet"/>
        <w:spacing w:after="60"/>
      </w:pPr>
      <w:r>
        <w:t>Do not place the full chapter in a code block. The master handover prompt may be placed in a copyable block.</w:t>
      </w:r>
    </w:p>
    <w:p>
      <w:pPr>
        <w:pStyle w:val="ListBullet"/>
        <w:spacing w:after="60"/>
      </w:pPr>
      <w:r>
        <w:t>Do not abbreviate headings or collapse several required fields into one paragraph.</w:t>
      </w:r>
    </w:p>
    <w:p>
      <w:pPr>
        <w:pStyle w:val="ListBullet"/>
        <w:spacing w:after="60"/>
      </w:pPr>
      <w:r>
        <w:t>Maintain consistent spacing and punctuation. Drill titles use title case; section headings use the approved wording exactly.</w:t>
      </w:r>
    </w:p>
    <w:p>
      <w:pPr>
        <w:pStyle w:val="Heading2"/>
        <w:keepNext/>
      </w:pPr>
      <w:r>
        <w:t>9.1 Tables</w:t>
      </w:r>
    </w:p>
    <w:p>
      <w:pPr>
        <w:pStyle w:val="ListBullet"/>
        <w:spacing w:after="60"/>
      </w:pPr>
      <w:r>
        <w:t>Age Groups table columns: Age Group | Suitability.</w:t>
      </w:r>
    </w:p>
    <w:p>
      <w:pPr>
        <w:pStyle w:val="ListBullet"/>
        <w:spacing w:after="60"/>
      </w:pPr>
      <w:r>
        <w:t>Common Errors table columns: Common Error | Coaching Correction.</w:t>
      </w:r>
    </w:p>
    <w:p>
      <w:pPr>
        <w:pStyle w:val="ListBullet"/>
        <w:spacing w:after="60"/>
      </w:pPr>
      <w:r>
        <w:t>Keep correction language direct and actionable.</w:t>
      </w:r>
    </w:p>
    <w:p>
      <w:pPr>
        <w:pStyle w:val="Heading1"/>
        <w:keepNext/>
      </w:pPr>
      <w:r>
        <w:t>10. Related-Drill and Cross-Reference Rules</w:t>
      </w:r>
    </w:p>
    <w:p>
      <w:pPr>
        <w:pStyle w:val="ListBullet"/>
        <w:spacing w:after="60"/>
      </w:pPr>
      <w:r>
        <w:t>Include three to six genuinely relevant drills.</w:t>
      </w:r>
    </w:p>
    <w:p>
      <w:pPr>
        <w:pStyle w:val="ListBullet"/>
        <w:spacing w:after="60"/>
      </w:pPr>
      <w:r>
        <w:t>Prefer drills already written. Do not invent a future title unless it is the immediately planned next drill and the title is controlled by the chapter plan.</w:t>
      </w:r>
    </w:p>
    <w:p>
      <w:pPr>
        <w:pStyle w:val="ListBullet"/>
        <w:spacing w:after="60"/>
      </w:pPr>
      <w:r>
        <w:t>Use the exact format: “HB-014 – Moving Target Handball”.</w:t>
      </w:r>
    </w:p>
    <w:p>
      <w:pPr>
        <w:pStyle w:val="ListBullet"/>
        <w:spacing w:after="60"/>
      </w:pPr>
      <w:r>
        <w:t>Cross-reference drills that provide a prerequisite, progression, regression or closely related tactical problem.</w:t>
      </w:r>
    </w:p>
    <w:p>
      <w:pPr>
        <w:pStyle w:val="ListBullet"/>
        <w:spacing w:after="60"/>
      </w:pPr>
      <w:r>
        <w:t>Avoid repeatedly citing only the same popular drills.</w:t>
      </w:r>
    </w:p>
    <w:p>
      <w:pPr>
        <w:pStyle w:val="ListBullet"/>
        <w:spacing w:after="60"/>
      </w:pPr>
      <w:r>
        <w:t>At the end-of-chapter assessment, reference the major drill ranges or key assessments rather than listing every drill individually.</w:t>
      </w:r>
    </w:p>
    <w:p>
      <w:pPr>
        <w:pStyle w:val="Heading1"/>
        <w:keepNext/>
      </w:pPr>
      <w:r>
        <w:t>11. Quality Assurance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Check</w:t>
            </w:r>
          </w:p>
        </w:tc>
        <w:tc>
          <w:tcPr>
            <w:tcW w:type="dxa" w:w="756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Pass Standard</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Numbering</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Correct prefix, three-digit sequence and no duplicate ID.</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Title</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Unique, specific and accurately reflects the drill.</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Objective</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States a distinct learning outcome.</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Completeness</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All 28 approved fields are present and in order.</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Age suitability</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Every approved age group is rated.</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Scales</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Physical, mental, contact and coaching ratings use controlled values.</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Setup</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A coach can build the drill without guessing.</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Operation</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Instructions explain starting action, flow, scoring, reset and rotations.</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Coaching content</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Points, cues and observations are specific and non-duplicative.</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Errors</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Includes realistic errors and practical corrections.</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Progression pathway</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Includes meaningful progressions and regressions.</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Match transfer</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Clearly explains AFL application.</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Distinctness</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Not a duplicate of a prior drill or merely a renamed progression.</w:t>
            </w:r>
          </w:p>
        </w:tc>
      </w:tr>
      <w:tr>
        <w:trPr>
          <w:cantSplit/>
        </w:trPr>
        <w:tc>
          <w:tcPr>
            <w:tcW w:type="dxa" w:w="22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Terminology</w:t>
            </w:r>
          </w:p>
        </w:tc>
        <w:tc>
          <w:tcPr>
            <w:tcW w:type="dxa" w:w="75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Australian spelling and football language are consistent.</w:t>
            </w:r>
          </w:p>
        </w:tc>
      </w:tr>
      <w:tr>
        <w:trPr>
          <w:cantSplit/>
        </w:trPr>
        <w:tc>
          <w:tcPr>
            <w:tcW w:type="dxa" w:w="2232"/>
            <w:vAlign w:val="center"/>
            <w:tcMar>
              <w:top w:w="80" w:type="dxa"/>
              <w:start w:w="100" w:type="dxa"/>
              <w:bottom w:w="80" w:type="dxa"/>
              <w:end w:w="100" w:type="dxa"/>
            </w:tcMar>
          </w:tcPr>
          <w:p>
            <w:pPr>
              <w:spacing w:after="0"/>
            </w:pPr>
            <w:r>
              <w:rPr>
                <w:rFonts w:ascii="Arial" w:hAnsi="Arial"/>
              </w:rPr>
            </w:r>
            <w:r>
              <w:rPr>
                <w:rFonts w:ascii="Arial" w:hAnsi="Arial"/>
                <w:b w:val="0"/>
                <w:sz w:val="18"/>
              </w:rPr>
              <w:t>Completion</w:t>
            </w:r>
          </w:p>
        </w:tc>
        <w:tc>
          <w:tcPr>
            <w:tcW w:type="dxa" w:w="7560"/>
            <w:vAlign w:val="center"/>
            <w:tcMar>
              <w:top w:w="80" w:type="dxa"/>
              <w:start w:w="100" w:type="dxa"/>
              <w:bottom w:w="80" w:type="dxa"/>
              <w:end w:w="100" w:type="dxa"/>
            </w:tcMar>
          </w:tcPr>
          <w:p>
            <w:pPr>
              <w:spacing w:after="0"/>
            </w:pPr>
            <w:r>
              <w:rPr>
                <w:rFonts w:ascii="Arial" w:hAnsi="Arial"/>
              </w:rPr>
            </w:r>
            <w:r>
              <w:rPr>
                <w:rFonts w:ascii="Arial" w:hAnsi="Arial"/>
                <w:b w:val="0"/>
                <w:sz w:val="18"/>
              </w:rPr>
              <w:t>No drill is cut off and no heading is left empty.</w:t>
            </w:r>
          </w:p>
        </w:tc>
      </w:tr>
    </w:tbl>
    <w:p>
      <w:pPr>
        <w:spacing w:after="0"/>
      </w:pPr>
    </w:p>
    <w:p>
      <w:pPr>
        <w:pStyle w:val="Heading1"/>
        <w:keepNext/>
      </w:pPr>
      <w:r>
        <w:t>12. Production Workflow</w:t>
      </w:r>
    </w:p>
    <w:p>
      <w:pPr>
        <w:spacing w:after="60"/>
        <w:ind w:left="360" w:hanging="288"/>
      </w:pPr>
      <w:r>
        <w:rPr>
          <w:b/>
        </w:rPr>
        <w:t xml:space="preserve">1. </w:t>
      </w:r>
      <w:r>
        <w:t>Read this master document and identify the current completed drill.</w:t>
      </w:r>
    </w:p>
    <w:p>
      <w:pPr>
        <w:spacing w:after="60"/>
        <w:ind w:left="360" w:hanging="288"/>
      </w:pPr>
      <w:r>
        <w:rPr>
          <w:b/>
        </w:rPr>
        <w:t xml:space="preserve">2. </w:t>
      </w:r>
      <w:r>
        <w:t>Confirm the chapter prefix, next drill number and current development stage.</w:t>
      </w:r>
    </w:p>
    <w:p>
      <w:pPr>
        <w:spacing w:after="60"/>
        <w:ind w:left="360" w:hanging="288"/>
      </w:pPr>
      <w:r>
        <w:rPr>
          <w:b/>
        </w:rPr>
        <w:t xml:space="preserve">3. </w:t>
      </w:r>
      <w:r>
        <w:t>Review the preceding five drill titles and objectives to avoid duplication.</w:t>
      </w:r>
    </w:p>
    <w:p>
      <w:pPr>
        <w:spacing w:after="60"/>
        <w:ind w:left="360" w:hanging="288"/>
      </w:pPr>
      <w:r>
        <w:rPr>
          <w:b/>
        </w:rPr>
        <w:t xml:space="preserve">4. </w:t>
      </w:r>
      <w:r>
        <w:t>Plan the next block of drills so the progression is logical across the entire block.</w:t>
      </w:r>
    </w:p>
    <w:p>
      <w:pPr>
        <w:spacing w:after="60"/>
        <w:ind w:left="360" w:hanging="288"/>
      </w:pPr>
      <w:r>
        <w:rPr>
          <w:b/>
        </w:rPr>
        <w:t xml:space="preserve">5. </w:t>
      </w:r>
      <w:r>
        <w:t>Write each drill in the complete approved field order.</w:t>
      </w:r>
    </w:p>
    <w:p>
      <w:pPr>
        <w:spacing w:after="60"/>
        <w:ind w:left="360" w:hanging="288"/>
      </w:pPr>
      <w:r>
        <w:rPr>
          <w:b/>
        </w:rPr>
        <w:t xml:space="preserve">6. </w:t>
      </w:r>
      <w:r>
        <w:t>Check numbering, age groups, scales, tables and related-drill references.</w:t>
      </w:r>
    </w:p>
    <w:p>
      <w:pPr>
        <w:spacing w:after="60"/>
        <w:ind w:left="360" w:hanging="288"/>
      </w:pPr>
      <w:r>
        <w:rPr>
          <w:b/>
        </w:rPr>
        <w:t xml:space="preserve">7. </w:t>
      </w:r>
      <w:r>
        <w:t>Ensure every drill is complete before moving to the next response.</w:t>
      </w:r>
    </w:p>
    <w:p>
      <w:pPr>
        <w:spacing w:after="60"/>
        <w:ind w:left="360" w:hanging="288"/>
      </w:pPr>
      <w:r>
        <w:rPr>
          <w:b/>
        </w:rPr>
        <w:t xml:space="preserve">8. </w:t>
      </w:r>
      <w:r>
        <w:t>Update the project status and change log when a chapter or major block is completed.</w:t>
      </w:r>
    </w:p>
    <w:p>
      <w:pPr>
        <w:pStyle w:val="Heading2"/>
        <w:keepNext/>
      </w:pPr>
      <w:r>
        <w:t>12.1 Recommended Block Planning</w:t>
      </w:r>
    </w:p>
    <w:p>
      <w:r>
        <w:t>Before writing ten drills, create an internal block plan containing the ten IDs, titles, primary skills and one-sentence objectives. This plan prevents duplication and ensures progression, but it does not need to be shown to the user unless requested.</w:t>
      </w:r>
    </w:p>
    <w:p>
      <w:pPr>
        <w:pStyle w:val="Heading1"/>
        <w:keepNext/>
      </w:pPr>
      <w:r>
        <w:t>13. New-Chat Continuation Protocol</w:t>
      </w:r>
    </w:p>
    <w:p>
      <w:pPr>
        <w:pStyle w:val="Heading2"/>
        <w:keepNext/>
      </w:pPr>
      <w:r>
        <w:t>13.1 Files to Provide</w:t>
      </w:r>
    </w:p>
    <w:p>
      <w:pPr>
        <w:spacing w:after="60"/>
        <w:ind w:left="360" w:hanging="288"/>
      </w:pPr>
      <w:r>
        <w:rPr>
          <w:b/>
        </w:rPr>
        <w:t xml:space="preserve">1. </w:t>
      </w:r>
      <w:r>
        <w:t>Upload this Master Document to the new chat or project.</w:t>
      </w:r>
    </w:p>
    <w:p>
      <w:pPr>
        <w:spacing w:after="60"/>
        <w:ind w:left="360" w:hanging="288"/>
      </w:pPr>
      <w:r>
        <w:rPr>
          <w:b/>
        </w:rPr>
        <w:t xml:space="preserve">2. </w:t>
      </w:r>
      <w:r>
        <w:t>Upload the completed chapter document when the new AI needs exact prior drill content or cross-references.</w:t>
      </w:r>
    </w:p>
    <w:p>
      <w:pPr>
        <w:spacing w:after="60"/>
        <w:ind w:left="360" w:hanging="288"/>
      </w:pPr>
      <w:r>
        <w:rPr>
          <w:b/>
        </w:rPr>
        <w:t xml:space="preserve">3. </w:t>
      </w:r>
      <w:r>
        <w:t>State the last completed drill and the next drill in one sentence.</w:t>
      </w:r>
    </w:p>
    <w:p>
      <w:pPr>
        <w:pStyle w:val="Heading2"/>
        <w:keepNext/>
      </w:pPr>
      <w:r>
        <w:t>13.2 First Instruction in the New Chat</w:t>
      </w:r>
    </w:p>
    <w:p>
      <w:r>
        <w:t>Use a direct instruction such as: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vAlign w:val="center"/>
          </w:tcPr>
          <w:p>
            <w:r>
              <w:t>Use the uploaded AFL Coaching Reference Library Master Document as the controlling standard.</w:t>
              <w:br/>
              <w:t>Chapters 1–16 are complete, with Testing and Assessment complete through TA-060.</w:t>
              <w:br/>
              <w:t>Do not begin a new drill chapter until the user defines the next chapter name, prefix, scope and target drill range.</w:t>
            </w:r>
          </w:p>
        </w:tc>
      </w:tr>
    </w:tbl>
    <w:p/>
    <w:p>
      <w:pPr>
        <w:pStyle w:val="Heading2"/>
        <w:keepNext/>
      </w:pPr>
      <w:r>
        <w:t>13.3 Behaviour Required from the New Chat</w:t>
      </w:r>
    </w:p>
    <w:p>
      <w:pPr>
        <w:pStyle w:val="ListBullet"/>
        <w:spacing w:after="60"/>
      </w:pPr>
      <w:r>
        <w:t>Do not summarise the master document back to the user.</w:t>
      </w:r>
    </w:p>
    <w:p>
      <w:pPr>
        <w:pStyle w:val="ListBullet"/>
        <w:spacing w:after="60"/>
      </w:pPr>
      <w:r>
        <w:t>Do not ask whether to begin when the next drill is already specified.</w:t>
      </w:r>
    </w:p>
    <w:p>
      <w:pPr>
        <w:pStyle w:val="ListBullet"/>
        <w:spacing w:after="60"/>
      </w:pPr>
      <w:r>
        <w:t>Do not shorten the records to fit more drills into a response.</w:t>
      </w:r>
    </w:p>
    <w:p>
      <w:pPr>
        <w:pStyle w:val="ListBullet"/>
        <w:spacing w:after="60"/>
      </w:pPr>
      <w:r>
        <w:t>Do not restart numbering or create a new format.</w:t>
      </w:r>
    </w:p>
    <w:p>
      <w:pPr>
        <w:pStyle w:val="ListBullet"/>
        <w:spacing w:after="60"/>
      </w:pPr>
      <w:r>
        <w:t>When asked to continue, begin with the next drill immediately.</w:t>
      </w:r>
    </w:p>
    <w:p>
      <w:pPr>
        <w:pStyle w:val="Heading1"/>
        <w:keepNext/>
      </w:pPr>
      <w:r>
        <w:t>14. Ready-to-Paste New-Chat Prompt</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vAlign w:val="center"/>
          </w:tcPr>
          <w:p>
            <w:r>
              <w:t>You are helping me build a permanent professional AFL Coaching Reference Library.</w:t>
              <w:br/>
              <w:br/>
              <w:t>Use the uploaded “AFL Coaching Reference Library Master Document” as the controlling standard for structure, terminology, numbering, formatting, drill design and quality assurance.</w:t>
              <w:br/>
              <w:br/>
              <w:t>CURRENT STATUS</w:t>
              <w:br/>
              <w:t>- Chapter 1 – Kicking is complete: KK-001 to KK-150.</w:t>
              <w:br/>
              <w:t>- Chapter 2 – Handballing is complete: HB-001 to HB-120.</w:t>
              <w:br/>
              <w:t>- Chapter 3 – Marking is complete: MK-001 to MK-120.</w:t>
              <w:br/>
              <w:t>- Chapter 4 – Ground Balls is complete: GB-001 to GB-120.</w:t>
              <w:br/>
              <w:t>- Chapter 5 – Tackling and Pressure is complete: TK-001 to TK-120.</w:t>
              <w:br/>
              <w:t>- Chapter 6 – Spoiling and Aerial Defence is complete: SP-001 to SP-080.</w:t>
              <w:br/>
              <w:t>- Chapter 7 – Ruck and Stoppage Craft is complete: RK-001 to RK-080.</w:t>
              <w:br/>
              <w:t>- Chapter 8 – Evasion, Agility and Movement is complete: EA-001 to EA-080.</w:t>
              <w:br/>
              <w:t>- Chapter 9 – Decision Making is complete: DM-001 to DM-100.</w:t>
              <w:br/>
              <w:t>- Chapter 10 – Team Offence is complete: TO-001 to TO-100.</w:t>
              <w:br/>
              <w:t>- Chapter 11 – Team Defence is complete: TD-001 to TD-100.</w:t>
              <w:br/>
              <w:t>- Chapter 12 – Transition is complete: TR-001 to TR-100.</w:t>
              <w:br/>
              <w:t>- Chapter 13 – Conditioning with Football is complete: CF-001 to CF-080.</w:t>
              <w:br/>
              <w:t>- Chapter 14 – Small-Sided Games is complete: SG-001 to SG-100.</w:t>
              <w:br/>
              <w:t>- Chapter 15 – Match Simulation is complete: MS-001 to MS-100.</w:t>
              <w:br/>
              <w:t>- Chapter 16 – Testing and Assessment is complete: TA-001 to TA-060.</w:t>
              <w:br/>
              <w:t>- Total completed drills: 1610.</w:t>
              <w:br/>
              <w:t>- Last completed drill: TA-060 – Testing and Assessment Chapter Final Assessment.</w:t>
              <w:br/>
              <w:t>- No Chapter 17 architecture, prefix or drill range has yet been approved.</w:t>
              <w:br/>
              <w:br/>
              <w:t>REQUIRED BEHAVIOUR</w:t>
              <w:br/>
              <w:t>- Use Australian football terminology and Australian spelling.</w:t>
              <w:br/>
              <w:t>- Write as a professional coaching manual for community, pathway and high-performance AFL environments.</w:t>
              <w:br/>
              <w:t>- Every drill must use the complete approved 28-field drill structure in the Master Document.</w:t>
              <w:br/>
              <w:t>- Do not shorten, simplify or omit fields.</w:t>
              <w:br/>
              <w:t>- Do not duplicate earlier drills or create a new drill that is merely a minor progression of a previous one.</w:t>
              <w:br/>
              <w:t>- Keep numbering sequential and use three digits.</w:t>
              <w:br/>
              <w:t>- Complete every drill fully before ending the response.</w:t>
              <w:br/>
              <w:t>- When I say “C”, “continue” or provide an equivalent instruction, immediately produce the next sequential drills only when an approved next chapter and drill number exist.</w:t>
              <w:br/>
              <w:t>- Normally produce ten drills per response, but produce fewer rather than cutting off a drill.</w:t>
              <w:br/>
              <w:t>- After the final drill of any chapter, create a new updated Master Document before beginning the next chapter. The Master Document is a status, standards and continuation file; do not insert all drill records unless explicitly requested.</w:t>
              <w:br/>
              <w:br/>
              <w:t>TASK</w:t>
              <w:br/>
              <w:t>Do not invent Chapter 17. Ask the user to define or approve the next chapter name, two-letter prefix, purpose, scope and target drill count before creating further drills.</w:t>
            </w:r>
          </w:p>
        </w:tc>
      </w:tr>
    </w:tbl>
    <w:p/>
    <w:p>
      <w:pPr>
        <w:pStyle w:val="Heading1"/>
        <w:keepNext/>
      </w:pPr>
      <w:r>
        <w:t>15. Blank Master Drill Template</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tcPr>
          <w:p>
            <w:pPr>
              <w:spacing w:after="0"/>
            </w:pPr>
            <w:r>
              <w:rPr>
                <w:rFonts w:ascii="Arial" w:hAnsi="Arial"/>
              </w:rPr>
            </w:r>
            <w:r>
              <w:rPr>
                <w:rFonts w:ascii="Courier New" w:hAnsi="Courier New"/>
                <w:sz w:val="17"/>
              </w:rPr>
              <w:t># [ID] – [Unique Drill Title]</w:t>
            </w:r>
            <w:r>
              <w:rPr>
                <w:rFonts w:ascii="Arial" w:hAnsi="Arial"/>
              </w:rPr>
              <w:br/>
            </w:r>
            <w:r>
              <w:rPr>
                <w:rFonts w:ascii="Courier New" w:hAnsi="Courier New"/>
                <w:sz w:val="17"/>
              </w:rPr>
            </w:r>
            <w:r>
              <w:rPr>
                <w:rFonts w:ascii="Arial" w:hAnsi="Arial"/>
              </w:rPr>
              <w:br/>
            </w:r>
            <w:r>
              <w:rPr>
                <w:rFonts w:ascii="Courier New" w:hAnsi="Courier New"/>
                <w:sz w:val="17"/>
              </w:rPr>
              <w:t>## Drill ID</w:t>
            </w:r>
            <w:r>
              <w:rPr>
                <w:rFonts w:ascii="Arial" w:hAnsi="Arial"/>
              </w:rPr>
              <w:br/>
            </w:r>
            <w:r>
              <w:rPr>
                <w:rFonts w:ascii="Courier New" w:hAnsi="Courier New"/>
                <w:sz w:val="17"/>
              </w:rPr>
            </w:r>
            <w:r>
              <w:rPr>
                <w:rFonts w:ascii="Arial" w:hAnsi="Arial"/>
              </w:rPr>
              <w:br/>
            </w:r>
            <w:r>
              <w:rPr>
                <w:rFonts w:ascii="Courier New" w:hAnsi="Courier New"/>
                <w:sz w:val="17"/>
              </w:rPr>
              <w:t>**[ID]**</w:t>
            </w:r>
            <w:r>
              <w:rPr>
                <w:rFonts w:ascii="Arial" w:hAnsi="Arial"/>
              </w:rPr>
              <w:br/>
            </w:r>
            <w:r>
              <w:rPr>
                <w:rFonts w:ascii="Courier New" w:hAnsi="Courier New"/>
                <w:sz w:val="17"/>
              </w:rPr>
            </w:r>
            <w:r>
              <w:rPr>
                <w:rFonts w:ascii="Arial" w:hAnsi="Arial"/>
              </w:rPr>
              <w:br/>
            </w:r>
            <w:r>
              <w:rPr>
                <w:rFonts w:ascii="Courier New" w:hAnsi="Courier New"/>
                <w:sz w:val="17"/>
              </w:rPr>
              <w:t>## Category</w:t>
            </w:r>
            <w:r>
              <w:rPr>
                <w:rFonts w:ascii="Arial" w:hAnsi="Arial"/>
              </w:rPr>
              <w:br/>
            </w:r>
            <w:r>
              <w:rPr>
                <w:rFonts w:ascii="Courier New" w:hAnsi="Courier New"/>
                <w:sz w:val="17"/>
              </w:rPr>
            </w:r>
            <w:r>
              <w:rPr>
                <w:rFonts w:ascii="Arial" w:hAnsi="Arial"/>
              </w:rPr>
              <w:br/>
            </w:r>
            <w:r>
              <w:rPr>
                <w:rFonts w:ascii="Courier New" w:hAnsi="Courier New"/>
                <w:sz w:val="17"/>
              </w:rPr>
              <w:t>[Category]</w:t>
            </w:r>
            <w:r>
              <w:rPr>
                <w:rFonts w:ascii="Arial" w:hAnsi="Arial"/>
              </w:rPr>
              <w:br/>
            </w:r>
            <w:r>
              <w:rPr>
                <w:rFonts w:ascii="Courier New" w:hAnsi="Courier New"/>
                <w:sz w:val="17"/>
              </w:rPr>
            </w:r>
            <w:r>
              <w:rPr>
                <w:rFonts w:ascii="Arial" w:hAnsi="Arial"/>
              </w:rPr>
              <w:br/>
            </w:r>
            <w:r>
              <w:rPr>
                <w:rFonts w:ascii="Courier New" w:hAnsi="Courier New"/>
                <w:sz w:val="17"/>
              </w:rPr>
              <w:t>## Primary Skill</w:t>
            </w:r>
            <w:r>
              <w:rPr>
                <w:rFonts w:ascii="Arial" w:hAnsi="Arial"/>
              </w:rPr>
              <w:br/>
            </w:r>
            <w:r>
              <w:rPr>
                <w:rFonts w:ascii="Courier New" w:hAnsi="Courier New"/>
                <w:sz w:val="17"/>
              </w:rPr>
            </w:r>
            <w:r>
              <w:rPr>
                <w:rFonts w:ascii="Arial" w:hAnsi="Arial"/>
              </w:rPr>
              <w:br/>
            </w:r>
            <w:r>
              <w:rPr>
                <w:rFonts w:ascii="Courier New" w:hAnsi="Courier New"/>
                <w:sz w:val="17"/>
              </w:rPr>
              <w:t>[Single primary skill]</w:t>
            </w:r>
            <w:r>
              <w:rPr>
                <w:rFonts w:ascii="Arial" w:hAnsi="Arial"/>
              </w:rPr>
              <w:br/>
            </w:r>
            <w:r>
              <w:rPr>
                <w:rFonts w:ascii="Courier New" w:hAnsi="Courier New"/>
                <w:sz w:val="17"/>
              </w:rPr>
            </w:r>
            <w:r>
              <w:rPr>
                <w:rFonts w:ascii="Arial" w:hAnsi="Arial"/>
              </w:rPr>
              <w:br/>
            </w:r>
            <w:r>
              <w:rPr>
                <w:rFonts w:ascii="Courier New" w:hAnsi="Courier New"/>
                <w:sz w:val="17"/>
              </w:rPr>
              <w:t>## Secondary Skills</w:t>
            </w:r>
            <w:r>
              <w:rPr>
                <w:rFonts w:ascii="Arial" w:hAnsi="Arial"/>
              </w:rPr>
              <w:br/>
            </w:r>
            <w:r>
              <w:rPr>
                <w:rFonts w:ascii="Courier New" w:hAnsi="Courier New"/>
                <w:sz w:val="17"/>
              </w:rPr>
            </w:r>
            <w:r>
              <w:rPr>
                <w:rFonts w:ascii="Arial" w:hAnsi="Arial"/>
              </w:rPr>
              <w:br/>
            </w:r>
            <w:r>
              <w:rPr>
                <w:rFonts w:ascii="Courier New" w:hAnsi="Courier New"/>
                <w:sz w:val="17"/>
              </w:rPr>
              <w:t>- [Secondary skill]</w:t>
            </w:r>
            <w:r>
              <w:rPr>
                <w:rFonts w:ascii="Arial" w:hAnsi="Arial"/>
              </w:rPr>
              <w:br/>
            </w:r>
            <w:r>
              <w:rPr>
                <w:rFonts w:ascii="Courier New" w:hAnsi="Courier New"/>
                <w:sz w:val="17"/>
              </w:rPr>
              <w:t>- [Secondary skill]</w:t>
            </w:r>
            <w:r>
              <w:rPr>
                <w:rFonts w:ascii="Arial" w:hAnsi="Arial"/>
              </w:rPr>
              <w:br/>
            </w:r>
            <w:r>
              <w:rPr>
                <w:rFonts w:ascii="Courier New" w:hAnsi="Courier New"/>
                <w:sz w:val="17"/>
              </w:rPr>
              <w:t>- [Secondary skill]</w:t>
            </w:r>
            <w:r>
              <w:rPr>
                <w:rFonts w:ascii="Arial" w:hAnsi="Arial"/>
              </w:rPr>
              <w:br/>
            </w:r>
            <w:r>
              <w:rPr>
                <w:rFonts w:ascii="Courier New" w:hAnsi="Courier New"/>
                <w:sz w:val="17"/>
              </w:rPr>
            </w:r>
            <w:r>
              <w:rPr>
                <w:rFonts w:ascii="Arial" w:hAnsi="Arial"/>
              </w:rPr>
              <w:br/>
            </w:r>
            <w:r>
              <w:rPr>
                <w:rFonts w:ascii="Courier New" w:hAnsi="Courier New"/>
                <w:sz w:val="17"/>
              </w:rPr>
              <w:t>## Objective</w:t>
            </w:r>
            <w:r>
              <w:rPr>
                <w:rFonts w:ascii="Arial" w:hAnsi="Arial"/>
              </w:rPr>
              <w:br/>
            </w:r>
            <w:r>
              <w:rPr>
                <w:rFonts w:ascii="Courier New" w:hAnsi="Courier New"/>
                <w:sz w:val="17"/>
              </w:rPr>
            </w:r>
            <w:r>
              <w:rPr>
                <w:rFonts w:ascii="Arial" w:hAnsi="Arial"/>
              </w:rPr>
              <w:br/>
            </w:r>
            <w:r>
              <w:rPr>
                <w:rFonts w:ascii="Courier New" w:hAnsi="Courier New"/>
                <w:sz w:val="17"/>
              </w:rPr>
              <w:t>[One clear player-development objective.]</w:t>
            </w:r>
            <w:r>
              <w:rPr>
                <w:rFonts w:ascii="Arial" w:hAnsi="Arial"/>
              </w:rPr>
              <w:br/>
            </w:r>
            <w:r>
              <w:rPr>
                <w:rFonts w:ascii="Courier New" w:hAnsi="Courier New"/>
                <w:sz w:val="17"/>
              </w:rPr>
            </w:r>
            <w:r>
              <w:rPr>
                <w:rFonts w:ascii="Arial" w:hAnsi="Arial"/>
              </w:rPr>
              <w:br/>
            </w:r>
            <w:r>
              <w:rPr>
                <w:rFonts w:ascii="Courier New" w:hAnsi="Courier New"/>
                <w:sz w:val="17"/>
              </w:rPr>
              <w:t>## Age Groups</w:t>
            </w:r>
            <w:r>
              <w:rPr>
                <w:rFonts w:ascii="Arial" w:hAnsi="Arial"/>
              </w:rPr>
              <w:br/>
            </w:r>
            <w:r>
              <w:rPr>
                <w:rFonts w:ascii="Courier New" w:hAnsi="Courier New"/>
                <w:sz w:val="17"/>
              </w:rPr>
            </w:r>
            <w:r>
              <w:rPr>
                <w:rFonts w:ascii="Arial" w:hAnsi="Arial"/>
              </w:rPr>
              <w:br/>
            </w:r>
            <w:r>
              <w:rPr>
                <w:rFonts w:ascii="Courier New" w:hAnsi="Courier New"/>
                <w:sz w:val="17"/>
              </w:rPr>
              <w:t>| Age Group | Suitability |</w:t>
            </w:r>
            <w:r>
              <w:rPr>
                <w:rFonts w:ascii="Arial" w:hAnsi="Arial"/>
              </w:rPr>
              <w:br/>
            </w:r>
            <w:r>
              <w:rPr>
                <w:rFonts w:ascii="Courier New" w:hAnsi="Courier New"/>
                <w:sz w:val="17"/>
              </w:rPr>
              <w:t>|---|---|</w:t>
            </w:r>
            <w:r>
              <w:rPr>
                <w:rFonts w:ascii="Arial" w:hAnsi="Arial"/>
              </w:rPr>
              <w:br/>
            </w:r>
            <w:r>
              <w:rPr>
                <w:rFonts w:ascii="Courier New" w:hAnsi="Courier New"/>
                <w:sz w:val="17"/>
              </w:rPr>
              <w:t>| Under 8 | [✓ / ○ / ✗] |</w:t>
            </w:r>
            <w:r>
              <w:rPr>
                <w:rFonts w:ascii="Arial" w:hAnsi="Arial"/>
              </w:rPr>
              <w:br/>
            </w:r>
            <w:r>
              <w:rPr>
                <w:rFonts w:ascii="Courier New" w:hAnsi="Courier New"/>
                <w:sz w:val="17"/>
              </w:rPr>
              <w:t>| Under 10 | [✓ / ○ / ✗] |</w:t>
            </w:r>
            <w:r>
              <w:rPr>
                <w:rFonts w:ascii="Arial" w:hAnsi="Arial"/>
              </w:rPr>
              <w:br/>
            </w:r>
            <w:r>
              <w:rPr>
                <w:rFonts w:ascii="Courier New" w:hAnsi="Courier New"/>
                <w:sz w:val="17"/>
              </w:rPr>
              <w:t>| Under 12 | [✓ / ○ / ✗] |</w:t>
            </w:r>
            <w:r>
              <w:rPr>
                <w:rFonts w:ascii="Arial" w:hAnsi="Arial"/>
              </w:rPr>
              <w:br/>
            </w:r>
            <w:r>
              <w:rPr>
                <w:rFonts w:ascii="Courier New" w:hAnsi="Courier New"/>
                <w:sz w:val="17"/>
              </w:rPr>
              <w:t>| Under 14 | [✓ / ○ / ✗] |</w:t>
            </w:r>
            <w:r>
              <w:rPr>
                <w:rFonts w:ascii="Arial" w:hAnsi="Arial"/>
              </w:rPr>
              <w:br/>
            </w:r>
            <w:r>
              <w:rPr>
                <w:rFonts w:ascii="Courier New" w:hAnsi="Courier New"/>
                <w:sz w:val="17"/>
              </w:rPr>
              <w:t>| Under 16 | [✓ / ○ / ✗] |</w:t>
            </w:r>
            <w:r>
              <w:rPr>
                <w:rFonts w:ascii="Arial" w:hAnsi="Arial"/>
              </w:rPr>
              <w:br/>
            </w:r>
            <w:r>
              <w:rPr>
                <w:rFonts w:ascii="Courier New" w:hAnsi="Courier New"/>
                <w:sz w:val="17"/>
              </w:rPr>
              <w:t>| Under 18 | [✓ / ○ / ✗] |</w:t>
            </w:r>
            <w:r>
              <w:rPr>
                <w:rFonts w:ascii="Arial" w:hAnsi="Arial"/>
              </w:rPr>
              <w:br/>
            </w:r>
            <w:r>
              <w:rPr>
                <w:rFonts w:ascii="Courier New" w:hAnsi="Courier New"/>
                <w:sz w:val="17"/>
              </w:rPr>
              <w:t>| Senior Women | [✓ / ○ / ✗] |</w:t>
            </w:r>
            <w:r>
              <w:rPr>
                <w:rFonts w:ascii="Arial" w:hAnsi="Arial"/>
              </w:rPr>
              <w:br/>
            </w:r>
            <w:r>
              <w:rPr>
                <w:rFonts w:ascii="Courier New" w:hAnsi="Courier New"/>
                <w:sz w:val="17"/>
              </w:rPr>
              <w:t>| Senior Men | [✓ / ○ / ✗] |</w:t>
            </w:r>
            <w:r>
              <w:rPr>
                <w:rFonts w:ascii="Arial" w:hAnsi="Arial"/>
              </w:rPr>
              <w:br/>
            </w:r>
            <w:r>
              <w:rPr>
                <w:rFonts w:ascii="Courier New" w:hAnsi="Courier New"/>
                <w:sz w:val="17"/>
              </w:rPr>
              <w:t>| Over 35 Men | [✓ / ○ / ✗] |</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tcPr>
          <w:p>
            <w:pPr>
              <w:spacing w:after="0"/>
            </w:pPr>
            <w:r>
              <w:rPr>
                <w:rFonts w:ascii="Arial" w:hAnsi="Arial"/>
              </w:rPr>
            </w:r>
            <w:r>
              <w:rPr>
                <w:rFonts w:ascii="Courier New" w:hAnsi="Courier New"/>
                <w:sz w:val="17"/>
              </w:rPr>
              <w:t>## Skill Level</w:t>
            </w:r>
            <w:r>
              <w:rPr>
                <w:rFonts w:ascii="Arial" w:hAnsi="Arial"/>
              </w:rPr>
              <w:br/>
            </w:r>
            <w:r>
              <w:rPr>
                <w:rFonts w:ascii="Courier New" w:hAnsi="Courier New"/>
                <w:sz w:val="17"/>
              </w:rPr>
            </w:r>
            <w:r>
              <w:rPr>
                <w:rFonts w:ascii="Arial" w:hAnsi="Arial"/>
              </w:rPr>
              <w:br/>
            </w:r>
            <w:r>
              <w:rPr>
                <w:rFonts w:ascii="Courier New" w:hAnsi="Courier New"/>
                <w:sz w:val="17"/>
              </w:rPr>
              <w:t>[Foundation / Beginner / Intermediate / Advanced / Elite or range]</w:t>
            </w:r>
            <w:r>
              <w:rPr>
                <w:rFonts w:ascii="Arial" w:hAnsi="Arial"/>
              </w:rPr>
              <w:br/>
            </w:r>
            <w:r>
              <w:rPr>
                <w:rFonts w:ascii="Courier New" w:hAnsi="Courier New"/>
                <w:sz w:val="17"/>
              </w:rPr>
            </w:r>
            <w:r>
              <w:rPr>
                <w:rFonts w:ascii="Arial" w:hAnsi="Arial"/>
              </w:rPr>
              <w:br/>
            </w:r>
            <w:r>
              <w:rPr>
                <w:rFonts w:ascii="Courier New" w:hAnsi="Courier New"/>
                <w:sz w:val="17"/>
              </w:rPr>
              <w:t>## Players</w:t>
            </w:r>
            <w:r>
              <w:rPr>
                <w:rFonts w:ascii="Arial" w:hAnsi="Arial"/>
              </w:rPr>
              <w:br/>
            </w:r>
            <w:r>
              <w:rPr>
                <w:rFonts w:ascii="Courier New" w:hAnsi="Courier New"/>
                <w:sz w:val="17"/>
              </w:rPr>
            </w:r>
            <w:r>
              <w:rPr>
                <w:rFonts w:ascii="Arial" w:hAnsi="Arial"/>
              </w:rPr>
              <w:br/>
            </w:r>
            <w:r>
              <w:rPr>
                <w:rFonts w:ascii="Courier New" w:hAnsi="Courier New"/>
                <w:sz w:val="17"/>
              </w:rPr>
              <w:t xml:space="preserve">**Minimum:** [number]  </w:t>
            </w:r>
            <w:r>
              <w:rPr>
                <w:rFonts w:ascii="Arial" w:hAnsi="Arial"/>
              </w:rPr>
              <w:br/>
            </w:r>
            <w:r>
              <w:rPr>
                <w:rFonts w:ascii="Courier New" w:hAnsi="Courier New"/>
                <w:sz w:val="17"/>
              </w:rPr>
              <w:t xml:space="preserve">**Ideal:** [number or range]  </w:t>
            </w:r>
            <w:r>
              <w:rPr>
                <w:rFonts w:ascii="Arial" w:hAnsi="Arial"/>
              </w:rPr>
              <w:br/>
            </w:r>
            <w:r>
              <w:rPr>
                <w:rFonts w:ascii="Courier New" w:hAnsi="Courier New"/>
                <w:sz w:val="17"/>
              </w:rPr>
              <w:t>**Maximum:** [number or Full Squad]</w:t>
            </w:r>
            <w:r>
              <w:rPr>
                <w:rFonts w:ascii="Arial" w:hAnsi="Arial"/>
              </w:rPr>
              <w:br/>
            </w:r>
            <w:r>
              <w:rPr>
                <w:rFonts w:ascii="Courier New" w:hAnsi="Courier New"/>
                <w:sz w:val="17"/>
              </w:rPr>
            </w:r>
            <w:r>
              <w:rPr>
                <w:rFonts w:ascii="Arial" w:hAnsi="Arial"/>
              </w:rPr>
              <w:br/>
            </w:r>
            <w:r>
              <w:rPr>
                <w:rFonts w:ascii="Courier New" w:hAnsi="Courier New"/>
                <w:sz w:val="17"/>
              </w:rPr>
              <w:t>## Ground Size</w:t>
            </w:r>
            <w:r>
              <w:rPr>
                <w:rFonts w:ascii="Arial" w:hAnsi="Arial"/>
              </w:rPr>
              <w:br/>
            </w:r>
            <w:r>
              <w:rPr>
                <w:rFonts w:ascii="Courier New" w:hAnsi="Courier New"/>
                <w:sz w:val="17"/>
              </w:rPr>
            </w:r>
            <w:r>
              <w:rPr>
                <w:rFonts w:ascii="Arial" w:hAnsi="Arial"/>
              </w:rPr>
              <w:br/>
            </w:r>
            <w:r>
              <w:rPr>
                <w:rFonts w:ascii="Courier New" w:hAnsi="Courier New"/>
                <w:sz w:val="17"/>
              </w:rPr>
              <w:t>[Dimensions or ground area]</w:t>
            </w:r>
            <w:r>
              <w:rPr>
                <w:rFonts w:ascii="Arial" w:hAnsi="Arial"/>
              </w:rPr>
              <w:br/>
            </w:r>
            <w:r>
              <w:rPr>
                <w:rFonts w:ascii="Courier New" w:hAnsi="Courier New"/>
                <w:sz w:val="17"/>
              </w:rPr>
            </w:r>
            <w:r>
              <w:rPr>
                <w:rFonts w:ascii="Arial" w:hAnsi="Arial"/>
              </w:rPr>
              <w:br/>
            </w:r>
            <w:r>
              <w:rPr>
                <w:rFonts w:ascii="Courier New" w:hAnsi="Courier New"/>
                <w:sz w:val="17"/>
              </w:rPr>
              <w:t>## Equipment</w:t>
            </w:r>
            <w:r>
              <w:rPr>
                <w:rFonts w:ascii="Arial" w:hAnsi="Arial"/>
              </w:rPr>
              <w:br/>
            </w:r>
            <w:r>
              <w:rPr>
                <w:rFonts w:ascii="Courier New" w:hAnsi="Courier New"/>
                <w:sz w:val="17"/>
              </w:rPr>
            </w:r>
            <w:r>
              <w:rPr>
                <w:rFonts w:ascii="Arial" w:hAnsi="Arial"/>
              </w:rPr>
              <w:br/>
            </w:r>
            <w:r>
              <w:rPr>
                <w:rFonts w:ascii="Courier New" w:hAnsi="Courier New"/>
                <w:sz w:val="17"/>
              </w:rPr>
              <w:t>- [Equipment]</w:t>
            </w:r>
            <w:r>
              <w:rPr>
                <w:rFonts w:ascii="Arial" w:hAnsi="Arial"/>
              </w:rPr>
              <w:br/>
            </w:r>
            <w:r>
              <w:rPr>
                <w:rFonts w:ascii="Courier New" w:hAnsi="Courier New"/>
                <w:sz w:val="17"/>
              </w:rPr>
              <w:t>- [Equipment]</w:t>
            </w:r>
            <w:r>
              <w:rPr>
                <w:rFonts w:ascii="Arial" w:hAnsi="Arial"/>
              </w:rPr>
              <w:br/>
            </w:r>
            <w:r>
              <w:rPr>
                <w:rFonts w:ascii="Courier New" w:hAnsi="Courier New"/>
                <w:sz w:val="17"/>
              </w:rPr>
            </w:r>
            <w:r>
              <w:rPr>
                <w:rFonts w:ascii="Arial" w:hAnsi="Arial"/>
              </w:rPr>
              <w:br/>
            </w:r>
            <w:r>
              <w:rPr>
                <w:rFonts w:ascii="Courier New" w:hAnsi="Courier New"/>
                <w:sz w:val="17"/>
              </w:rPr>
              <w:t>## Time</w:t>
            </w:r>
            <w:r>
              <w:rPr>
                <w:rFonts w:ascii="Arial" w:hAnsi="Arial"/>
              </w:rPr>
              <w:br/>
            </w:r>
            <w:r>
              <w:rPr>
                <w:rFonts w:ascii="Courier New" w:hAnsi="Courier New"/>
                <w:sz w:val="17"/>
              </w:rPr>
            </w:r>
            <w:r>
              <w:rPr>
                <w:rFonts w:ascii="Arial" w:hAnsi="Arial"/>
              </w:rPr>
              <w:br/>
            </w:r>
            <w:r>
              <w:rPr>
                <w:rFonts w:ascii="Courier New" w:hAnsi="Courier New"/>
                <w:sz w:val="17"/>
              </w:rPr>
              <w:t>[Recommended minutes]</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tcPr>
          <w:p>
            <w:pPr>
              <w:spacing w:after="0"/>
            </w:pPr>
            <w:r>
              <w:rPr>
                <w:rFonts w:ascii="Arial" w:hAnsi="Arial"/>
              </w:rPr>
            </w:r>
            <w:r>
              <w:rPr>
                <w:rFonts w:ascii="Courier New" w:hAnsi="Courier New"/>
                <w:sz w:val="17"/>
              </w:rPr>
              <w:t>## Physical Load</w:t>
            </w:r>
            <w:r>
              <w:rPr>
                <w:rFonts w:ascii="Arial" w:hAnsi="Arial"/>
              </w:rPr>
              <w:br/>
            </w:r>
            <w:r>
              <w:rPr>
                <w:rFonts w:ascii="Courier New" w:hAnsi="Courier New"/>
                <w:sz w:val="17"/>
              </w:rPr>
            </w:r>
            <w:r>
              <w:rPr>
                <w:rFonts w:ascii="Arial" w:hAnsi="Arial"/>
              </w:rPr>
              <w:br/>
            </w:r>
            <w:r>
              <w:rPr>
                <w:rFonts w:ascii="Courier New" w:hAnsi="Courier New"/>
                <w:sz w:val="17"/>
              </w:rPr>
              <w:t>[1–5] – [Descriptor]</w:t>
            </w:r>
            <w:r>
              <w:rPr>
                <w:rFonts w:ascii="Arial" w:hAnsi="Arial"/>
              </w:rPr>
              <w:br/>
            </w:r>
            <w:r>
              <w:rPr>
                <w:rFonts w:ascii="Courier New" w:hAnsi="Courier New"/>
                <w:sz w:val="17"/>
              </w:rPr>
            </w:r>
            <w:r>
              <w:rPr>
                <w:rFonts w:ascii="Arial" w:hAnsi="Arial"/>
              </w:rPr>
              <w:br/>
            </w:r>
            <w:r>
              <w:rPr>
                <w:rFonts w:ascii="Courier New" w:hAnsi="Courier New"/>
                <w:sz w:val="17"/>
              </w:rPr>
              <w:t>## Mental Load</w:t>
            </w:r>
            <w:r>
              <w:rPr>
                <w:rFonts w:ascii="Arial" w:hAnsi="Arial"/>
              </w:rPr>
              <w:br/>
            </w:r>
            <w:r>
              <w:rPr>
                <w:rFonts w:ascii="Courier New" w:hAnsi="Courier New"/>
                <w:sz w:val="17"/>
              </w:rPr>
            </w:r>
            <w:r>
              <w:rPr>
                <w:rFonts w:ascii="Arial" w:hAnsi="Arial"/>
              </w:rPr>
              <w:br/>
            </w:r>
            <w:r>
              <w:rPr>
                <w:rFonts w:ascii="Courier New" w:hAnsi="Courier New"/>
                <w:sz w:val="17"/>
              </w:rPr>
              <w:t>[1–5] – [Descriptor]</w:t>
            </w:r>
            <w:r>
              <w:rPr>
                <w:rFonts w:ascii="Arial" w:hAnsi="Arial"/>
              </w:rPr>
              <w:br/>
            </w:r>
            <w:r>
              <w:rPr>
                <w:rFonts w:ascii="Courier New" w:hAnsi="Courier New"/>
                <w:sz w:val="17"/>
              </w:rPr>
            </w:r>
            <w:r>
              <w:rPr>
                <w:rFonts w:ascii="Arial" w:hAnsi="Arial"/>
              </w:rPr>
              <w:br/>
            </w:r>
            <w:r>
              <w:rPr>
                <w:rFonts w:ascii="Courier New" w:hAnsi="Courier New"/>
                <w:sz w:val="17"/>
              </w:rPr>
              <w:t>## Contact</w:t>
            </w:r>
            <w:r>
              <w:rPr>
                <w:rFonts w:ascii="Arial" w:hAnsi="Arial"/>
              </w:rPr>
              <w:br/>
            </w:r>
            <w:r>
              <w:rPr>
                <w:rFonts w:ascii="Courier New" w:hAnsi="Courier New"/>
                <w:sz w:val="17"/>
              </w:rPr>
            </w:r>
            <w:r>
              <w:rPr>
                <w:rFonts w:ascii="Arial" w:hAnsi="Arial"/>
              </w:rPr>
              <w:br/>
            </w:r>
            <w:r>
              <w:rPr>
                <w:rFonts w:ascii="Courier New" w:hAnsi="Courier New"/>
                <w:sz w:val="17"/>
              </w:rPr>
              <w:t>[0–3] – [Descriptor]</w:t>
            </w:r>
            <w:r>
              <w:rPr>
                <w:rFonts w:ascii="Arial" w:hAnsi="Arial"/>
              </w:rPr>
              <w:br/>
            </w:r>
            <w:r>
              <w:rPr>
                <w:rFonts w:ascii="Courier New" w:hAnsi="Courier New"/>
                <w:sz w:val="17"/>
              </w:rPr>
            </w:r>
            <w:r>
              <w:rPr>
                <w:rFonts w:ascii="Arial" w:hAnsi="Arial"/>
              </w:rPr>
              <w:br/>
            </w:r>
            <w:r>
              <w:rPr>
                <w:rFonts w:ascii="Courier New" w:hAnsi="Courier New"/>
                <w:sz w:val="17"/>
              </w:rPr>
              <w:t>## Coaching Difficulty</w:t>
            </w:r>
            <w:r>
              <w:rPr>
                <w:rFonts w:ascii="Arial" w:hAnsi="Arial"/>
              </w:rPr>
              <w:br/>
            </w:r>
            <w:r>
              <w:rPr>
                <w:rFonts w:ascii="Courier New" w:hAnsi="Courier New"/>
                <w:sz w:val="17"/>
              </w:rPr>
            </w:r>
            <w:r>
              <w:rPr>
                <w:rFonts w:ascii="Arial" w:hAnsi="Arial"/>
              </w:rPr>
              <w:br/>
            </w:r>
            <w:r>
              <w:rPr>
                <w:rFonts w:ascii="Courier New" w:hAnsi="Courier New"/>
                <w:sz w:val="17"/>
              </w:rPr>
              <w:t>[1–5] – [Descriptor]</w:t>
            </w:r>
            <w:r>
              <w:rPr>
                <w:rFonts w:ascii="Arial" w:hAnsi="Arial"/>
              </w:rPr>
              <w:br/>
            </w:r>
            <w:r>
              <w:rPr>
                <w:rFonts w:ascii="Courier New" w:hAnsi="Courier New"/>
                <w:sz w:val="17"/>
              </w:rPr>
            </w:r>
            <w:r>
              <w:rPr>
                <w:rFonts w:ascii="Arial" w:hAnsi="Arial"/>
              </w:rPr>
              <w:br/>
            </w:r>
            <w:r>
              <w:rPr>
                <w:rFonts w:ascii="Courier New" w:hAnsi="Courier New"/>
                <w:sz w:val="17"/>
              </w:rPr>
              <w:t>## Session Placement</w:t>
            </w:r>
            <w:r>
              <w:rPr>
                <w:rFonts w:ascii="Arial" w:hAnsi="Arial"/>
              </w:rPr>
              <w:br/>
            </w:r>
            <w:r>
              <w:rPr>
                <w:rFonts w:ascii="Courier New" w:hAnsi="Courier New"/>
                <w:sz w:val="17"/>
              </w:rPr>
            </w:r>
            <w:r>
              <w:rPr>
                <w:rFonts w:ascii="Arial" w:hAnsi="Arial"/>
              </w:rPr>
              <w:br/>
            </w:r>
            <w:r>
              <w:rPr>
                <w:rFonts w:ascii="Courier New" w:hAnsi="Courier New"/>
                <w:sz w:val="17"/>
              </w:rPr>
              <w:t>- [Approved session placement]</w:t>
            </w:r>
            <w:r>
              <w:rPr>
                <w:rFonts w:ascii="Arial" w:hAnsi="Arial"/>
              </w:rPr>
              <w:br/>
            </w:r>
            <w:r>
              <w:rPr>
                <w:rFonts w:ascii="Courier New" w:hAnsi="Courier New"/>
                <w:sz w:val="17"/>
              </w:rPr>
              <w:t>- [Approved session placement]</w:t>
            </w:r>
            <w:r>
              <w:rPr>
                <w:rFonts w:ascii="Arial" w:hAnsi="Arial"/>
              </w:rPr>
              <w:br/>
            </w:r>
            <w:r>
              <w:rPr>
                <w:rFonts w:ascii="Courier New" w:hAnsi="Courier New"/>
                <w:sz w:val="17"/>
              </w:rPr>
            </w:r>
            <w:r>
              <w:rPr>
                <w:rFonts w:ascii="Arial" w:hAnsi="Arial"/>
              </w:rPr>
              <w:br/>
            </w:r>
            <w:r>
              <w:rPr>
                <w:rFonts w:ascii="Courier New" w:hAnsi="Courier New"/>
                <w:sz w:val="17"/>
              </w:rPr>
              <w:t>## Setup</w:t>
            </w:r>
            <w:r>
              <w:rPr>
                <w:rFonts w:ascii="Arial" w:hAnsi="Arial"/>
              </w:rPr>
              <w:br/>
            </w:r>
            <w:r>
              <w:rPr>
                <w:rFonts w:ascii="Courier New" w:hAnsi="Courier New"/>
                <w:sz w:val="17"/>
              </w:rPr>
            </w:r>
            <w:r>
              <w:rPr>
                <w:rFonts w:ascii="Arial" w:hAnsi="Arial"/>
              </w:rPr>
              <w:br/>
            </w:r>
            <w:r>
              <w:rPr>
                <w:rFonts w:ascii="Courier New" w:hAnsi="Courier New"/>
                <w:sz w:val="17"/>
              </w:rPr>
              <w:t>- [Clear field layout and starting positions]</w:t>
            </w:r>
            <w:r>
              <w:rPr>
                <w:rFonts w:ascii="Arial" w:hAnsi="Arial"/>
              </w:rPr>
              <w:br/>
            </w:r>
            <w:r>
              <w:rPr>
                <w:rFonts w:ascii="Courier New" w:hAnsi="Courier New"/>
                <w:sz w:val="17"/>
              </w:rPr>
              <w:t>- [Teams, roles, numbers and constraints]</w:t>
            </w:r>
            <w:r>
              <w:rPr>
                <w:rFonts w:ascii="Arial" w:hAnsi="Arial"/>
              </w:rPr>
              <w:br/>
            </w:r>
            <w:r>
              <w:rPr>
                <w:rFonts w:ascii="Courier New" w:hAnsi="Courier New"/>
                <w:sz w:val="17"/>
              </w:rPr>
              <w:t>- [Targets, scoring zones or reset positions]</w:t>
            </w:r>
            <w:r>
              <w:rPr>
                <w:rFonts w:ascii="Arial" w:hAnsi="Arial"/>
              </w:rPr>
              <w:br/>
            </w:r>
            <w:r>
              <w:rPr>
                <w:rFonts w:ascii="Courier New" w:hAnsi="Courier New"/>
                <w:sz w:val="17"/>
              </w:rPr>
            </w:r>
            <w:r>
              <w:rPr>
                <w:rFonts w:ascii="Arial" w:hAnsi="Arial"/>
              </w:rPr>
              <w:br/>
            </w:r>
            <w:r>
              <w:rPr>
                <w:rFonts w:ascii="Courier New" w:hAnsi="Courier New"/>
                <w:sz w:val="17"/>
              </w:rPr>
              <w:t>## How the Drill Works</w:t>
            </w:r>
            <w:r>
              <w:rPr>
                <w:rFonts w:ascii="Arial" w:hAnsi="Arial"/>
              </w:rPr>
              <w:br/>
            </w:r>
            <w:r>
              <w:rPr>
                <w:rFonts w:ascii="Courier New" w:hAnsi="Courier New"/>
                <w:sz w:val="17"/>
              </w:rPr>
            </w:r>
            <w:r>
              <w:rPr>
                <w:rFonts w:ascii="Arial" w:hAnsi="Arial"/>
              </w:rPr>
              <w:br/>
            </w:r>
            <w:r>
              <w:rPr>
                <w:rFonts w:ascii="Courier New" w:hAnsi="Courier New"/>
                <w:sz w:val="17"/>
              </w:rPr>
              <w:t>1. [Starting action]</w:t>
            </w:r>
            <w:r>
              <w:rPr>
                <w:rFonts w:ascii="Arial" w:hAnsi="Arial"/>
              </w:rPr>
              <w:br/>
            </w:r>
            <w:r>
              <w:rPr>
                <w:rFonts w:ascii="Courier New" w:hAnsi="Courier New"/>
                <w:sz w:val="17"/>
              </w:rPr>
              <w:t>2. [Player movement and skill execution]</w:t>
            </w:r>
            <w:r>
              <w:rPr>
                <w:rFonts w:ascii="Arial" w:hAnsi="Arial"/>
              </w:rPr>
              <w:br/>
            </w:r>
            <w:r>
              <w:rPr>
                <w:rFonts w:ascii="Courier New" w:hAnsi="Courier New"/>
                <w:sz w:val="17"/>
              </w:rPr>
              <w:t>3. [Decision or pressure rule]</w:t>
            </w:r>
            <w:r>
              <w:rPr>
                <w:rFonts w:ascii="Arial" w:hAnsi="Arial"/>
              </w:rPr>
              <w:br/>
            </w:r>
            <w:r>
              <w:rPr>
                <w:rFonts w:ascii="Courier New" w:hAnsi="Courier New"/>
                <w:sz w:val="17"/>
              </w:rPr>
              <w:t>4. [Scoring or success outcome]</w:t>
            </w:r>
            <w:r>
              <w:rPr>
                <w:rFonts w:ascii="Arial" w:hAnsi="Arial"/>
              </w:rPr>
              <w:br/>
            </w:r>
            <w:r>
              <w:rPr>
                <w:rFonts w:ascii="Courier New" w:hAnsi="Courier New"/>
                <w:sz w:val="17"/>
              </w:rPr>
              <w:t>5. [Reset and rotation]</w:t>
            </w:r>
            <w:r>
              <w:rPr>
                <w:rFonts w:ascii="Arial" w:hAnsi="Arial"/>
              </w:rPr>
              <w:br/>
            </w:r>
            <w:r>
              <w:rPr>
                <w:rFonts w:ascii="Courier New" w:hAnsi="Courier New"/>
                <w:sz w:val="17"/>
              </w:rPr>
            </w:r>
            <w:r>
              <w:rPr>
                <w:rFonts w:ascii="Arial" w:hAnsi="Arial"/>
              </w:rPr>
              <w:br/>
            </w:r>
            <w:r>
              <w:rPr>
                <w:rFonts w:ascii="Courier New" w:hAnsi="Courier New"/>
                <w:sz w:val="17"/>
              </w:rPr>
              <w:t>## Coaching Points</w:t>
            </w:r>
            <w:r>
              <w:rPr>
                <w:rFonts w:ascii="Arial" w:hAnsi="Arial"/>
              </w:rPr>
              <w:br/>
            </w:r>
            <w:r>
              <w:rPr>
                <w:rFonts w:ascii="Courier New" w:hAnsi="Courier New"/>
                <w:sz w:val="17"/>
              </w:rPr>
            </w:r>
            <w:r>
              <w:rPr>
                <w:rFonts w:ascii="Arial" w:hAnsi="Arial"/>
              </w:rPr>
              <w:br/>
            </w:r>
            <w:r>
              <w:rPr>
                <w:rFonts w:ascii="Courier New" w:hAnsi="Courier New"/>
                <w:sz w:val="17"/>
              </w:rPr>
              <w:t>- [Specific technical or tactical point]</w:t>
            </w:r>
            <w:r>
              <w:rPr>
                <w:rFonts w:ascii="Arial" w:hAnsi="Arial"/>
              </w:rPr>
              <w:br/>
            </w:r>
            <w:r>
              <w:rPr>
                <w:rFonts w:ascii="Courier New" w:hAnsi="Courier New"/>
                <w:sz w:val="17"/>
              </w:rPr>
              <w:t>- [Specific technical or tactical point]</w:t>
            </w:r>
            <w:r>
              <w:rPr>
                <w:rFonts w:ascii="Arial" w:hAnsi="Arial"/>
              </w:rPr>
              <w:br/>
            </w:r>
            <w:r>
              <w:rPr>
                <w:rFonts w:ascii="Courier New" w:hAnsi="Courier New"/>
                <w:sz w:val="17"/>
              </w:rPr>
              <w:t>- [Specific technical or tactical point]</w:t>
            </w:r>
            <w:r>
              <w:rPr>
                <w:rFonts w:ascii="Arial" w:hAnsi="Arial"/>
              </w:rPr>
              <w:br/>
            </w:r>
            <w:r>
              <w:rPr>
                <w:rFonts w:ascii="Courier New" w:hAnsi="Courier New"/>
                <w:sz w:val="17"/>
              </w:rPr>
              <w:t>- [Specific technical or tactical point]</w:t>
            </w:r>
            <w:r>
              <w:rPr>
                <w:rFonts w:ascii="Arial" w:hAnsi="Arial"/>
              </w:rPr>
              <w:br/>
            </w:r>
            <w:r>
              <w:rPr>
                <w:rFonts w:ascii="Courier New" w:hAnsi="Courier New"/>
                <w:sz w:val="17"/>
              </w:rPr>
              <w:t>- [Specific technical or tactical point]</w:t>
            </w:r>
            <w:r>
              <w:rPr>
                <w:rFonts w:ascii="Arial" w:hAnsi="Arial"/>
              </w:rPr>
              <w:br/>
            </w:r>
            <w:r>
              <w:rPr>
                <w:rFonts w:ascii="Courier New" w:hAnsi="Courier New"/>
                <w:sz w:val="17"/>
              </w:rPr>
            </w:r>
            <w:r>
              <w:rPr>
                <w:rFonts w:ascii="Arial" w:hAnsi="Arial"/>
              </w:rPr>
              <w:br/>
            </w:r>
            <w:r>
              <w:rPr>
                <w:rFonts w:ascii="Courier New" w:hAnsi="Courier New"/>
                <w:sz w:val="17"/>
              </w:rPr>
              <w:t>## Coaching Cues</w:t>
            </w:r>
            <w:r>
              <w:rPr>
                <w:rFonts w:ascii="Arial" w:hAnsi="Arial"/>
              </w:rPr>
              <w:br/>
            </w:r>
            <w:r>
              <w:rPr>
                <w:rFonts w:ascii="Courier New" w:hAnsi="Courier New"/>
                <w:sz w:val="17"/>
              </w:rPr>
            </w:r>
            <w:r>
              <w:rPr>
                <w:rFonts w:ascii="Arial" w:hAnsi="Arial"/>
              </w:rPr>
              <w:br/>
            </w:r>
            <w:r>
              <w:rPr>
                <w:rFonts w:ascii="Courier New" w:hAnsi="Courier New"/>
                <w:sz w:val="17"/>
              </w:rPr>
              <w:t>- “[Short live cue]”</w:t>
            </w:r>
            <w:r>
              <w:rPr>
                <w:rFonts w:ascii="Arial" w:hAnsi="Arial"/>
              </w:rPr>
              <w:br/>
            </w:r>
            <w:r>
              <w:rPr>
                <w:rFonts w:ascii="Courier New" w:hAnsi="Courier New"/>
                <w:sz w:val="17"/>
              </w:rPr>
              <w:t>- “[Short live cue]”</w:t>
            </w:r>
            <w:r>
              <w:rPr>
                <w:rFonts w:ascii="Arial" w:hAnsi="Arial"/>
              </w:rPr>
              <w:br/>
            </w:r>
            <w:r>
              <w:rPr>
                <w:rFonts w:ascii="Courier New" w:hAnsi="Courier New"/>
                <w:sz w:val="17"/>
              </w:rPr>
              <w:t>- “[Short live cue]”</w:t>
            </w:r>
            <w:r>
              <w:rPr>
                <w:rFonts w:ascii="Arial" w:hAnsi="Arial"/>
              </w:rPr>
              <w:br/>
            </w:r>
            <w:r>
              <w:rPr>
                <w:rFonts w:ascii="Courier New" w:hAnsi="Courier New"/>
                <w:sz w:val="17"/>
              </w:rPr>
            </w:r>
            <w:r>
              <w:rPr>
                <w:rFonts w:ascii="Arial" w:hAnsi="Arial"/>
              </w:rPr>
              <w:br/>
            </w:r>
            <w:r>
              <w:rPr>
                <w:rFonts w:ascii="Courier New" w:hAnsi="Courier New"/>
                <w:sz w:val="17"/>
              </w:rPr>
              <w:t>## What the Coach Should Observe</w:t>
            </w:r>
            <w:r>
              <w:rPr>
                <w:rFonts w:ascii="Arial" w:hAnsi="Arial"/>
              </w:rPr>
              <w:br/>
            </w:r>
            <w:r>
              <w:rPr>
                <w:rFonts w:ascii="Courier New" w:hAnsi="Courier New"/>
                <w:sz w:val="17"/>
              </w:rPr>
            </w:r>
            <w:r>
              <w:rPr>
                <w:rFonts w:ascii="Arial" w:hAnsi="Arial"/>
              </w:rPr>
              <w:br/>
            </w:r>
            <w:r>
              <w:rPr>
                <w:rFonts w:ascii="Courier New" w:hAnsi="Courier New"/>
                <w:sz w:val="17"/>
              </w:rPr>
              <w:t>Observe:</w:t>
            </w:r>
            <w:r>
              <w:rPr>
                <w:rFonts w:ascii="Arial" w:hAnsi="Arial"/>
              </w:rPr>
              <w:br/>
            </w:r>
            <w:r>
              <w:rPr>
                <w:rFonts w:ascii="Courier New" w:hAnsi="Courier New"/>
                <w:sz w:val="17"/>
              </w:rPr>
            </w:r>
            <w:r>
              <w:rPr>
                <w:rFonts w:ascii="Arial" w:hAnsi="Arial"/>
              </w:rPr>
              <w:br/>
            </w:r>
            <w:r>
              <w:rPr>
                <w:rFonts w:ascii="Courier New" w:hAnsi="Courier New"/>
                <w:sz w:val="17"/>
              </w:rPr>
              <w:t>- [Observable behaviour]</w:t>
            </w:r>
            <w:r>
              <w:rPr>
                <w:rFonts w:ascii="Arial" w:hAnsi="Arial"/>
              </w:rPr>
              <w:br/>
            </w:r>
            <w:r>
              <w:rPr>
                <w:rFonts w:ascii="Courier New" w:hAnsi="Courier New"/>
                <w:sz w:val="17"/>
              </w:rPr>
              <w:t>- [Observable behaviour]</w:t>
            </w:r>
            <w:r>
              <w:rPr>
                <w:rFonts w:ascii="Arial" w:hAnsi="Arial"/>
              </w:rPr>
              <w:br/>
            </w:r>
            <w:r>
              <w:rPr>
                <w:rFonts w:ascii="Courier New" w:hAnsi="Courier New"/>
                <w:sz w:val="17"/>
              </w:rPr>
              <w:t>- [Observable behaviour]</w:t>
            </w:r>
            <w:r>
              <w:rPr>
                <w:rFonts w:ascii="Arial" w:hAnsi="Arial"/>
              </w:rPr>
              <w:br/>
            </w:r>
            <w:r>
              <w:rPr>
                <w:rFonts w:ascii="Courier New" w:hAnsi="Courier New"/>
                <w:sz w:val="17"/>
              </w:rPr>
              <w:t>- [Observable behaviour]</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Mar>
              <w:top w:w="140" w:type="dxa"/>
              <w:start w:w="160" w:type="dxa"/>
              <w:bottom w:w="140" w:type="dxa"/>
              <w:end w:w="160" w:type="dxa"/>
            </w:tcMar>
          </w:tcPr>
          <w:p>
            <w:pPr>
              <w:spacing w:after="0"/>
            </w:pPr>
            <w:r>
              <w:rPr>
                <w:rFonts w:ascii="Arial" w:hAnsi="Arial"/>
              </w:rPr>
            </w:r>
            <w:r>
              <w:rPr>
                <w:rFonts w:ascii="Courier New" w:hAnsi="Courier New"/>
                <w:sz w:val="17"/>
              </w:rPr>
              <w:t>## Common Errors</w:t>
            </w:r>
            <w:r>
              <w:rPr>
                <w:rFonts w:ascii="Arial" w:hAnsi="Arial"/>
              </w:rPr>
              <w:br/>
            </w:r>
            <w:r>
              <w:rPr>
                <w:rFonts w:ascii="Courier New" w:hAnsi="Courier New"/>
                <w:sz w:val="17"/>
              </w:rPr>
            </w:r>
            <w:r>
              <w:rPr>
                <w:rFonts w:ascii="Arial" w:hAnsi="Arial"/>
              </w:rPr>
              <w:br/>
            </w:r>
            <w:r>
              <w:rPr>
                <w:rFonts w:ascii="Courier New" w:hAnsi="Courier New"/>
                <w:sz w:val="17"/>
              </w:rPr>
              <w:t>| Common Error | Coaching Correction |</w:t>
            </w:r>
            <w:r>
              <w:rPr>
                <w:rFonts w:ascii="Arial" w:hAnsi="Arial"/>
              </w:rPr>
              <w:br/>
            </w:r>
            <w:r>
              <w:rPr>
                <w:rFonts w:ascii="Courier New" w:hAnsi="Courier New"/>
                <w:sz w:val="17"/>
              </w:rPr>
              <w:t>|---|---|</w:t>
            </w:r>
            <w:r>
              <w:rPr>
                <w:rFonts w:ascii="Arial" w:hAnsi="Arial"/>
              </w:rPr>
              <w:br/>
            </w:r>
            <w:r>
              <w:rPr>
                <w:rFonts w:ascii="Courier New" w:hAnsi="Courier New"/>
                <w:sz w:val="17"/>
              </w:rPr>
              <w:t>| [Error] | [Direct correction] |</w:t>
            </w:r>
            <w:r>
              <w:rPr>
                <w:rFonts w:ascii="Arial" w:hAnsi="Arial"/>
              </w:rPr>
              <w:br/>
            </w:r>
            <w:r>
              <w:rPr>
                <w:rFonts w:ascii="Courier New" w:hAnsi="Courier New"/>
                <w:sz w:val="17"/>
              </w:rPr>
              <w:t>| [Error] | [Direct correction] |</w:t>
            </w:r>
            <w:r>
              <w:rPr>
                <w:rFonts w:ascii="Arial" w:hAnsi="Arial"/>
              </w:rPr>
              <w:br/>
            </w:r>
            <w:r>
              <w:rPr>
                <w:rFonts w:ascii="Courier New" w:hAnsi="Courier New"/>
                <w:sz w:val="17"/>
              </w:rPr>
              <w:t>| [Error] | [Direct correction] |</w:t>
            </w:r>
            <w:r>
              <w:rPr>
                <w:rFonts w:ascii="Arial" w:hAnsi="Arial"/>
              </w:rPr>
              <w:br/>
            </w:r>
            <w:r>
              <w:rPr>
                <w:rFonts w:ascii="Courier New" w:hAnsi="Courier New"/>
                <w:sz w:val="17"/>
              </w:rPr>
            </w:r>
            <w:r>
              <w:rPr>
                <w:rFonts w:ascii="Arial" w:hAnsi="Arial"/>
              </w:rPr>
              <w:br/>
            </w:r>
            <w:r>
              <w:rPr>
                <w:rFonts w:ascii="Courier New" w:hAnsi="Courier New"/>
                <w:sz w:val="17"/>
              </w:rPr>
              <w:t>## Progressions</w:t>
            </w:r>
            <w:r>
              <w:rPr>
                <w:rFonts w:ascii="Arial" w:hAnsi="Arial"/>
              </w:rPr>
              <w:br/>
            </w:r>
            <w:r>
              <w:rPr>
                <w:rFonts w:ascii="Courier New" w:hAnsi="Courier New"/>
                <w:sz w:val="17"/>
              </w:rPr>
            </w:r>
            <w:r>
              <w:rPr>
                <w:rFonts w:ascii="Arial" w:hAnsi="Arial"/>
              </w:rPr>
              <w:br/>
            </w:r>
            <w:r>
              <w:rPr>
                <w:rFonts w:ascii="Courier New" w:hAnsi="Courier New"/>
                <w:sz w:val="17"/>
              </w:rPr>
              <w:t>- [Increase pressure, speed, complexity or realism]</w:t>
            </w:r>
            <w:r>
              <w:rPr>
                <w:rFonts w:ascii="Arial" w:hAnsi="Arial"/>
              </w:rPr>
              <w:br/>
            </w:r>
            <w:r>
              <w:rPr>
                <w:rFonts w:ascii="Courier New" w:hAnsi="Courier New"/>
                <w:sz w:val="17"/>
              </w:rPr>
              <w:t>- [Progression]</w:t>
            </w:r>
            <w:r>
              <w:rPr>
                <w:rFonts w:ascii="Arial" w:hAnsi="Arial"/>
              </w:rPr>
              <w:br/>
            </w:r>
            <w:r>
              <w:rPr>
                <w:rFonts w:ascii="Courier New" w:hAnsi="Courier New"/>
                <w:sz w:val="17"/>
              </w:rPr>
              <w:t>- [Progression]</w:t>
            </w:r>
            <w:r>
              <w:rPr>
                <w:rFonts w:ascii="Arial" w:hAnsi="Arial"/>
              </w:rPr>
              <w:br/>
            </w:r>
            <w:r>
              <w:rPr>
                <w:rFonts w:ascii="Courier New" w:hAnsi="Courier New"/>
                <w:sz w:val="17"/>
              </w:rPr>
            </w:r>
            <w:r>
              <w:rPr>
                <w:rFonts w:ascii="Arial" w:hAnsi="Arial"/>
              </w:rPr>
              <w:br/>
            </w:r>
            <w:r>
              <w:rPr>
                <w:rFonts w:ascii="Courier New" w:hAnsi="Courier New"/>
                <w:sz w:val="17"/>
              </w:rPr>
              <w:t>## Regressions</w:t>
            </w:r>
            <w:r>
              <w:rPr>
                <w:rFonts w:ascii="Arial" w:hAnsi="Arial"/>
              </w:rPr>
              <w:br/>
            </w:r>
            <w:r>
              <w:rPr>
                <w:rFonts w:ascii="Courier New" w:hAnsi="Courier New"/>
                <w:sz w:val="17"/>
              </w:rPr>
            </w:r>
            <w:r>
              <w:rPr>
                <w:rFonts w:ascii="Arial" w:hAnsi="Arial"/>
              </w:rPr>
              <w:br/>
            </w:r>
            <w:r>
              <w:rPr>
                <w:rFonts w:ascii="Courier New" w:hAnsi="Courier New"/>
                <w:sz w:val="17"/>
              </w:rPr>
              <w:t>- [Reduce pressure, space or decision demand]</w:t>
            </w:r>
            <w:r>
              <w:rPr>
                <w:rFonts w:ascii="Arial" w:hAnsi="Arial"/>
              </w:rPr>
              <w:br/>
            </w:r>
            <w:r>
              <w:rPr>
                <w:rFonts w:ascii="Courier New" w:hAnsi="Courier New"/>
                <w:sz w:val="17"/>
              </w:rPr>
              <w:t>- [Regression]</w:t>
            </w:r>
            <w:r>
              <w:rPr>
                <w:rFonts w:ascii="Arial" w:hAnsi="Arial"/>
              </w:rPr>
              <w:br/>
            </w:r>
            <w:r>
              <w:rPr>
                <w:rFonts w:ascii="Courier New" w:hAnsi="Courier New"/>
                <w:sz w:val="17"/>
              </w:rPr>
              <w:t>- [Regression]</w:t>
            </w:r>
            <w:r>
              <w:rPr>
                <w:rFonts w:ascii="Arial" w:hAnsi="Arial"/>
              </w:rPr>
              <w:br/>
            </w:r>
            <w:r>
              <w:rPr>
                <w:rFonts w:ascii="Courier New" w:hAnsi="Courier New"/>
                <w:sz w:val="17"/>
              </w:rPr>
            </w:r>
            <w:r>
              <w:rPr>
                <w:rFonts w:ascii="Arial" w:hAnsi="Arial"/>
              </w:rPr>
              <w:br/>
            </w:r>
            <w:r>
              <w:rPr>
                <w:rFonts w:ascii="Courier New" w:hAnsi="Courier New"/>
                <w:sz w:val="17"/>
              </w:rPr>
              <w:t>## Success Indicators</w:t>
            </w:r>
            <w:r>
              <w:rPr>
                <w:rFonts w:ascii="Arial" w:hAnsi="Arial"/>
              </w:rPr>
              <w:br/>
            </w:r>
            <w:r>
              <w:rPr>
                <w:rFonts w:ascii="Courier New" w:hAnsi="Courier New"/>
                <w:sz w:val="17"/>
              </w:rPr>
            </w:r>
            <w:r>
              <w:rPr>
                <w:rFonts w:ascii="Arial" w:hAnsi="Arial"/>
              </w:rPr>
              <w:br/>
            </w:r>
            <w:r>
              <w:rPr>
                <w:rFonts w:ascii="Courier New" w:hAnsi="Courier New"/>
                <w:sz w:val="17"/>
              </w:rPr>
              <w:t>Players consistently:</w:t>
            </w:r>
            <w:r>
              <w:rPr>
                <w:rFonts w:ascii="Arial" w:hAnsi="Arial"/>
              </w:rPr>
              <w:br/>
            </w:r>
            <w:r>
              <w:rPr>
                <w:rFonts w:ascii="Courier New" w:hAnsi="Courier New"/>
                <w:sz w:val="17"/>
              </w:rPr>
            </w:r>
            <w:r>
              <w:rPr>
                <w:rFonts w:ascii="Arial" w:hAnsi="Arial"/>
              </w:rPr>
              <w:br/>
            </w:r>
            <w:r>
              <w:rPr>
                <w:rFonts w:ascii="Courier New" w:hAnsi="Courier New"/>
                <w:sz w:val="17"/>
              </w:rPr>
              <w:t>- [Observable success]</w:t>
            </w:r>
            <w:r>
              <w:rPr>
                <w:rFonts w:ascii="Arial" w:hAnsi="Arial"/>
              </w:rPr>
              <w:br/>
            </w:r>
            <w:r>
              <w:rPr>
                <w:rFonts w:ascii="Courier New" w:hAnsi="Courier New"/>
                <w:sz w:val="17"/>
              </w:rPr>
              <w:t>- [Observable success]</w:t>
            </w:r>
            <w:r>
              <w:rPr>
                <w:rFonts w:ascii="Arial" w:hAnsi="Arial"/>
              </w:rPr>
              <w:br/>
            </w:r>
            <w:r>
              <w:rPr>
                <w:rFonts w:ascii="Courier New" w:hAnsi="Courier New"/>
                <w:sz w:val="17"/>
              </w:rPr>
              <w:t>- [Observable success]</w:t>
            </w:r>
            <w:r>
              <w:rPr>
                <w:rFonts w:ascii="Arial" w:hAnsi="Arial"/>
              </w:rPr>
              <w:br/>
            </w:r>
            <w:r>
              <w:rPr>
                <w:rFonts w:ascii="Courier New" w:hAnsi="Courier New"/>
                <w:sz w:val="17"/>
              </w:rPr>
            </w:r>
            <w:r>
              <w:rPr>
                <w:rFonts w:ascii="Arial" w:hAnsi="Arial"/>
              </w:rPr>
              <w:br/>
            </w:r>
            <w:r>
              <w:rPr>
                <w:rFonts w:ascii="Courier New" w:hAnsi="Courier New"/>
                <w:sz w:val="17"/>
              </w:rPr>
              <w:t>## Match Application</w:t>
            </w:r>
            <w:r>
              <w:rPr>
                <w:rFonts w:ascii="Arial" w:hAnsi="Arial"/>
              </w:rPr>
              <w:br/>
            </w:r>
            <w:r>
              <w:rPr>
                <w:rFonts w:ascii="Courier New" w:hAnsi="Courier New"/>
                <w:sz w:val="17"/>
              </w:rPr>
            </w:r>
            <w:r>
              <w:rPr>
                <w:rFonts w:ascii="Arial" w:hAnsi="Arial"/>
              </w:rPr>
              <w:br/>
            </w:r>
            <w:r>
              <w:rPr>
                <w:rFonts w:ascii="Courier New" w:hAnsi="Courier New"/>
                <w:sz w:val="17"/>
              </w:rPr>
              <w:t>[Explain the direct Australian football match situation replicated by the drill.]</w:t>
            </w:r>
            <w:r>
              <w:rPr>
                <w:rFonts w:ascii="Arial" w:hAnsi="Arial"/>
              </w:rPr>
              <w:br/>
            </w:r>
            <w:r>
              <w:rPr>
                <w:rFonts w:ascii="Courier New" w:hAnsi="Courier New"/>
                <w:sz w:val="17"/>
              </w:rPr>
            </w:r>
            <w:r>
              <w:rPr>
                <w:rFonts w:ascii="Arial" w:hAnsi="Arial"/>
              </w:rPr>
              <w:br/>
            </w:r>
            <w:r>
              <w:rPr>
                <w:rFonts w:ascii="Courier New" w:hAnsi="Courier New"/>
                <w:sz w:val="17"/>
              </w:rPr>
              <w:t>## Related Drills</w:t>
            </w:r>
            <w:r>
              <w:rPr>
                <w:rFonts w:ascii="Arial" w:hAnsi="Arial"/>
              </w:rPr>
              <w:br/>
            </w:r>
            <w:r>
              <w:rPr>
                <w:rFonts w:ascii="Courier New" w:hAnsi="Courier New"/>
                <w:sz w:val="17"/>
              </w:rPr>
            </w:r>
            <w:r>
              <w:rPr>
                <w:rFonts w:ascii="Arial" w:hAnsi="Arial"/>
              </w:rPr>
              <w:br/>
            </w:r>
            <w:r>
              <w:rPr>
                <w:rFonts w:ascii="Courier New" w:hAnsi="Courier New"/>
                <w:sz w:val="17"/>
              </w:rPr>
              <w:t>- [ID] – [Exact drill title]</w:t>
            </w:r>
            <w:r>
              <w:rPr>
                <w:rFonts w:ascii="Arial" w:hAnsi="Arial"/>
              </w:rPr>
              <w:br/>
            </w:r>
            <w:r>
              <w:rPr>
                <w:rFonts w:ascii="Courier New" w:hAnsi="Courier New"/>
                <w:sz w:val="17"/>
              </w:rPr>
              <w:t>- [ID] – [Exact drill title]</w:t>
            </w:r>
            <w:r>
              <w:rPr>
                <w:rFonts w:ascii="Arial" w:hAnsi="Arial"/>
              </w:rPr>
              <w:br/>
            </w:r>
            <w:r>
              <w:rPr>
                <w:rFonts w:ascii="Courier New" w:hAnsi="Courier New"/>
                <w:sz w:val="17"/>
              </w:rPr>
              <w:t>- [ID] – [Exact drill title]</w:t>
            </w:r>
          </w:p>
        </w:tc>
      </w:tr>
    </w:tbl>
    <w:p/>
    <w:p>
      <w:pPr>
        <w:pStyle w:val="Heading1"/>
        <w:keepNext/>
      </w:pPr>
      <w:r>
        <w:t>Appendix A – Approved Terminology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Preferred AFL Language</w:t>
            </w:r>
          </w:p>
        </w:tc>
        <w:tc>
          <w:tcPr>
            <w:tcW w:type="dxa" w:w="691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Guidance</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football</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ball when clarity requires “football”</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handball</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hand pass / throw</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defence / defensive</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defense</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centre / centred</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center / centered</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metres</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meters</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inside 50</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red zone</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defensive 50</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backfield</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corridor</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middle lane when corridor is the standard tactical term</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stoppage</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face-off / scrimmage</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mark</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catch when describing an official Australian football mark</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kick-in</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goal-line restart</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spoiling</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swatting</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boundary</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sideline</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forward entry</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offensive entry</w:t>
            </w:r>
          </w:p>
        </w:tc>
      </w:tr>
      <w:tr>
        <w:trPr>
          <w:cantSplit/>
        </w:trPr>
        <w:tc>
          <w:tcPr>
            <w:tcW w:type="dxa" w:w="2880"/>
            <w:vAlign w:val="center"/>
            <w:tcMar>
              <w:top w:w="80" w:type="dxa"/>
              <w:start w:w="100" w:type="dxa"/>
              <w:bottom w:w="80" w:type="dxa"/>
              <w:end w:w="100" w:type="dxa"/>
            </w:tcMar>
          </w:tcPr>
          <w:p>
            <w:pPr>
              <w:spacing w:after="0"/>
            </w:pPr>
            <w:r>
              <w:rPr>
                <w:rFonts w:ascii="Arial" w:hAnsi="Arial"/>
              </w:rPr>
            </w:r>
            <w:r>
              <w:rPr>
                <w:rFonts w:ascii="Arial" w:hAnsi="Arial"/>
                <w:b w:val="0"/>
                <w:sz w:val="18"/>
              </w:rPr>
              <w:t>turnover</w:t>
            </w:r>
          </w:p>
        </w:tc>
        <w:tc>
          <w:tcPr>
            <w:tcW w:type="dxa" w:w="6912"/>
            <w:vAlign w:val="center"/>
            <w:tcMar>
              <w:top w:w="80" w:type="dxa"/>
              <w:start w:w="100" w:type="dxa"/>
              <w:bottom w:w="80" w:type="dxa"/>
              <w:end w:w="100" w:type="dxa"/>
            </w:tcMar>
          </w:tcPr>
          <w:p>
            <w:pPr>
              <w:spacing w:after="0"/>
            </w:pPr>
            <w:r>
              <w:rPr>
                <w:rFonts w:ascii="Arial" w:hAnsi="Arial"/>
              </w:rPr>
            </w:r>
            <w:r>
              <w:rPr>
                <w:rFonts w:ascii="Arial" w:hAnsi="Arial"/>
                <w:b w:val="0"/>
                <w:sz w:val="18"/>
              </w:rPr>
              <w:t>giveaway may be used only as explanatory wording</w:t>
            </w:r>
          </w:p>
        </w:tc>
      </w:tr>
      <w:tr>
        <w:trPr>
          <w:cantSplit/>
        </w:trPr>
        <w:tc>
          <w:tcPr>
            <w:tcW w:type="dxa" w:w="288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receiver</w:t>
            </w:r>
          </w:p>
        </w:tc>
        <w:tc>
          <w:tcPr>
            <w:tcW w:type="dxa" w:w="691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target player where either term is more precise</w:t>
            </w:r>
          </w:p>
        </w:tc>
      </w:tr>
    </w:tbl>
    <w:p>
      <w:pPr>
        <w:spacing w:after="0"/>
      </w:pPr>
    </w:p>
    <w:p>
      <w:pPr>
        <w:pStyle w:val="Heading1"/>
        <w:keepNext/>
      </w:pPr>
      <w:r>
        <w:t>Appendix B – Chapter Planning Worksheet</w:t>
      </w:r>
    </w:p>
    <w:p>
      <w:pPr>
        <w:spacing w:after="80"/>
      </w:pPr>
      <w:r>
        <w:rPr>
          <w:b/>
        </w:rPr>
        <w:t xml:space="preserve">Chapter: </w:t>
      </w:r>
      <w:r>
        <w:t>[Name]</w:t>
      </w:r>
    </w:p>
    <w:p>
      <w:pPr>
        <w:spacing w:after="80"/>
      </w:pPr>
      <w:r>
        <w:rPr>
          <w:b/>
        </w:rPr>
        <w:t xml:space="preserve">Prefix: </w:t>
      </w:r>
      <w:r>
        <w:t>[Two letters]</w:t>
      </w:r>
    </w:p>
    <w:p>
      <w:pPr>
        <w:spacing w:after="80"/>
      </w:pPr>
      <w:r>
        <w:rPr>
          <w:b/>
        </w:rPr>
        <w:t xml:space="preserve">Target drill range: </w:t>
      </w:r>
      <w:r>
        <w:t>[001 to ###]</w:t>
      </w:r>
    </w:p>
    <w:p>
      <w:pPr>
        <w:spacing w:after="80"/>
      </w:pPr>
      <w:r>
        <w:rPr>
          <w:b/>
        </w:rPr>
        <w:t xml:space="preserve">Chapter purpose: </w:t>
      </w:r>
      <w:r>
        <w:t>[One paragraph]</w:t>
      </w:r>
    </w:p>
    <w:p>
      <w:pPr>
        <w:pStyle w:val="Heading2"/>
        <w:keepNext/>
      </w:pPr>
      <w:r>
        <w:t>Development Blocks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Range</w:t>
            </w:r>
          </w:p>
        </w:tc>
        <w:tc>
          <w:tcPr>
            <w:tcW w:type="dxa" w:w="2304"/>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Theme</w:t>
            </w:r>
          </w:p>
        </w:tc>
        <w:tc>
          <w:tcPr>
            <w:tcW w:type="dxa" w:w="604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Planned Outcomes</w:t>
            </w:r>
          </w:p>
        </w:tc>
      </w:tr>
      <w:tr>
        <w:trPr>
          <w:cantSplit/>
        </w:trPr>
        <w:tc>
          <w:tcPr>
            <w:tcW w:type="dxa" w:w="1440"/>
            <w:vAlign w:val="center"/>
            <w:tcMar>
              <w:top w:w="80" w:type="dxa"/>
              <w:start w:w="100" w:type="dxa"/>
              <w:bottom w:w="80" w:type="dxa"/>
              <w:end w:w="100" w:type="dxa"/>
            </w:tcMar>
          </w:tcPr>
          <w:p>
            <w:pPr>
              <w:spacing w:after="0"/>
            </w:pPr>
            <w:r>
              <w:rPr>
                <w:rFonts w:ascii="Arial" w:hAnsi="Arial"/>
              </w:rPr>
            </w:r>
            <w:r>
              <w:rPr>
                <w:rFonts w:ascii="Arial" w:hAnsi="Arial"/>
                <w:b w:val="0"/>
                <w:sz w:val="18"/>
              </w:rPr>
              <w:t>[001–020]</w:t>
            </w:r>
          </w:p>
        </w:tc>
        <w:tc>
          <w:tcPr>
            <w:tcW w:type="dxa" w:w="2304"/>
            <w:vAlign w:val="center"/>
            <w:tcMar>
              <w:top w:w="80" w:type="dxa"/>
              <w:start w:w="100" w:type="dxa"/>
              <w:bottom w:w="80" w:type="dxa"/>
              <w:end w:w="100" w:type="dxa"/>
            </w:tcMar>
          </w:tcPr>
          <w:p>
            <w:pPr>
              <w:spacing w:after="0"/>
            </w:pPr>
            <w:r>
              <w:rPr>
                <w:rFonts w:ascii="Arial" w:hAnsi="Arial"/>
              </w:rPr>
            </w:r>
            <w:r>
              <w:rPr>
                <w:rFonts w:ascii="Arial" w:hAnsi="Arial"/>
                <w:b w:val="0"/>
                <w:sz w:val="18"/>
              </w:rPr>
              <w:t>[Fundamentals]</w:t>
            </w:r>
          </w:p>
        </w:tc>
        <w:tc>
          <w:tcPr>
            <w:tcW w:type="dxa" w:w="6048"/>
            <w:vAlign w:val="center"/>
            <w:tcMar>
              <w:top w:w="80" w:type="dxa"/>
              <w:start w:w="100" w:type="dxa"/>
              <w:bottom w:w="80" w:type="dxa"/>
              <w:end w:w="100" w:type="dxa"/>
            </w:tcMar>
          </w:tcPr>
          <w:p>
            <w:pPr>
              <w:spacing w:after="0"/>
            </w:pPr>
            <w:r>
              <w:rPr>
                <w:rFonts w:ascii="Arial" w:hAnsi="Arial"/>
              </w:rPr>
            </w:r>
            <w:r>
              <w:rPr>
                <w:rFonts w:ascii="Arial" w:hAnsi="Arial"/>
                <w:b w:val="0"/>
                <w:sz w:val="18"/>
              </w:rPr>
              <w:t>[Technique and introductory drills]</w:t>
            </w:r>
          </w:p>
        </w:tc>
      </w:tr>
      <w:tr>
        <w:trPr>
          <w:cantSplit/>
        </w:trPr>
        <w:tc>
          <w:tcPr>
            <w:tcW w:type="dxa" w:w="144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[021–040]</w:t>
            </w:r>
          </w:p>
        </w:tc>
        <w:tc>
          <w:tcPr>
            <w:tcW w:type="dxa" w:w="23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[Movement]</w:t>
            </w:r>
          </w:p>
        </w:tc>
        <w:tc>
          <w:tcPr>
            <w:tcW w:type="dxa" w:w="60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[Movement and receiving/releasing]</w:t>
            </w:r>
          </w:p>
        </w:tc>
      </w:tr>
      <w:tr>
        <w:trPr>
          <w:cantSplit/>
        </w:trPr>
        <w:tc>
          <w:tcPr>
            <w:tcW w:type="dxa" w:w="1440"/>
            <w:vAlign w:val="center"/>
            <w:tcMar>
              <w:top w:w="80" w:type="dxa"/>
              <w:start w:w="100" w:type="dxa"/>
              <w:bottom w:w="80" w:type="dxa"/>
              <w:end w:w="100" w:type="dxa"/>
            </w:tcMar>
          </w:tcPr>
          <w:p>
            <w:pPr>
              <w:spacing w:after="0"/>
            </w:pPr>
            <w:r>
              <w:rPr>
                <w:rFonts w:ascii="Arial" w:hAnsi="Arial"/>
              </w:rPr>
            </w:r>
            <w:r>
              <w:rPr>
                <w:rFonts w:ascii="Arial" w:hAnsi="Arial"/>
                <w:b w:val="0"/>
                <w:sz w:val="18"/>
              </w:rPr>
              <w:t>[041–060]</w:t>
            </w:r>
          </w:p>
        </w:tc>
        <w:tc>
          <w:tcPr>
            <w:tcW w:type="dxa" w:w="2304"/>
            <w:vAlign w:val="center"/>
            <w:tcMar>
              <w:top w:w="80" w:type="dxa"/>
              <w:start w:w="100" w:type="dxa"/>
              <w:bottom w:w="80" w:type="dxa"/>
              <w:end w:w="100" w:type="dxa"/>
            </w:tcMar>
          </w:tcPr>
          <w:p>
            <w:pPr>
              <w:spacing w:after="0"/>
            </w:pPr>
            <w:r>
              <w:rPr>
                <w:rFonts w:ascii="Arial" w:hAnsi="Arial"/>
              </w:rPr>
            </w:r>
            <w:r>
              <w:rPr>
                <w:rFonts w:ascii="Arial" w:hAnsi="Arial"/>
                <w:b w:val="0"/>
                <w:sz w:val="18"/>
              </w:rPr>
              <w:t>[Pressure]</w:t>
            </w:r>
          </w:p>
        </w:tc>
        <w:tc>
          <w:tcPr>
            <w:tcW w:type="dxa" w:w="6048"/>
            <w:vAlign w:val="center"/>
            <w:tcMar>
              <w:top w:w="80" w:type="dxa"/>
              <w:start w:w="100" w:type="dxa"/>
              <w:bottom w:w="80" w:type="dxa"/>
              <w:end w:w="100" w:type="dxa"/>
            </w:tcMar>
          </w:tcPr>
          <w:p>
            <w:pPr>
              <w:spacing w:after="0"/>
            </w:pPr>
            <w:r>
              <w:rPr>
                <w:rFonts w:ascii="Arial" w:hAnsi="Arial"/>
              </w:rPr>
            </w:r>
            <w:r>
              <w:rPr>
                <w:rFonts w:ascii="Arial" w:hAnsi="Arial"/>
                <w:b w:val="0"/>
                <w:sz w:val="18"/>
              </w:rPr>
              <w:t>[Contest and pressure application]</w:t>
            </w:r>
          </w:p>
        </w:tc>
      </w:tr>
      <w:tr>
        <w:trPr>
          <w:cantSplit/>
        </w:trPr>
        <w:tc>
          <w:tcPr>
            <w:tcW w:type="dxa" w:w="144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[061–080]</w:t>
            </w:r>
          </w:p>
        </w:tc>
        <w:tc>
          <w:tcPr>
            <w:tcW w:type="dxa" w:w="23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[Team Use]</w:t>
            </w:r>
          </w:p>
        </w:tc>
        <w:tc>
          <w:tcPr>
            <w:tcW w:type="dxa" w:w="60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[Structured team ball movement]</w:t>
            </w:r>
          </w:p>
        </w:tc>
      </w:tr>
      <w:tr>
        <w:trPr>
          <w:cantSplit/>
        </w:trPr>
        <w:tc>
          <w:tcPr>
            <w:tcW w:type="dxa" w:w="1440"/>
            <w:vAlign w:val="center"/>
            <w:tcMar>
              <w:top w:w="80" w:type="dxa"/>
              <w:start w:w="100" w:type="dxa"/>
              <w:bottom w:w="80" w:type="dxa"/>
              <w:end w:w="100" w:type="dxa"/>
            </w:tcMar>
          </w:tcPr>
          <w:p>
            <w:pPr>
              <w:spacing w:after="0"/>
            </w:pPr>
            <w:r>
              <w:rPr>
                <w:rFonts w:ascii="Arial" w:hAnsi="Arial"/>
              </w:rPr>
            </w:r>
            <w:r>
              <w:rPr>
                <w:rFonts w:ascii="Arial" w:hAnsi="Arial"/>
                <w:b w:val="0"/>
                <w:sz w:val="18"/>
              </w:rPr>
              <w:t>[081–100]</w:t>
            </w:r>
          </w:p>
        </w:tc>
        <w:tc>
          <w:tcPr>
            <w:tcW w:type="dxa" w:w="2304"/>
            <w:vAlign w:val="center"/>
            <w:tcMar>
              <w:top w:w="80" w:type="dxa"/>
              <w:start w:w="100" w:type="dxa"/>
              <w:bottom w:w="80" w:type="dxa"/>
              <w:end w:w="100" w:type="dxa"/>
            </w:tcMar>
          </w:tcPr>
          <w:p>
            <w:pPr>
              <w:spacing w:after="0"/>
            </w:pPr>
            <w:r>
              <w:rPr>
                <w:rFonts w:ascii="Arial" w:hAnsi="Arial"/>
              </w:rPr>
            </w:r>
            <w:r>
              <w:rPr>
                <w:rFonts w:ascii="Arial" w:hAnsi="Arial"/>
                <w:b w:val="0"/>
                <w:sz w:val="18"/>
              </w:rPr>
              <w:t>[Advanced]</w:t>
            </w:r>
          </w:p>
        </w:tc>
        <w:tc>
          <w:tcPr>
            <w:tcW w:type="dxa" w:w="6048"/>
            <w:vAlign w:val="center"/>
            <w:tcMar>
              <w:top w:w="80" w:type="dxa"/>
              <w:start w:w="100" w:type="dxa"/>
              <w:bottom w:w="80" w:type="dxa"/>
              <w:end w:w="100" w:type="dxa"/>
            </w:tcMar>
          </w:tcPr>
          <w:p>
            <w:pPr>
              <w:spacing w:after="0"/>
            </w:pPr>
            <w:r>
              <w:rPr>
                <w:rFonts w:ascii="Arial" w:hAnsi="Arial"/>
              </w:rPr>
            </w:r>
            <w:r>
              <w:rPr>
                <w:rFonts w:ascii="Arial" w:hAnsi="Arial"/>
                <w:b w:val="0"/>
                <w:sz w:val="18"/>
              </w:rPr>
              <w:t>[Elite decisions and complex constraints]</w:t>
            </w:r>
          </w:p>
        </w:tc>
      </w:tr>
      <w:tr>
        <w:trPr>
          <w:cantSplit/>
        </w:trPr>
        <w:tc>
          <w:tcPr>
            <w:tcW w:type="dxa" w:w="144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[101–120]</w:t>
            </w:r>
          </w:p>
        </w:tc>
        <w:tc>
          <w:tcPr>
            <w:tcW w:type="dxa" w:w="2304"/>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[Match and Assessment]</w:t>
            </w:r>
          </w:p>
        </w:tc>
        <w:tc>
          <w:tcPr>
            <w:tcW w:type="dxa" w:w="60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[Position-specific, scenarios and assessment]</w:t>
            </w:r>
          </w:p>
        </w:tc>
      </w:tr>
    </w:tbl>
    <w:p>
      <w:pPr>
        <w:spacing w:after="0"/>
      </w:pPr>
    </w:p>
    <w:p>
      <w:pPr>
        <w:pStyle w:val="Heading2"/>
        <w:keepNext/>
      </w:pPr>
      <w:r>
        <w:t>Block Plan Template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ID</w:t>
            </w:r>
          </w:p>
        </w:tc>
        <w:tc>
          <w:tcPr>
            <w:tcW w:type="dxa" w:w="244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Title</w:t>
            </w:r>
          </w:p>
        </w:tc>
        <w:tc>
          <w:tcPr>
            <w:tcW w:type="dxa" w:w="2160"/>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Primary Skill</w:t>
            </w:r>
          </w:p>
        </w:tc>
        <w:tc>
          <w:tcPr>
            <w:tcW w:type="dxa" w:w="403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Objective</w:t>
            </w:r>
          </w:p>
        </w:tc>
      </w:tr>
      <w:tr>
        <w:trPr>
          <w:cantSplit/>
        </w:trPr>
        <w:tc>
          <w:tcPr>
            <w:tcW w:type="dxa" w:w="1152"/>
            <w:vAlign w:val="center"/>
            <w:tcMar>
              <w:top w:w="80" w:type="dxa"/>
              <w:start w:w="100" w:type="dxa"/>
              <w:bottom w:w="80" w:type="dxa"/>
              <w:end w:w="100" w:type="dxa"/>
            </w:tcMar>
          </w:tcPr>
          <w:p>
            <w:pPr>
              <w:spacing w:after="0"/>
            </w:pPr>
            <w:r>
              <w:rPr>
                <w:rFonts w:ascii="Arial" w:hAnsi="Arial"/>
              </w:rPr>
            </w:r>
            <w:r>
              <w:rPr>
                <w:rFonts w:ascii="Arial" w:hAnsi="Arial"/>
                <w:b w:val="0"/>
                <w:sz w:val="18"/>
              </w:rPr>
              <w:t>[ID 1]</w:t>
            </w:r>
          </w:p>
        </w:tc>
        <w:tc>
          <w:tcPr>
            <w:tcW w:type="dxa" w:w="2448"/>
            <w:vAlign w:val="center"/>
            <w:tcMar>
              <w:top w:w="80" w:type="dxa"/>
              <w:start w:w="100" w:type="dxa"/>
              <w:bottom w:w="80" w:type="dxa"/>
              <w:end w:w="100" w:type="dxa"/>
            </w:tcMar>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[ID 2]</w:t>
            </w:r>
          </w:p>
        </w:tc>
        <w:tc>
          <w:tcPr>
            <w:tcW w:type="dxa" w:w="24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tcPr>
          <w:p>
            <w:pPr>
              <w:spacing w:after="0"/>
            </w:pPr>
            <w:r>
              <w:rPr>
                <w:rFonts w:ascii="Arial" w:hAnsi="Arial"/>
              </w:rPr>
            </w:r>
            <w:r>
              <w:rPr>
                <w:rFonts w:ascii="Arial" w:hAnsi="Arial"/>
                <w:b w:val="0"/>
                <w:sz w:val="18"/>
              </w:rPr>
              <w:t>[ID 3]</w:t>
            </w:r>
          </w:p>
        </w:tc>
        <w:tc>
          <w:tcPr>
            <w:tcW w:type="dxa" w:w="2448"/>
            <w:vAlign w:val="center"/>
            <w:tcMar>
              <w:top w:w="80" w:type="dxa"/>
              <w:start w:w="100" w:type="dxa"/>
              <w:bottom w:w="80" w:type="dxa"/>
              <w:end w:w="100" w:type="dxa"/>
            </w:tcMar>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[ID 4]</w:t>
            </w:r>
          </w:p>
        </w:tc>
        <w:tc>
          <w:tcPr>
            <w:tcW w:type="dxa" w:w="24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tcPr>
          <w:p>
            <w:pPr>
              <w:spacing w:after="0"/>
            </w:pPr>
            <w:r>
              <w:rPr>
                <w:rFonts w:ascii="Arial" w:hAnsi="Arial"/>
              </w:rPr>
            </w:r>
            <w:r>
              <w:rPr>
                <w:rFonts w:ascii="Arial" w:hAnsi="Arial"/>
                <w:b w:val="0"/>
                <w:sz w:val="18"/>
              </w:rPr>
              <w:t>[ID 5]</w:t>
            </w:r>
          </w:p>
        </w:tc>
        <w:tc>
          <w:tcPr>
            <w:tcW w:type="dxa" w:w="2448"/>
            <w:vAlign w:val="center"/>
            <w:tcMar>
              <w:top w:w="80" w:type="dxa"/>
              <w:start w:w="100" w:type="dxa"/>
              <w:bottom w:w="80" w:type="dxa"/>
              <w:end w:w="100" w:type="dxa"/>
            </w:tcMar>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[ID 6]</w:t>
            </w:r>
          </w:p>
        </w:tc>
        <w:tc>
          <w:tcPr>
            <w:tcW w:type="dxa" w:w="24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tcPr>
          <w:p>
            <w:pPr>
              <w:spacing w:after="0"/>
            </w:pPr>
            <w:r>
              <w:rPr>
                <w:rFonts w:ascii="Arial" w:hAnsi="Arial"/>
              </w:rPr>
            </w:r>
            <w:r>
              <w:rPr>
                <w:rFonts w:ascii="Arial" w:hAnsi="Arial"/>
                <w:b w:val="0"/>
                <w:sz w:val="18"/>
              </w:rPr>
              <w:t>[ID 7]</w:t>
            </w:r>
          </w:p>
        </w:tc>
        <w:tc>
          <w:tcPr>
            <w:tcW w:type="dxa" w:w="2448"/>
            <w:vAlign w:val="center"/>
            <w:tcMar>
              <w:top w:w="80" w:type="dxa"/>
              <w:start w:w="100" w:type="dxa"/>
              <w:bottom w:w="80" w:type="dxa"/>
              <w:end w:w="100" w:type="dxa"/>
            </w:tcMar>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[ID 8]</w:t>
            </w:r>
          </w:p>
        </w:tc>
        <w:tc>
          <w:tcPr>
            <w:tcW w:type="dxa" w:w="24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tcPr>
          <w:p>
            <w:pPr>
              <w:spacing w:after="0"/>
            </w:pPr>
            <w:r>
              <w:rPr>
                <w:rFonts w:ascii="Arial" w:hAnsi="Arial"/>
              </w:rPr>
            </w:r>
            <w:r>
              <w:rPr>
                <w:rFonts w:ascii="Arial" w:hAnsi="Arial"/>
                <w:b w:val="0"/>
                <w:sz w:val="18"/>
              </w:rPr>
              <w:t>[ID 9]</w:t>
            </w:r>
          </w:p>
        </w:tc>
        <w:tc>
          <w:tcPr>
            <w:tcW w:type="dxa" w:w="2448"/>
            <w:vAlign w:val="center"/>
            <w:tcMar>
              <w:top w:w="80" w:type="dxa"/>
              <w:start w:w="100" w:type="dxa"/>
              <w:bottom w:w="80" w:type="dxa"/>
              <w:end w:w="100" w:type="dxa"/>
            </w:tcMar>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tcPr>
          <w:p>
            <w:pPr>
              <w:spacing w:after="0"/>
            </w:pPr>
            <w:r>
              <w:rPr>
                <w:rFonts w:ascii="Arial" w:hAnsi="Arial"/>
              </w:rPr>
            </w:r>
            <w:r>
              <w:rPr>
                <w:rFonts w:ascii="Arial" w:hAnsi="Arial"/>
                <w:b w:val="0"/>
                <w:sz w:val="18"/>
              </w:rPr>
              <w:t>[One-sentence objective]</w:t>
            </w:r>
          </w:p>
        </w:tc>
      </w:tr>
      <w:tr>
        <w:trPr>
          <w:cantSplit/>
        </w:trPr>
        <w:tc>
          <w:tcPr>
            <w:tcW w:type="dxa" w:w="115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[ID 10]</w:t>
            </w:r>
          </w:p>
        </w:tc>
        <w:tc>
          <w:tcPr>
            <w:tcW w:type="dxa" w:w="2448"/>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[Title]</w:t>
            </w:r>
          </w:p>
        </w:tc>
        <w:tc>
          <w:tcPr>
            <w:tcW w:type="dxa" w:w="2160"/>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[Primary skill]</w:t>
            </w:r>
          </w:p>
        </w:tc>
        <w:tc>
          <w:tcPr>
            <w:tcW w:type="dxa" w:w="4032"/>
            <w:vAlign w:val="center"/>
            <w:tcMar>
              <w:top w:w="80" w:type="dxa"/>
              <w:start w:w="100" w:type="dxa"/>
              <w:bottom w:w="80" w:type="dxa"/>
              <w:end w:w="100" w:type="dxa"/>
            </w:tcMar>
            <w:shd w:fill="F3F6FA"/>
          </w:tcPr>
          <w:p>
            <w:pPr>
              <w:spacing w:after="0"/>
            </w:pPr>
            <w:r>
              <w:rPr>
                <w:rFonts w:ascii="Arial" w:hAnsi="Arial"/>
              </w:rPr>
            </w:r>
            <w:r>
              <w:rPr>
                <w:rFonts w:ascii="Arial" w:hAnsi="Arial"/>
                <w:b w:val="0"/>
                <w:sz w:val="18"/>
              </w:rPr>
              <w:t>[One-sentence objective]</w:t>
            </w:r>
          </w:p>
        </w:tc>
      </w:tr>
    </w:tbl>
    <w:p>
      <w:pPr>
        <w:spacing w:after="0"/>
      </w:pPr>
    </w:p>
    <w:p>
      <w:pPr>
        <w:pStyle w:val="Heading1"/>
        <w:keepNext/>
      </w:pPr>
      <w:r>
        <w:t>Appendix C – Version and Change Log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Version</w:t>
            </w:r>
          </w:p>
        </w:tc>
        <w:tc>
          <w:tcPr>
            <w:tcW w:type="dxa" w:w="1728"/>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Date</w:t>
            </w:r>
          </w:p>
        </w:tc>
        <w:tc>
          <w:tcPr>
            <w:tcW w:type="dxa" w:w="619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Change</w:t>
            </w:r>
          </w:p>
        </w:tc>
        <w:tc>
          <w:tcPr>
            <w:tcW w:type="dxa" w:w="1152"/>
            <w:vAlign w:val="center"/>
            <w:tcMar>
              <w:top w:w="80" w:type="dxa"/>
              <w:start w:w="100" w:type="dxa"/>
              <w:bottom w:w="80" w:type="dxa"/>
              <w:end w:w="100" w:type="dxa"/>
            </w:tcMar>
            <w:shd w:fill="17365D"/>
          </w:tcPr>
          <w:p>
            <w:pPr>
              <w:spacing w:after="0"/>
            </w:pPr>
            <w:r>
              <w:rPr>
                <w:rFonts w:ascii="Arial" w:hAnsi="Arial"/>
              </w:rPr>
            </w:r>
            <w:r>
              <w:rPr>
                <w:rFonts w:ascii="Arial" w:hAnsi="Arial"/>
                <w:b/>
                <w:color w:val="FFFFFF"/>
                <w:sz w:val="18"/>
              </w:rPr>
              <w:t>Status</w:t>
            </w:r>
          </w:p>
        </w:tc>
      </w:tr>
      <w:tr>
        <w:trPr>
          <w:cantSplit/>
        </w:trPr>
        <w:tc>
          <w:tcPr>
            <w:tcW w:type="dxa" w:w="1008"/>
            <w:vAlign w:val="center"/>
            <w:tcMar>
              <w:top w:w="80" w:type="dxa"/>
              <w:start w:w="100" w:type="dxa"/>
              <w:bottom w:w="80" w:type="dxa"/>
              <w:end w:w="100" w:type="dxa"/>
            </w:tcMar>
          </w:tcPr>
          <w:p>
            <w:pPr>
              <w:spacing w:after="0"/>
            </w:pPr>
            <w:r>
              <w:rPr>
                <w:rFonts w:ascii="Arial" w:hAnsi="Arial"/>
              </w:rPr>
            </w:r>
            <w:r>
              <w:rPr>
                <w:rFonts w:ascii="Arial" w:hAnsi="Arial"/>
                <w:b w:val="0"/>
                <w:sz w:val="18"/>
              </w:rPr>
              <w:t>1.0</w:t>
            </w:r>
          </w:p>
        </w:tc>
        <w:tc>
          <w:tcPr>
            <w:tcW w:type="dxa" w:w="1728"/>
            <w:vAlign w:val="center"/>
            <w:tcMar>
              <w:top w:w="80" w:type="dxa"/>
              <w:start w:w="100" w:type="dxa"/>
              <w:bottom w:w="80" w:type="dxa"/>
              <w:end w:w="100" w:type="dxa"/>
            </w:tcMar>
          </w:tcPr>
          <w:p>
            <w:pPr>
              <w:spacing w:after="0"/>
            </w:pPr>
            <w:r>
              <w:rPr>
                <w:rFonts w:ascii="Arial" w:hAnsi="Arial"/>
              </w:rPr>
            </w:r>
            <w:r>
              <w:rPr>
                <w:rFonts w:ascii="Arial" w:hAnsi="Arial"/>
                <w:b w:val="0"/>
                <w:sz w:val="18"/>
              </w:rPr>
              <w:t>17 July 2026</w:t>
            </w:r>
          </w:p>
        </w:tc>
        <w:tc>
          <w:tcPr>
            <w:tcW w:type="dxa" w:w="6192"/>
            <w:vAlign w:val="center"/>
            <w:tcMar>
              <w:top w:w="80" w:type="dxa"/>
              <w:start w:w="100" w:type="dxa"/>
              <w:bottom w:w="80" w:type="dxa"/>
              <w:end w:w="100" w:type="dxa"/>
            </w:tcMar>
          </w:tcPr>
          <w:p>
            <w:pPr>
              <w:spacing w:after="0"/>
            </w:pPr>
            <w:r>
              <w:rPr>
                <w:rFonts w:ascii="Arial" w:hAnsi="Arial"/>
              </w:rPr>
            </w:r>
            <w:r>
              <w:rPr>
                <w:rFonts w:ascii="Arial" w:hAnsi="Arial"/>
                <w:b w:val="0"/>
                <w:sz w:val="18"/>
              </w:rPr>
              <w:t>Initial master document created. Records completion of Kicking KK-001 to KK-150 and establishes Handballing HB-001 as the next drill.</w:t>
            </w:r>
          </w:p>
        </w:tc>
        <w:tc>
          <w:tcPr>
            <w:tcW w:type="dxa" w:w="1152"/>
            <w:vAlign w:val="center"/>
            <w:tcMar>
              <w:top w:w="80" w:type="dxa"/>
              <w:start w:w="100" w:type="dxa"/>
              <w:bottom w:w="80" w:type="dxa"/>
              <w:end w:w="100" w:type="dxa"/>
            </w:tcMar>
          </w:tcPr>
          <w:p>
            <w:pPr>
              <w:spacing w:after="0"/>
            </w:pPr>
            <w:r>
              <w:rPr>
                <w:rFonts w:ascii="Arial" w:hAnsi="Arial" w:eastAsia="Arial"/>
                <w:b w:val="0"/>
                <w:i w:val="0"/>
                <w:sz w:val="18"/>
              </w:rPr>
              <w:t>Superseded</w:t>
            </w:r>
          </w:p>
        </w:tc>
      </w:tr>
      <w:tr>
        <w:trPr>
          <w:cantSplit/>
        </w:trPr>
        <w:tc>
          <w:tcPr>
            <w:tcW w:type="dxa" w:w="2520"/>
          </w:tcPr>
          <w:p>
            <w:r>
              <w:rPr>
                <w:rFonts w:ascii="Arial" w:hAnsi="Arial" w:eastAsia="Arial"/>
                <w:b w:val="0"/>
                <w:i w:val="0"/>
                <w:sz w:val="18"/>
              </w:rPr>
              <w:t>2.0</w:t>
            </w:r>
          </w:p>
        </w:tc>
        <w:tc>
          <w:tcPr>
            <w:tcW w:type="dxa" w:w="2520"/>
          </w:tcPr>
          <w:p>
            <w:r>
              <w:rPr>
                <w:rFonts w:ascii="Arial" w:hAnsi="Arial" w:eastAsia="Arial"/>
                <w:b w:val="0"/>
                <w:i w:val="0"/>
                <w:sz w:val="18"/>
              </w:rPr>
              <w:t>17 July 2026</w:t>
            </w:r>
          </w:p>
        </w:tc>
        <w:tc>
          <w:tcPr>
            <w:tcW w:type="dxa" w:w="2520"/>
          </w:tcPr>
          <w:p>
            <w:r>
              <w:rPr>
                <w:rFonts w:ascii="Arial" w:hAnsi="Arial" w:eastAsia="Arial"/>
                <w:b w:val="0"/>
                <w:i w:val="0"/>
                <w:sz w:val="18"/>
              </w:rPr>
              <w:t>Updated completion status through Chapter 4 – Ground Balls (GB-001 to GB-120). Records Chapters 1–4 as complete and establishes Chapter 5 – Tackling and Pressure at TK-001 as the next resume point.</w:t>
            </w:r>
          </w:p>
        </w:tc>
        <w:tc>
          <w:tcPr>
            <w:tcW w:type="dxa" w:w="2520"/>
          </w:tcPr>
          <w:p>
            <w:r>
              <w:rPr>
                <w:rFonts w:ascii="Arial" w:hAnsi="Arial" w:eastAsia="Arial"/>
                <w:b w:val="0"/>
                <w:i w:val="0"/>
                <w:sz w:val="18"/>
              </w:rPr>
              <w:t>Superseded</w:t>
            </w:r>
          </w:p>
        </w:tc>
      </w:tr>
      <w:tr>
        <w:trPr>
          <w:cantSplit/>
        </w:trPr>
        <w:tc>
          <w:tcPr>
            <w:tcW w:type="dxa" w:w="2520"/>
          </w:tcPr>
          <w:p>
            <w:r>
              <w:rPr>
                <w:rFonts w:ascii="Arial" w:hAnsi="Arial" w:eastAsia="Arial"/>
                <w:b w:val="0"/>
                <w:i w:val="0"/>
                <w:sz w:val="18"/>
              </w:rPr>
              <w:t>5.0</w:t>
            </w:r>
          </w:p>
        </w:tc>
        <w:tc>
          <w:tcPr>
            <w:tcW w:type="dxa" w:w="2520"/>
          </w:tcPr>
          <w:p>
            <w:r>
              <w:rPr>
                <w:rFonts w:ascii="Arial" w:hAnsi="Arial" w:eastAsia="Arial"/>
                <w:b w:val="0"/>
                <w:i w:val="0"/>
                <w:sz w:val="18"/>
              </w:rPr>
              <w:t>18 July 2026</w:t>
            </w:r>
          </w:p>
        </w:tc>
        <w:tc>
          <w:tcPr>
            <w:tcW w:type="dxa" w:w="2520"/>
          </w:tcPr>
          <w:p>
            <w:r>
              <w:rPr>
                <w:rFonts w:ascii="Arial" w:hAnsi="Arial" w:eastAsia="Arial"/>
                <w:b w:val="0"/>
                <w:i w:val="0"/>
                <w:sz w:val="18"/>
              </w:rPr>
              <w:t>Updated completion status through Chapter 5 – Tackling and Pressure (TK-001 to TK-120). Records Chapters 1–5 and 630 drills as complete, establishes Chapter 6 – Spoiling and Aerial Defence at SP-001 as the next resume point, and adds the permanent requirement to issue a new Master Document after every completed chapter.</w:t>
            </w:r>
          </w:p>
        </w:tc>
        <w:tc>
          <w:tcPr>
            <w:tcW w:type="dxa" w:w="2520"/>
          </w:tcPr>
          <w:p>
            <w:r>
              <w:rPr>
                <w:rFonts w:ascii="Arial" w:hAnsi="Arial" w:eastAsia="Arial"/>
                <w:b w:val="0"/>
                <w:i w:val="0"/>
                <w:sz w:val="18"/>
              </w:rPr>
              <w:t>Superseded</w:t>
            </w:r>
          </w:p>
        </w:tc>
      </w:tr>
      <w:tr>
        <w:trPr>
          <w:cantSplit/>
        </w:trPr>
        <w:tc>
          <w:tcPr>
            <w:tcW w:type="dxa" w:w="2520"/>
            <w:tcPr>
              <w:tcW w:type="dxa" w:w="2520"/>
            </w:tcPr>
          </w:tcPr>
          <w:p>
            <w:r>
              <w:t>6.0</w:t>
            </w:r>
          </w:p>
        </w:tc>
        <w:tc>
          <w:tcPr>
            <w:tcW w:type="dxa" w:w="2520"/>
            <w:tcPr>
              <w:tcW w:type="dxa" w:w="2520"/>
            </w:tcPr>
          </w:tcPr>
          <w:p>
            <w:r>
              <w:t>18 July 2026</w:t>
            </w:r>
          </w:p>
        </w:tc>
        <w:tc>
          <w:tcPr>
            <w:tcW w:type="dxa" w:w="2520"/>
            <w:tcPr>
              <w:tcW w:type="dxa" w:w="2520"/>
            </w:tcPr>
          </w:tcPr>
          <w:p>
            <w:r>
              <w:t>Updated completion status through Chapter 6 – Spoiling and Aerial Defence (SP-001 to SP-080). Records Chapters 1–6 and 710 drills as complete and establishes Chapter 7 – Ruck and Stoppage Craft at RK-001 as the next resume point.</w:t>
            </w:r>
          </w:p>
        </w:tc>
        <w:tc>
          <w:tcPr>
            <w:tcW w:type="dxa" w:w="2520"/>
            <w:tcPr>
              <w:tcW w:type="dxa" w:w="2520"/>
            </w:tcPr>
          </w:tcPr>
          <w:p>
            <w:r>
              <w:t>Superseded</w:t>
            </w:r>
          </w:p>
        </w:tc>
      </w:tr>
      <w:tr>
        <w:trPr>
          <w:cantSplit/>
        </w:trPr>
        <w:tc>
          <w:tcPr>
            <w:tcW w:type="dxa" w:w="2520"/>
            <w:tcPr>
              <w:tcW w:type="dxa" w:w="2520"/>
            </w:tcPr>
          </w:tcPr>
          <w:p>
            <w:r>
              <w:t>7.0</w:t>
            </w:r>
          </w:p>
        </w:tc>
        <w:tc>
          <w:tcPr>
            <w:tcW w:type="dxa" w:w="2520"/>
            <w:tcPr>
              <w:tcW w:type="dxa" w:w="2520"/>
            </w:tcPr>
          </w:tcPr>
          <w:p>
            <w:r>
              <w:t>19 July 2026</w:t>
            </w:r>
          </w:p>
        </w:tc>
        <w:tc>
          <w:tcPr>
            <w:tcW w:type="dxa" w:w="2520"/>
            <w:tcPr>
              <w:tcW w:type="dxa" w:w="2520"/>
            </w:tcPr>
          </w:tcPr>
          <w:p>
            <w:r>
              <w:t>Updated completion status through Chapter 7 – Ruck and Stoppage Craft (RK-001 to RK-080). Records Chapters 1–7 and 790 drills as complete and establishes Chapter 8 – Evasion, Agility and Movement at EA-001 as the next resume point.</w:t>
            </w:r>
          </w:p>
        </w:tc>
        <w:tc>
          <w:tcPr>
            <w:tcW w:type="dxa" w:w="2520"/>
            <w:tcPr>
              <w:tcW w:type="dxa" w:w="2520"/>
            </w:tcPr>
          </w:tcPr>
          <w:p>
            <w:r>
              <w:t>Superseded</w:t>
            </w:r>
          </w:p>
        </w:tc>
      </w:tr>
      <w:tr>
        <w:trPr>
          <w:cantSplit/>
        </w:trPr>
        <w:tc>
          <w:tcPr>
            <w:tcW w:type="dxa" w:w="2520"/>
            <w:tcPr>
              <w:tcW w:type="dxa" w:w="2520"/>
            </w:tcPr>
          </w:tcPr>
          <w:p>
            <w:r>
              <w:t>8.0</w:t>
            </w:r>
          </w:p>
        </w:tc>
        <w:tc>
          <w:tcPr>
            <w:tcW w:type="dxa" w:w="2520"/>
            <w:tcPr>
              <w:tcW w:type="dxa" w:w="2520"/>
            </w:tcPr>
          </w:tcPr>
          <w:p>
            <w:r>
              <w:t>19 July 2026</w:t>
            </w:r>
          </w:p>
        </w:tc>
        <w:tc>
          <w:tcPr>
            <w:tcW w:type="dxa" w:w="2520"/>
            <w:tcPr>
              <w:tcW w:type="dxa" w:w="2520"/>
            </w:tcPr>
          </w:tcPr>
          <w:p>
            <w:r>
              <w:t>Updated completion status through Chapter 8 – Evasion, Agility and Movement (EA-001 to EA-080). Records Chapters 1–8 and 870 drills as complete and establishes Chapter 9 – Decision Making at DM-001 as the next resume point.</w:t>
            </w:r>
          </w:p>
        </w:tc>
        <w:tc>
          <w:tcPr>
            <w:tcW w:type="dxa" w:w="2520"/>
            <w:tcPr>
              <w:tcW w:type="dxa" w:w="2520"/>
            </w:tcPr>
          </w:tcPr>
          <w:p>
            <w:r>
              <w:t>Superseded</w:t>
            </w:r>
          </w:p>
        </w:tc>
      </w:tr>
      <w:tr>
        <w:trPr>
          <w:cantSplit/>
        </w:trPr>
        <w:tc>
          <w:tcPr>
            <w:tcW w:type="dxa" w:w="2520"/>
          </w:tcPr>
          <w:p>
            <w:r>
              <w:t>9.0</w:t>
            </w:r>
          </w:p>
        </w:tc>
        <w:tc>
          <w:tcPr>
            <w:tcW w:type="dxa" w:w="2520"/>
          </w:tcPr>
          <w:p>
            <w:r>
              <w:t>20 July 2026</w:t>
            </w:r>
          </w:p>
        </w:tc>
        <w:tc>
          <w:tcPr>
            <w:tcW w:type="dxa" w:w="2520"/>
          </w:tcPr>
          <w:p>
            <w:r>
              <w:t>Updated completion status through Chapter 9 – Decision Making (DM-001 to DM-100). Records Chapters 1–9 and 970 drills as complete and establishes Chapter 10 – Team Offence at TO-001 as the next resume point.</w:t>
            </w:r>
          </w:p>
        </w:tc>
        <w:tc>
          <w:tcPr>
            <w:tcW w:type="dxa" w:w="2520"/>
          </w:tcPr>
          <w:p>
            <w:r>
              <w:t>Superseded</w:t>
            </w:r>
          </w:p>
        </w:tc>
      </w:tr>
      <w:tr>
        <w:trPr>
          <w:cantSplit/>
        </w:trPr>
        <w:tc>
          <w:tcPr>
            <w:tcW w:type="dxa" w:w="2520"/>
          </w:tcPr>
          <w:p>
            <w:r>
              <w:t>10.0</w:t>
            </w:r>
          </w:p>
        </w:tc>
        <w:tc>
          <w:tcPr>
            <w:tcW w:type="dxa" w:w="2520"/>
          </w:tcPr>
          <w:p>
            <w:r>
              <w:t>20 July 2026</w:t>
            </w:r>
          </w:p>
        </w:tc>
        <w:tc>
          <w:tcPr>
            <w:tcW w:type="dxa" w:w="2520"/>
          </w:tcPr>
          <w:p>
            <w:r>
              <w:t>Updated completion status through Chapter 10 – Team Offence (TO-001 to TO-100). Records Chapters 1–10 and 1070 drills as complete and establishes Chapter 11 – Team Defence at TD-001 as the next resume point.</w:t>
            </w:r>
          </w:p>
        </w:tc>
        <w:tc>
          <w:tcPr>
            <w:tcW w:type="dxa" w:w="2520"/>
          </w:tcPr>
          <w:p>
            <w:r>
              <w:t>Superseded</w:t>
            </w:r>
          </w:p>
        </w:tc>
      </w:tr>
      <w:tr>
        <w:trPr>
          <w:cantSplit/>
        </w:trPr>
        <w:tc>
          <w:tcPr>
            <w:tcW w:type="dxa" w:w="2520"/>
          </w:tcPr>
          <w:p>
            <w:r>
              <w:t>11.0</w:t>
            </w:r>
          </w:p>
        </w:tc>
        <w:tc>
          <w:tcPr>
            <w:tcW w:type="dxa" w:w="2520"/>
          </w:tcPr>
          <w:p>
            <w:r>
              <w:t>20 July 2026</w:t>
            </w:r>
          </w:p>
        </w:tc>
        <w:tc>
          <w:tcPr>
            <w:tcW w:type="dxa" w:w="2520"/>
          </w:tcPr>
          <w:p>
            <w:r>
              <w:t>Updated completion status through Chapter 11 – Team Defence (TD-001 to TD-100). Records Chapters 1–11 and 1170 drills as complete and establishes Chapter 12 – Transition at TR-001 as the next resume point.</w:t>
            </w:r>
          </w:p>
        </w:tc>
        <w:tc>
          <w:tcPr>
            <w:tcW w:type="dxa" w:w="2520"/>
          </w:tcPr>
          <w:p>
            <w:r>
              <w:t>Superseded</w:t>
            </w:r>
          </w:p>
        </w:tc>
      </w:tr>
      <w:tr>
        <w:trPr>
          <w:cantSplit/>
        </w:trPr>
        <w:tc>
          <w:tcPr>
            <w:tcW w:type="dxa" w:w="2520"/>
          </w:tcPr>
          <w:p>
            <w:r>
              <w:t>12.0</w:t>
            </w:r>
          </w:p>
        </w:tc>
        <w:tc>
          <w:tcPr>
            <w:tcW w:type="dxa" w:w="2520"/>
          </w:tcPr>
          <w:p>
            <w:r>
              <w:t>20 July 2026</w:t>
            </w:r>
          </w:p>
        </w:tc>
        <w:tc>
          <w:tcPr>
            <w:tcW w:type="dxa" w:w="2520"/>
          </w:tcPr>
          <w:p>
            <w:r>
              <w:t>Updated completion status through Chapter 12 – Transition (TR-001 to TR-100). Records Chapters 1–12 and 1270 drills as complete and establishes Chapter 13 – Conditioning with Football at CF-001 as the next resume point.</w:t>
            </w:r>
          </w:p>
        </w:tc>
        <w:tc>
          <w:tcPr>
            <w:tcW w:type="dxa" w:w="2520"/>
          </w:tcPr>
          <w:p>
            <w:r>
              <w:t>Superseded</w:t>
            </w:r>
          </w:p>
        </w:tc>
      </w:tr>
      <w:tr>
        <w:trPr>
          <w:cantSplit/>
        </w:trPr>
        <w:tc>
          <w:tcPr>
            <w:tcW w:type="dxa" w:w="2520"/>
          </w:tcPr>
          <w:p>
            <w:r>
              <w:t>13.0</w:t>
            </w:r>
          </w:p>
        </w:tc>
        <w:tc>
          <w:tcPr>
            <w:tcW w:type="dxa" w:w="2520"/>
          </w:tcPr>
          <w:p>
            <w:r>
              <w:t>20 July 2026</w:t>
            </w:r>
          </w:p>
        </w:tc>
        <w:tc>
          <w:tcPr>
            <w:tcW w:type="dxa" w:w="2520"/>
          </w:tcPr>
          <w:p>
            <w:r>
              <w:t>Updated completion status through Chapter 13 – Conditioning with Football (CF-001 to CF-080). Records Chapters 1–13 and 1350 drills as complete and establishes Chapter 14 – Small-Sided Games at SG-001 as the next resume point.</w:t>
            </w:r>
          </w:p>
        </w:tc>
        <w:tc>
          <w:tcPr>
            <w:tcW w:type="dxa" w:w="2520"/>
          </w:tcPr>
          <w:p>
            <w:r>
              <w:t>Superseded</w:t>
            </w:r>
          </w:p>
        </w:tc>
      </w:tr>
      <w:tr>
        <w:trPr>
          <w:cantSplit/>
        </w:trPr>
        <w:tc>
          <w:tcPr>
            <w:tcW w:type="dxa" w:w="2520"/>
          </w:tcPr>
          <w:p>
            <w:r>
              <w:t>14.0</w:t>
            </w:r>
          </w:p>
        </w:tc>
        <w:tc>
          <w:tcPr>
            <w:tcW w:type="dxa" w:w="2520"/>
          </w:tcPr>
          <w:p>
            <w:r>
              <w:t>20 July 2026</w:t>
            </w:r>
          </w:p>
        </w:tc>
        <w:tc>
          <w:tcPr>
            <w:tcW w:type="dxa" w:w="2520"/>
          </w:tcPr>
          <w:p>
            <w:r>
              <w:t>Updated completion status through Chapter 14 – Small-Sided Games (SG-001 to SG-100). Records Chapters 1–14 and 1450 drills as complete and establishes Chapter 15 – Match Simulation at MS-001 as the next resume point.</w:t>
            </w:r>
          </w:p>
        </w:tc>
        <w:tc>
          <w:tcPr>
            <w:tcW w:type="dxa" w:w="2520"/>
          </w:tcPr>
          <w:p>
            <w:r>
              <w:t>Superseded</w:t>
            </w:r>
          </w:p>
        </w:tc>
      </w:tr>
      <w:tr>
        <w:trPr>
          <w:cantSplit/>
        </w:trPr>
        <w:tc>
          <w:tcPr>
            <w:tcW w:type="dxa" w:w="2520"/>
          </w:tcPr>
          <w:p>
            <w:r>
              <w:t>15.0</w:t>
            </w:r>
          </w:p>
        </w:tc>
        <w:tc>
          <w:tcPr>
            <w:tcW w:type="dxa" w:w="2520"/>
          </w:tcPr>
          <w:p>
            <w:r>
              <w:t>20 July 2026</w:t>
            </w:r>
          </w:p>
        </w:tc>
        <w:tc>
          <w:tcPr>
            <w:tcW w:type="dxa" w:w="2520"/>
          </w:tcPr>
          <w:p>
            <w:r>
              <w:t>Updated completion status through Chapter 15 – Match Simulation (MS-001 to MS-100). Records Chapters 1–15 and 1550 drills as complete and establishes Chapter 16 – Testing and Assessment at TA-001 as the next resume point.</w:t>
            </w:r>
          </w:p>
        </w:tc>
        <w:tc>
          <w:tcPr>
            <w:tcW w:type="dxa" w:w="2520"/>
            <w:vAlign w:val="center"/>
          </w:tcPr>
          <w:p>
            <w:r>
              <w:t>Superseded</w:t>
            </w:r>
          </w:p>
        </w:tc>
      </w:tr>
      <w:tr>
        <w:trPr>
          <w:cantSplit/>
        </w:trPr>
        <w:tc>
          <w:tcPr>
            <w:tcW w:type="dxa" w:w="2520"/>
          </w:tcPr>
          <w:p>
            <w:pPr/>
            <w:r>
              <w:rPr/>
              <w:t>16.0</w:t>
            </w:r>
          </w:p>
        </w:tc>
        <w:tc>
          <w:tcPr>
            <w:tcW w:type="dxa" w:w="2520"/>
          </w:tcPr>
          <w:p>
            <w:pPr/>
            <w:r>
              <w:rPr/>
              <w:t>20 July 2026</w:t>
            </w:r>
          </w:p>
        </w:tc>
        <w:tc>
          <w:tcPr>
            <w:tcW w:type="dxa" w:w="2520"/>
          </w:tcPr>
          <w:p>
            <w:pPr/>
            <w:r>
              <w:rPr/>
              <w:t>Updated completion status through Chapter 16 – Testing and Assessment (TA-001 to TA-060). Records Chapters 1–16 and 1610 drills as complete. The final drill is TA-060 – Testing and Assessment Chapter Final Assessment. No Chapter 17 name, prefix, scope or target range has been approved, so the next resume point is pending user direction.</w:t>
            </w:r>
          </w:p>
        </w:tc>
        <w:tc>
          <w:tcPr>
            <w:tcW w:type="dxa" w:w="2520"/>
            <w:vAlign w:val="center"/>
          </w:tcPr>
          <w:p>
            <w:pPr/>
            <w:r>
              <w:rPr/>
              <w:t>Current</w:t>
            </w:r>
          </w:p>
        </w:tc>
      </w:tr>
    </w:tbl>
    <w:p>
      <w:pPr>
        <w:spacing w:after="0"/>
      </w:pPr>
    </w:p>
    <w:p>
      <w:r>
        <w:t>Future updates should record chapter completions, prefix changes, required-field changes, scale changes and any user-approved alteration to the library architecture.</w:t>
      </w:r>
    </w:p>
    <w:p>
      <w:pPr>
        <w:pStyle w:val="Heading1"/>
        <w:keepNext/>
      </w:pPr>
      <w:r>
        <w:t>Current Resume Point</w:t>
      </w: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80" w:type="dxa"/>
              <w:start w:w="200" w:type="dxa"/>
              <w:bottom w:w="180" w:type="dxa"/>
              <w:end w:w="200" w:type="dxa"/>
            </w:tcMar>
            <w:vAlign w:val="center"/>
          </w:tcPr>
          <w:p>
            <w:r>
              <w:t>NEXT REQUIRED OUTPUT</w:t>
              <w:br/>
              <w:t>Future chapter architecture pending user direction</w:t>
              <w:br/>
              <w:t>Define Chapter 17 name, prefix, purpose, scope and target drill range before producing further drills</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reference document  •  Version 16.0  •  20 July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AFL COACHING REFERENCE LIBRARY  |  MASTER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200"/>
    </w:pPr>
    <w:rPr>
      <w:rFonts w:ascii="Arial" w:hAnsi="Arial"/>
      <w:color w:val="595959"/>
      <w:sz w:val="26"/>
    </w:rPr>
  </w:style>
  <w:style w:type="paragraph" w:customStyle="1" w:styleId="Callout">
    <w:name w:val="Callout"/>
    <w:pPr>
      <w:spacing w:before="120" w:after="120"/>
      <w:ind w:left="259" w:right="259"/>
    </w:pPr>
    <w:rPr>
      <w:rFonts w:ascii="Arial" w:hAnsi="Arial"/>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AFL Coaching Reference Library Master Document v16.0</dc:title>
  <dc:subject>Controlled standards and continuation document for the AFL Coaching Reference Library</dc:subject>
  <dc:creator>OpenAI</dc:creator>
  <cp:keywords>AFL, Australian football, coaching, drills, master document</cp:keywords>
  <dc:description>Updated after completion of Chapter 16 – Testing and Assessment through TA-060.</dc:description>
  <cp:lastModifiedBy/>
  <cp:revision>1</cp:revision>
  <dcterms:created xsi:type="dcterms:W3CDTF">2013-12-23T23:15:00Z</dcterms:created>
  <dcterms:modified xsi:type="dcterms:W3CDTF">2026-07-20T00:00:00Z</dcterms:modified>
  <cp:category/>
  <cp:version>2.0</cp:version>
</cp:coreProperties>
</file>