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Weicht and Travis Weihe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Vocab B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Non-linear content- Content that need not be read in any particular 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Hyperlinking- The ability to jump from one content point to another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links- Text graphics that, when clicked, direct site visitors to other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audience- The group or groups of people you are trying to attract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map- A diagram that helps design site navigation elements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structure- How the website is set up; how its individual pages link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Hierarchical- Information organized in content sections, moving from general to more specific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Intranet Sites- Any site on a local or restricted network, like a business network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Anchor Tags- &lt;a&gt; &lt;/a&gt; Also knows as link tags. They surround information that users click to go to another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Links (Give example)- Links to files within the same site. Ex: links to files on your own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Links (Give example)- Links to find sites that are not on this website Ex: links on the QVSD homepage to qv mail or schoology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Dot-slash notation- a combination of dots and forward slashes that serves as a path designator from one folder to another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Web Files- files that are hosted on another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 URL- a complete URL including http://, server name, domain name, path, and filename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 URL or link- a connection between two sites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links- links that give your visitor a way to contact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 Links (also known as what?)- this allows you to jump from point a on the page to point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Magic Targets- opens new windows to 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Tools- objects that make a site more usable to disabled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Titles- produce screentips that appear when sit visitors rest the mouse over a link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