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A73" w:rsidRDefault="00953F40" w:rsidP="00953F40">
      <w:pPr>
        <w:jc w:val="center"/>
      </w:pPr>
      <w:r>
        <w:rPr>
          <w:rFonts w:hint="eastAsia"/>
        </w:rPr>
        <w:t>金融創新心得</w:t>
      </w:r>
      <w:r>
        <w:t>9/24</w:t>
      </w:r>
    </w:p>
    <w:p w:rsidR="00953F40" w:rsidRDefault="00953F40" w:rsidP="00953F40">
      <w:pPr>
        <w:jc w:val="right"/>
      </w:pPr>
      <w:r>
        <w:t xml:space="preserve">R08723060 </w:t>
      </w:r>
      <w:r>
        <w:rPr>
          <w:rFonts w:hint="eastAsia"/>
        </w:rPr>
        <w:t>財金碩二</w:t>
      </w:r>
      <w:r>
        <w:rPr>
          <w:rFonts w:hint="eastAsia"/>
        </w:rPr>
        <w:t xml:space="preserve"> </w:t>
      </w:r>
      <w:r>
        <w:rPr>
          <w:rFonts w:hint="eastAsia"/>
        </w:rPr>
        <w:t>吳天友</w:t>
      </w:r>
    </w:p>
    <w:p w:rsidR="00953F40" w:rsidRDefault="00953F40" w:rsidP="00953F40"/>
    <w:p w:rsidR="00953F40" w:rsidRDefault="00953F40" w:rsidP="00953F40">
      <w:r>
        <w:tab/>
      </w:r>
      <w:r>
        <w:rPr>
          <w:rFonts w:hint="eastAsia"/>
        </w:rPr>
        <w:t>在現今低利率的時代，保險產業勢必面臨轉型，尤其在金管會所提出的新方案中，更會對保險業產生衝擊，綜合今日講者的內容，我想在這部分提出一些想法。</w:t>
      </w:r>
    </w:p>
    <w:p w:rsidR="00584A6E" w:rsidRPr="00584A6E" w:rsidRDefault="00953F40" w:rsidP="00953F40">
      <w:pPr>
        <w:rPr>
          <w:rFonts w:hint="eastAsia"/>
        </w:rPr>
      </w:pPr>
      <w:r>
        <w:tab/>
        <w:t>ICS2.0</w:t>
      </w:r>
      <w:r>
        <w:rPr>
          <w:rFonts w:hint="eastAsia"/>
        </w:rPr>
        <w:t>在五年內將要上路，取代原先的</w:t>
      </w:r>
      <w:r>
        <w:t>RBC</w:t>
      </w:r>
      <w:r>
        <w:rPr>
          <w:rFonts w:hint="eastAsia"/>
        </w:rPr>
        <w:t>制度，目前正位於</w:t>
      </w:r>
      <w:r>
        <w:t>ICS</w:t>
      </w:r>
      <w:r>
        <w:rPr>
          <w:rFonts w:hint="eastAsia"/>
        </w:rPr>
        <w:t>試算的階段，而壽險業在試算階段遇到了許多困難，首先，在外匯避險的風險抵減的部分，和以往</w:t>
      </w:r>
      <w:r>
        <w:t>RBC</w:t>
      </w:r>
      <w:r>
        <w:rPr>
          <w:rFonts w:hint="eastAsia"/>
        </w:rPr>
        <w:t>截然不同，</w:t>
      </w:r>
      <w:r>
        <w:t>ICS</w:t>
      </w:r>
      <w:r>
        <w:rPr>
          <w:rFonts w:hint="eastAsia"/>
        </w:rPr>
        <w:t>將外幣建立了外幣矩陣，</w:t>
      </w:r>
      <w:r w:rsidR="00584A6E">
        <w:rPr>
          <w:rFonts w:hint="eastAsia"/>
        </w:rPr>
        <w:t>將各個幣別分別計算風險資本，最後再予以加總，而這樣的算法對於台灣壽險業者來說，將產生更高的風險資本，因為台灣壽險業者與他國的壽險業者最大的不同在於，台灣的壽險業者所持有的國外投資部位佔所有投資部位的七成以上，若依照</w:t>
      </w:r>
      <w:proofErr w:type="spellStart"/>
      <w:r w:rsidR="00584A6E">
        <w:t>ICS</w:t>
      </w:r>
      <w:proofErr w:type="spellEnd"/>
      <w:r w:rsidR="00584A6E">
        <w:rPr>
          <w:rFonts w:hint="eastAsia"/>
        </w:rPr>
        <w:t>風險計算方式，台灣壽險業者將會付出多餘的避險成本，而另一方面，</w:t>
      </w:r>
      <w:r w:rsidR="00584A6E">
        <w:t>ICS</w:t>
      </w:r>
      <w:r w:rsidR="00584A6E">
        <w:rPr>
          <w:rFonts w:hint="eastAsia"/>
        </w:rPr>
        <w:t>對於一籃子避險也並無給予風險抵減，而一籃子避險也佔有台灣壽險業者一部分的投資部位，如今這些部位將在</w:t>
      </w:r>
      <w:r w:rsidR="00584A6E">
        <w:t>ICS</w:t>
      </w:r>
      <w:r w:rsidR="00584A6E">
        <w:rPr>
          <w:rFonts w:hint="eastAsia"/>
        </w:rPr>
        <w:t>上路後成為風險資本，所以是不是有辦法能夠讓</w:t>
      </w:r>
      <w:r w:rsidR="00584A6E">
        <w:t>ICS</w:t>
      </w:r>
      <w:r w:rsidR="00584A6E">
        <w:rPr>
          <w:rFonts w:hint="eastAsia"/>
        </w:rPr>
        <w:t>台灣在地化？舉凡韓國，韓國在</w:t>
      </w:r>
      <w:r w:rsidR="00584A6E">
        <w:t>ICS</w:t>
      </w:r>
      <w:r w:rsidR="00584A6E">
        <w:rPr>
          <w:rFonts w:hint="eastAsia"/>
        </w:rPr>
        <w:t>上路時，不只進行了多次的試算，對於一些投資的細節，也根據當地試算資料進行在地化的調整，</w:t>
      </w:r>
      <w:r w:rsidR="00F53E79">
        <w:rPr>
          <w:rFonts w:hint="eastAsia"/>
        </w:rPr>
        <w:t>我認為這是台灣可以效法的地方，另外，台灣的壽險業者，其實也不滿足</w:t>
      </w:r>
      <w:proofErr w:type="spellStart"/>
      <w:r w:rsidR="00F53E79">
        <w:t>ICS</w:t>
      </w:r>
      <w:proofErr w:type="spellEnd"/>
      <w:r w:rsidR="00F53E79">
        <w:rPr>
          <w:rFonts w:hint="eastAsia"/>
        </w:rPr>
        <w:t>中的規範對象</w:t>
      </w:r>
      <w:r w:rsidR="00F53E79">
        <w:t>IAIGs</w:t>
      </w:r>
      <w:r w:rsidR="00F53E79">
        <w:rPr>
          <w:rFonts w:hint="eastAsia"/>
        </w:rPr>
        <w:t>資格，故是不是要完全按照</w:t>
      </w:r>
      <w:r w:rsidR="00F53E79">
        <w:t>ICS</w:t>
      </w:r>
      <w:r w:rsidR="00F53E79">
        <w:rPr>
          <w:rFonts w:hint="eastAsia"/>
        </w:rPr>
        <w:t>的規定，是一個可以再作討論以及思考的地方。</w:t>
      </w:r>
    </w:p>
    <w:sectPr w:rsidR="00584A6E" w:rsidRPr="00584A6E" w:rsidSect="00C35EA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D5"/>
    <w:rsid w:val="00584A6E"/>
    <w:rsid w:val="00836AD5"/>
    <w:rsid w:val="00953F40"/>
    <w:rsid w:val="00970215"/>
    <w:rsid w:val="00C35EAC"/>
    <w:rsid w:val="00F5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4BE7"/>
  <w15:chartTrackingRefBased/>
  <w15:docId w15:val="{E3E53041-45A4-5341-A59F-17BE0E42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5B9E2A-B8D3-9944-B1E3-4E941002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2020-09-24T01:32:00Z</dcterms:created>
  <dcterms:modified xsi:type="dcterms:W3CDTF">2020-09-24T01:55:00Z</dcterms:modified>
</cp:coreProperties>
</file>