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2024-10-24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0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618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6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sec-data-methods"/>
    <w:p>
      <w:pPr>
        <w:pStyle w:val="Heading2"/>
      </w:pPr>
      <w:r>
        <w:t xml:space="preserve">2 Data &amp; Methods</w:t>
      </w:r>
    </w:p>
    <w:bookmarkEnd w:id="36"/>
    <w:bookmarkStart w:id="37" w:name="conclusion"/>
    <w:p>
      <w:pPr>
        <w:pStyle w:val="Heading2"/>
      </w:pPr>
      <w:r>
        <w:t xml:space="preserve">3 Conclusion</w:t>
      </w:r>
    </w:p>
    <w:bookmarkEnd w:id="37"/>
    <w:bookmarkStart w:id="4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40" w:name="refs"/>
    <w:bookmarkStart w:id="39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8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1" Target="media/rId21.png" /><Relationship Type="http://schemas.openxmlformats.org/officeDocument/2006/relationships/image" Id="rId31" Target="media/rId31.png" /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8" Target="https://doi.org/10.1186/s13617-019-0085-5" TargetMode="External" /><Relationship Type="http://schemas.openxmlformats.org/officeDocument/2006/relationships/hyperlink" Id="rId20" Target="https://travisz09.github.io/Quarto_Template/index.qmd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2024-10-24T19:08:31Z</dcterms:created>
  <dcterms:modified xsi:type="dcterms:W3CDTF">2024-10-24T19:08:31Z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2024-10-24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