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6547C"/>
          <w:sz w:val="40"/>
        </w:rPr>
        <w:t>CreatureCodex GUI Installer</w:t>
        <w:br/>
        <w:t>Architect Addendum</w:t>
      </w:r>
    </w:p>
    <w:p>
      <w:pPr>
        <w:jc w:val="center"/>
      </w:pPr>
      <w:r>
        <w:rPr>
          <w:i/>
          <w:sz w:val="22"/>
        </w:rPr>
        <w:t>Hardline v1 Scope, Product Decisions, and Success Criteria</w:t>
      </w:r>
    </w:p>
    <w:tbl>
      <w:tblPr>
        <w:tblW w:type="auto" w:w="0"/>
        <w:jc w:val="center"/>
        <w:tblLook w:firstColumn="1" w:firstRow="1" w:lastColumn="0" w:lastRow="0" w:noHBand="0" w:noVBand="1" w:val="04A0"/>
      </w:tblPr>
      <w:tblGrid>
        <w:gridCol w:w="9936"/>
      </w:tblGrid>
      <w:tr>
        <w:tc>
          <w:tcPr>
            <w:tcW w:type="dxa" w:w="9936"/>
            <w:shd w:fill="EEF4F8"/>
          </w:tcPr>
          <w:p>
            <w:r>
              <w:rPr>
                <w:b/>
                <w:color w:val="26547C"/>
              </w:rPr>
              <w:t>Executive decision</w:t>
            </w:r>
          </w:p>
          <w:p>
            <w:r>
              <w:t>Build a guided setup/repair wizard, not a generic setup.exe. The installer should collapse the current branching README into three user modes, validate paths before writing anything, reuse shared detection and patching logic, and produce a support-ready install report.</w:t>
            </w:r>
          </w:p>
        </w:tc>
      </w:tr>
    </w:tbl>
    <w:p/>
    <w:p>
      <w:pPr>
        <w:pStyle w:val="Heading1"/>
      </w:pPr>
      <w:r>
        <w:rPr>
          <w:color w:val="26547C"/>
        </w:rPr>
        <w:t>1. Why the installer is the right product move</w:t>
      </w:r>
    </w:p>
    <w:p>
      <w:pPr>
        <w:pStyle w:val="ListBullet"/>
      </w:pPr>
      <w:r>
        <w:t>The current package serves multiple audiences at once: repack users, TrinityCore source builders, Eluna users, and retail/WPP sniffing users.</w:t>
      </w:r>
    </w:p>
    <w:p>
      <w:pPr>
        <w:pStyle w:val="ListBullet"/>
      </w:pPr>
      <w:r>
        <w:t>That branching flow is manageable for maintainers, but it is hostile to ordinary users because it forces them to interpret optional and advanced steps before they understand which path actually applies to them.</w:t>
      </w:r>
    </w:p>
    <w:p>
      <w:pPr>
        <w:pStyle w:val="ListBullet"/>
      </w:pPr>
      <w:r>
        <w:t>A guided installer converts “read all this and decide what matters” into “answer 2–3 questions and let the tool choose the right path.”</w:t>
      </w:r>
    </w:p>
    <w:p>
      <w:pPr>
        <w:pStyle w:val="Heading1"/>
      </w:pPr>
      <w:r>
        <w:rPr>
          <w:color w:val="26547C"/>
        </w:rPr>
        <w:t>2. Keep from the current spec</w:t>
      </w:r>
    </w:p>
    <w:p>
      <w:pPr>
        <w:pStyle w:val="ListBullet"/>
      </w:pPr>
      <w:r>
        <w:rPr>
          <w:b/>
        </w:rPr>
        <w:t xml:space="preserve">Use tkinter + stdlib + PyInstaller. </w:t>
      </w:r>
      <w:r>
        <w:t>That is the correct v1 stack: low dependency risk, easy packaging, and no unnecessary UI complexity.</w:t>
      </w:r>
    </w:p>
    <w:p>
      <w:pPr>
        <w:pStyle w:val="ListBullet"/>
      </w:pPr>
      <w:r>
        <w:rPr>
          <w:b/>
        </w:rPr>
        <w:t xml:space="preserve">Extract detection logic out of session.py. </w:t>
      </w:r>
      <w:r>
        <w:t>Path and environment detection should become reusable application logic, not a side effect of one helper script.</w:t>
      </w:r>
    </w:p>
    <w:p>
      <w:pPr>
        <w:pStyle w:val="ListBullet"/>
      </w:pPr>
      <w:r>
        <w:rPr>
          <w:b/>
        </w:rPr>
        <w:t xml:space="preserve">Extract the patch engine into a shared module. </w:t>
      </w:r>
      <w:r>
        <w:t>The GUI and CLI patcher must call the same implementation so they do not drift.</w:t>
      </w:r>
    </w:p>
    <w:p>
      <w:pPr>
        <w:pStyle w:val="ListBullet"/>
      </w:pPr>
      <w:r>
        <w:rPr>
          <w:b/>
        </w:rPr>
        <w:t xml:space="preserve">Use phased execution with visible progress. </w:t>
      </w:r>
      <w:r>
        <w:t>Users should see Validate Inputs -&gt; Copy Addon -&gt; Patch Sources -&gt; Copy Scripts -&gt; Final Guidance.</w:t>
      </w:r>
    </w:p>
    <w:p>
      <w:pPr>
        <w:pStyle w:val="ListBullet"/>
      </w:pPr>
      <w:r>
        <w:rPr>
          <w:b/>
        </w:rPr>
        <w:t xml:space="preserve">Generate text + JSON install reports. </w:t>
      </w:r>
      <w:r>
        <w:t>That gives maintainers a support artifact instead of vague screenshots and paraphrases.</w:t>
      </w:r>
    </w:p>
    <w:p>
      <w:pPr>
        <w:pStyle w:val="ListBullet"/>
      </w:pPr>
      <w:r>
        <w:rPr>
          <w:b/>
        </w:rPr>
        <w:t xml:space="preserve">Detect existing installs. </w:t>
      </w:r>
      <w:r>
        <w:t>Frame the workflow as Install / Repair / Upgrade instead of always assuming first-time install.</w:t>
      </w:r>
    </w:p>
    <w:p>
      <w:pPr>
        <w:pStyle w:val="Heading1"/>
      </w:pPr>
      <w:r>
        <w:rPr>
          <w:color w:val="26547C"/>
        </w:rPr>
        <w:t>3. What to cut or defer in v1</w:t>
      </w:r>
    </w:p>
    <w:p>
      <w:pPr>
        <w:pStyle w:val="ListBullet"/>
      </w:pPr>
      <w:r>
        <w:t>Do not execute SQL directly against user databases.</w:t>
      </w:r>
    </w:p>
    <w:p>
      <w:pPr>
        <w:pStyle w:val="ListBullet"/>
      </w:pPr>
      <w:r>
        <w:t>Do not blindly auto-edit custom loader files on arbitrary TrinityCore forks.</w:t>
      </w:r>
    </w:p>
    <w:p>
      <w:pPr>
        <w:pStyle w:val="ListBullet"/>
      </w:pPr>
      <w:r>
        <w:t>Do not expose a large matrix of advanced checkboxes on the first screen.</w:t>
      </w:r>
    </w:p>
    <w:p>
      <w:pPr>
        <w:pStyle w:val="ListBullet"/>
      </w:pPr>
      <w:r>
        <w:t>Do not over-automate unsupported or unusual fork layouts; fail honestly and fall back to exact manual guidance.</w:t>
      </w:r>
    </w:p>
    <w:p>
      <w:pPr>
        <w:pStyle w:val="ListBullet"/>
      </w:pPr>
      <w:r>
        <w:t>Do not spend v1 effort on a fancy UI framework. Reliability and supportability matter more than aesthetics.</w:t>
      </w:r>
    </w:p>
    <w:p>
      <w:pPr>
        <w:pStyle w:val="Heading1"/>
      </w:pPr>
      <w:r>
        <w:rPr>
          <w:color w:val="26547C"/>
        </w:rPr>
        <w:t>4. Product shape I would impose</w:t>
      </w:r>
    </w:p>
    <w:p>
      <w:pPr>
        <w:pStyle w:val="ListBullet"/>
      </w:pPr>
      <w:r>
        <w:t>Make the product a guided setup/repair wizard with four actions: Install, Repair, Upgrade, Validate.</w:t>
      </w:r>
    </w:p>
    <w:p>
      <w:pPr>
        <w:pStyle w:val="ListBullet"/>
      </w:pPr>
      <w:r>
        <w:t>Show only three install modes on the first decision screen:</w:t>
      </w:r>
    </w:p>
    <w:p>
      <w:pPr>
        <w:pStyle w:val="ListBullet2"/>
      </w:pPr>
      <w:r>
        <w:t>Addon Only — for repack users who just need the addon installed correctly.</w:t>
      </w:r>
    </w:p>
    <w:p>
      <w:pPr>
        <w:pStyle w:val="ListBullet2"/>
      </w:pPr>
      <w:r>
        <w:t>Addon + Sniff Tools — for users who want local capture/WPP/Ymir helper tooling.</w:t>
      </w:r>
    </w:p>
    <w:p>
      <w:pPr>
        <w:pStyle w:val="ListBullet2"/>
      </w:pPr>
      <w:r>
        <w:t>Source Build / Advanced — for TrinityCore users who compile from source and may want hooks and optional Eluna integration.</w:t>
      </w:r>
    </w:p>
    <w:p>
      <w:pPr>
        <w:pStyle w:val="Heading1"/>
      </w:pPr>
      <w:r>
        <w:rPr>
          <w:color w:val="26547C"/>
        </w:rPr>
        <w:t>5. Required UX rules</w:t>
      </w:r>
    </w:p>
    <w:p>
      <w:pPr>
        <w:pStyle w:val="ListBullet"/>
      </w:pPr>
      <w:r>
        <w:t>Auto-detect first, but always show the resolved path and always provide Browse. Detection should be helpful, never magical.</w:t>
      </w:r>
    </w:p>
    <w:p>
      <w:pPr>
        <w:pStyle w:val="ListBullet"/>
      </w:pPr>
      <w:r>
        <w:t>Before any writes, present a preflight summary page with all detected paths, compatibility results, selected actions, and warnings.</w:t>
      </w:r>
    </w:p>
    <w:p>
      <w:pPr>
        <w:pStyle w:val="ListBullet"/>
      </w:pPr>
      <w:r>
        <w:t>The installer must validate the final addon layout explicitly. The last-mile success check should confirm the user ends up with AddOns\CreatureCodex\CreatureCodex.toc, not just “copy succeeded.”</w:t>
      </w:r>
    </w:p>
    <w:p>
      <w:pPr>
        <w:pStyle w:val="ListBullet"/>
      </w:pPr>
      <w:r>
        <w:t>Unsupported fork states must produce a clear, non-bluffing result: what failed, where it failed, and what manual step is required next.</w:t>
      </w:r>
    </w:p>
    <w:p>
      <w:r>
        <w:br w:type="page"/>
      </w:r>
    </w:p>
    <w:p>
      <w:pPr>
        <w:pStyle w:val="Heading1"/>
      </w:pPr>
      <w:r>
        <w:rPr>
          <w:color w:val="26547C"/>
        </w:rPr>
        <w:t>6. Recommended v1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vAlign w:val="center"/>
          </w:tcPr>
          <w:p>
            <w:pPr>
              <w:spacing w:before="40" w:after="40"/>
            </w:pPr>
            <w:r>
              <w:t>Module</w:t>
            </w:r>
          </w:p>
        </w:tc>
        <w:tc>
          <w:tcPr>
            <w:tcW w:type="dxa" w:w="3312"/>
            <w:shd w:fill="DCE6F1"/>
            <w:vAlign w:val="center"/>
          </w:tcPr>
          <w:p>
            <w:pPr>
              <w:spacing w:before="40" w:after="40"/>
            </w:pPr>
            <w:r>
              <w:t>Owns</w:t>
            </w:r>
          </w:p>
        </w:tc>
        <w:tc>
          <w:tcPr>
            <w:tcW w:type="dxa" w:w="3312"/>
            <w:shd w:fill="DCE6F1"/>
            <w:vAlign w:val="center"/>
          </w:tcPr>
          <w:p>
            <w:pPr>
              <w:spacing w:before="40" w:after="40"/>
            </w:pPr>
            <w:r>
              <w:t>Notes</w:t>
            </w:r>
          </w:p>
        </w:tc>
      </w:tr>
      <w:tr>
        <w:tc>
          <w:tcPr>
            <w:tcW w:type="dxa" w:w="3312"/>
            <w:vAlign w:val="center"/>
          </w:tcPr>
          <w:p>
            <w:pPr>
              <w:spacing w:before="40" w:after="40"/>
            </w:pPr>
            <w:r>
              <w:t>installer_app.py</w:t>
            </w:r>
          </w:p>
        </w:tc>
        <w:tc>
          <w:tcPr>
            <w:tcW w:type="dxa" w:w="3312"/>
            <w:vAlign w:val="center"/>
          </w:tcPr>
          <w:p>
            <w:pPr>
              <w:spacing w:before="40" w:after="40"/>
            </w:pPr>
            <w:r>
              <w:t>tkinter GUI only</w:t>
            </w:r>
          </w:p>
        </w:tc>
        <w:tc>
          <w:tcPr>
            <w:tcW w:type="dxa" w:w="3312"/>
            <w:vAlign w:val="center"/>
          </w:tcPr>
          <w:p>
            <w:pPr>
              <w:spacing w:before="40" w:after="40"/>
            </w:pPr>
            <w:r>
              <w:t>No business logic; just screens, progress, and user input.</w:t>
            </w:r>
          </w:p>
        </w:tc>
      </w:tr>
      <w:tr>
        <w:tc>
          <w:tcPr>
            <w:tcW w:type="dxa" w:w="3312"/>
            <w:vAlign w:val="center"/>
          </w:tcPr>
          <w:p>
            <w:pPr>
              <w:spacing w:before="40" w:after="40"/>
            </w:pPr>
            <w:r>
              <w:t>installer_core.py</w:t>
            </w:r>
          </w:p>
        </w:tc>
        <w:tc>
          <w:tcPr>
            <w:tcW w:type="dxa" w:w="3312"/>
            <w:vAlign w:val="center"/>
          </w:tcPr>
          <w:p>
            <w:pPr>
              <w:spacing w:before="40" w:after="40"/>
            </w:pPr>
            <w:r>
              <w:t>workflow orchestration</w:t>
            </w:r>
          </w:p>
        </w:tc>
        <w:tc>
          <w:tcPr>
            <w:tcW w:type="dxa" w:w="3312"/>
            <w:vAlign w:val="center"/>
          </w:tcPr>
          <w:p>
            <w:pPr>
              <w:spacing w:before="40" w:after="40"/>
            </w:pPr>
            <w:r>
              <w:t>Build install plans, run phases, collect results.</w:t>
            </w:r>
          </w:p>
        </w:tc>
      </w:tr>
      <w:tr>
        <w:tc>
          <w:tcPr>
            <w:tcW w:type="dxa" w:w="3312"/>
            <w:vAlign w:val="center"/>
          </w:tcPr>
          <w:p>
            <w:pPr>
              <w:spacing w:before="40" w:after="40"/>
            </w:pPr>
            <w:r>
              <w:t>detection.py</w:t>
            </w:r>
          </w:p>
        </w:tc>
        <w:tc>
          <w:tcPr>
            <w:tcW w:type="dxa" w:w="3312"/>
            <w:vAlign w:val="center"/>
          </w:tcPr>
          <w:p>
            <w:pPr>
              <w:spacing w:before="40" w:after="40"/>
            </w:pPr>
            <w:r>
              <w:t>WoW/TC/tool detection</w:t>
            </w:r>
          </w:p>
        </w:tc>
        <w:tc>
          <w:tcPr>
            <w:tcW w:type="dxa" w:w="3312"/>
            <w:vAlign w:val="center"/>
          </w:tcPr>
          <w:p>
            <w:pPr>
              <w:spacing w:before="40" w:after="40"/>
            </w:pPr>
            <w:r>
              <w:t>Single source of truth for path resolution and environment checks.</w:t>
            </w:r>
          </w:p>
        </w:tc>
      </w:tr>
      <w:tr>
        <w:tc>
          <w:tcPr>
            <w:tcW w:type="dxa" w:w="3312"/>
            <w:vAlign w:val="center"/>
          </w:tcPr>
          <w:p>
            <w:pPr>
              <w:spacing w:before="40" w:after="40"/>
            </w:pPr>
            <w:r>
              <w:t>hook_patcher.py</w:t>
            </w:r>
          </w:p>
        </w:tc>
        <w:tc>
          <w:tcPr>
            <w:tcW w:type="dxa" w:w="3312"/>
            <w:vAlign w:val="center"/>
          </w:tcPr>
          <w:p>
            <w:pPr>
              <w:spacing w:before="40" w:after="40"/>
            </w:pPr>
            <w:r>
              <w:t>reusable patch engine</w:t>
            </w:r>
          </w:p>
        </w:tc>
        <w:tc>
          <w:tcPr>
            <w:tcW w:type="dxa" w:w="3312"/>
            <w:vAlign w:val="center"/>
          </w:tcPr>
          <w:p>
            <w:pPr>
              <w:spacing w:before="40" w:after="40"/>
            </w:pPr>
            <w:r>
              <w:t>Imported by both GUI and CLI wrapper.</w:t>
            </w:r>
          </w:p>
        </w:tc>
      </w:tr>
      <w:tr>
        <w:tc>
          <w:tcPr>
            <w:tcW w:type="dxa" w:w="3312"/>
            <w:vAlign w:val="center"/>
          </w:tcPr>
          <w:p>
            <w:pPr>
              <w:spacing w:before="40" w:after="40"/>
            </w:pPr>
            <w:r>
              <w:t>operations.py</w:t>
            </w:r>
          </w:p>
        </w:tc>
        <w:tc>
          <w:tcPr>
            <w:tcW w:type="dxa" w:w="3312"/>
            <w:vAlign w:val="center"/>
          </w:tcPr>
          <w:p>
            <w:pPr>
              <w:spacing w:before="40" w:after="40"/>
            </w:pPr>
            <w:r>
              <w:t>copy/validate/report helpers</w:t>
            </w:r>
          </w:p>
        </w:tc>
        <w:tc>
          <w:tcPr>
            <w:tcW w:type="dxa" w:w="3312"/>
            <w:vAlign w:val="center"/>
          </w:tcPr>
          <w:p>
            <w:pPr>
              <w:spacing w:before="40" w:after="40"/>
            </w:pPr>
            <w:r>
              <w:t>Filesystem actions, backup, validation, and report writing.</w:t>
            </w:r>
          </w:p>
        </w:tc>
      </w:tr>
      <w:tr>
        <w:tc>
          <w:tcPr>
            <w:tcW w:type="dxa" w:w="3312"/>
            <w:vAlign w:val="center"/>
          </w:tcPr>
          <w:p>
            <w:pPr>
              <w:spacing w:before="40" w:after="40"/>
            </w:pPr>
            <w:r>
              <w:t>models.py</w:t>
            </w:r>
          </w:p>
        </w:tc>
        <w:tc>
          <w:tcPr>
            <w:tcW w:type="dxa" w:w="3312"/>
            <w:vAlign w:val="center"/>
          </w:tcPr>
          <w:p>
            <w:pPr>
              <w:spacing w:before="40" w:after="40"/>
            </w:pPr>
            <w:r>
              <w:t>dataclasses / result models</w:t>
            </w:r>
          </w:p>
        </w:tc>
        <w:tc>
          <w:tcPr>
            <w:tcW w:type="dxa" w:w="3312"/>
            <w:vAlign w:val="center"/>
          </w:tcPr>
          <w:p>
            <w:pPr>
              <w:spacing w:before="40" w:after="40"/>
            </w:pPr>
            <w:r>
              <w:t>Config, install plan, phase result, warnings, final report.</w:t>
            </w:r>
          </w:p>
        </w:tc>
      </w:tr>
    </w:tbl>
    <w:p/>
    <w:p>
      <w:pPr>
        <w:pStyle w:val="Heading1"/>
      </w:pPr>
      <w:r>
        <w:rPr>
          <w:color w:val="26547C"/>
        </w:rPr>
        <w:t>7. What each mode should actually do</w:t>
      </w:r>
    </w:p>
    <w:p>
      <w:pPr>
        <w:pStyle w:val="Heading2"/>
      </w:pPr>
      <w:r>
        <w:rPr>
          <w:color w:val="202020"/>
        </w:rPr>
        <w:t>Addon Only</w:t>
      </w:r>
    </w:p>
    <w:p>
      <w:pPr>
        <w:pStyle w:val="ListBullet"/>
      </w:pPr>
      <w:r>
        <w:t>Detect or ask for WoW directory.</w:t>
      </w:r>
    </w:p>
    <w:p>
      <w:pPr>
        <w:pStyle w:val="ListBullet"/>
      </w:pPr>
      <w:r>
        <w:t>Copy the addon folder into the correct AddOns location.</w:t>
      </w:r>
    </w:p>
    <w:p>
      <w:pPr>
        <w:pStyle w:val="ListBullet"/>
      </w:pPr>
      <w:r>
        <w:t>Validate the final TOC path.</w:t>
      </w:r>
    </w:p>
    <w:p>
      <w:pPr>
        <w:pStyle w:val="ListBullet"/>
      </w:pPr>
      <w:r>
        <w:t>Offer Open Quick Start and optionally create a desktop shortcut.</w:t>
      </w:r>
    </w:p>
    <w:p>
      <w:pPr>
        <w:pStyle w:val="Heading2"/>
      </w:pPr>
      <w:r>
        <w:rPr>
          <w:color w:val="202020"/>
        </w:rPr>
        <w:t>Addon + Sniff Tools</w:t>
      </w:r>
    </w:p>
    <w:p>
      <w:pPr>
        <w:pStyle w:val="ListBullet"/>
      </w:pPr>
      <w:r>
        <w:t>Do everything in Addon Only.</w:t>
      </w:r>
    </w:p>
    <w:p>
      <w:pPr>
        <w:pStyle w:val="ListBullet"/>
      </w:pPr>
      <w:r>
        <w:t>Validate Python and helper tool dependencies.</w:t>
      </w:r>
    </w:p>
    <w:p>
      <w:pPr>
        <w:pStyle w:val="ListBullet"/>
      </w:pPr>
      <w:r>
        <w:t>Configure or launch the watcher/session helper path.</w:t>
      </w:r>
    </w:p>
    <w:p>
      <w:pPr>
        <w:pStyle w:val="ListBullet"/>
      </w:pPr>
      <w:r>
        <w:t>Offer a quick test of the capture/import pipeline.</w:t>
      </w:r>
    </w:p>
    <w:p>
      <w:pPr>
        <w:pStyle w:val="Heading2"/>
      </w:pPr>
      <w:r>
        <w:rPr>
          <w:color w:val="202020"/>
        </w:rPr>
        <w:t>Source Build / Advanced</w:t>
      </w:r>
    </w:p>
    <w:p>
      <w:pPr>
        <w:pStyle w:val="ListBullet"/>
      </w:pPr>
      <w:r>
        <w:t>Detect or ask for the TrinityCore source directory.</w:t>
      </w:r>
    </w:p>
    <w:p>
      <w:pPr>
        <w:pStyle w:val="ListBullet"/>
      </w:pPr>
      <w:r>
        <w:t>Run patcher preflight before writing anything.</w:t>
      </w:r>
    </w:p>
    <w:p>
      <w:pPr>
        <w:pStyle w:val="ListBullet"/>
      </w:pPr>
      <w:r>
        <w:t>Copy supported server files and optional Eluna script when selected.</w:t>
      </w:r>
    </w:p>
    <w:p>
      <w:pPr>
        <w:pStyle w:val="ListBullet"/>
      </w:pPr>
      <w:r>
        <w:t>Apply hooks only if the fork is compatible; otherwise stop and provide exact manual guidance.</w:t>
      </w:r>
    </w:p>
    <w:p>
      <w:pPr>
        <w:pStyle w:val="ListBullet"/>
      </w:pPr>
      <w:r>
        <w:t>Write final rebuild steps and a support-ready install report.</w:t>
      </w:r>
    </w:p>
    <w:p>
      <w:pPr>
        <w:pStyle w:val="Heading1"/>
      </w:pPr>
      <w:r>
        <w:rPr>
          <w:color w:val="26547C"/>
        </w:rPr>
        <w:t>8. Validation mode must exist</w:t>
      </w:r>
    </w:p>
    <w:p>
      <w:pPr>
        <w:pStyle w:val="ListBullet"/>
      </w:pPr>
      <w:r>
        <w:t>A Validate Existing Install button should check addon placement, required files, patch state, optional Eluna presence, and helper-tool readiness.</w:t>
      </w:r>
    </w:p>
    <w:p>
      <w:pPr>
        <w:pStyle w:val="ListBullet"/>
      </w:pPr>
      <w:r>
        <w:t>This turns “it doesn’t work” into a deterministic support result instead of screenshots and guesswork.</w:t>
      </w:r>
    </w:p>
    <w:p>
      <w:pPr>
        <w:pStyle w:val="Heading1"/>
      </w:pPr>
      <w:r>
        <w:rPr>
          <w:color w:val="26547C"/>
        </w:rPr>
        <w:t>9. Hard v1 success criteria</w:t>
      </w:r>
    </w:p>
    <w:tbl>
      <w:tblPr>
        <w:tblStyle w:val="TableGrid"/>
        <w:tblW w:type="auto" w:w="0"/>
        <w:jc w:val="center"/>
        <w:tblLook w:firstColumn="1" w:firstRow="1" w:lastColumn="0" w:lastRow="0" w:noHBand="0" w:noVBand="1" w:val="04A0"/>
      </w:tblPr>
      <w:tblGrid>
        <w:gridCol w:w="4968"/>
        <w:gridCol w:w="4968"/>
      </w:tblGrid>
      <w:tr>
        <w:tc>
          <w:tcPr>
            <w:tcW w:type="dxa" w:w="4968"/>
            <w:shd w:fill="DCE6F1"/>
            <w:vAlign w:val="center"/>
          </w:tcPr>
          <w:p>
            <w:pPr>
              <w:spacing w:before="40" w:after="40"/>
            </w:pPr>
            <w:r>
              <w:t>Area</w:t>
            </w:r>
          </w:p>
        </w:tc>
        <w:tc>
          <w:tcPr>
            <w:tcW w:type="dxa" w:w="4968"/>
            <w:shd w:fill="DCE6F1"/>
            <w:vAlign w:val="center"/>
          </w:tcPr>
          <w:p>
            <w:pPr>
              <w:spacing w:before="40" w:after="40"/>
            </w:pPr>
            <w:r>
              <w:t>Must be true</w:t>
            </w:r>
          </w:p>
        </w:tc>
      </w:tr>
      <w:tr>
        <w:tc>
          <w:tcPr>
            <w:tcW w:type="dxa" w:w="4968"/>
            <w:vAlign w:val="center"/>
          </w:tcPr>
          <w:p>
            <w:pPr>
              <w:spacing w:before="40" w:after="40"/>
            </w:pPr>
            <w:r>
              <w:t>Addon install</w:t>
            </w:r>
          </w:p>
        </w:tc>
        <w:tc>
          <w:tcPr>
            <w:tcW w:type="dxa" w:w="4968"/>
            <w:vAlign w:val="center"/>
          </w:tcPr>
          <w:p>
            <w:pPr>
              <w:spacing w:before="40" w:after="40"/>
            </w:pPr>
            <w:r>
              <w:t>A repack user can complete Addon Only with one folder selection and end in a verified, loadable addon layout.</w:t>
            </w:r>
          </w:p>
        </w:tc>
      </w:tr>
      <w:tr>
        <w:tc>
          <w:tcPr>
            <w:tcW w:type="dxa" w:w="4968"/>
            <w:vAlign w:val="center"/>
          </w:tcPr>
          <w:p>
            <w:pPr>
              <w:spacing w:before="40" w:after="40"/>
            </w:pPr>
            <w:r>
              <w:t>Detection</w:t>
            </w:r>
          </w:p>
        </w:tc>
        <w:tc>
          <w:tcPr>
            <w:tcW w:type="dxa" w:w="4968"/>
            <w:vAlign w:val="center"/>
          </w:tcPr>
          <w:p>
            <w:pPr>
              <w:spacing w:before="40" w:after="40"/>
            </w:pPr>
            <w:r>
              <w:t>The tool can auto-detect common WoW paths but never hides the resolved path from the user.</w:t>
            </w:r>
          </w:p>
        </w:tc>
      </w:tr>
      <w:tr>
        <w:tc>
          <w:tcPr>
            <w:tcW w:type="dxa" w:w="4968"/>
            <w:vAlign w:val="center"/>
          </w:tcPr>
          <w:p>
            <w:pPr>
              <w:spacing w:before="40" w:after="40"/>
            </w:pPr>
            <w:r>
              <w:t>Patching</w:t>
            </w:r>
          </w:p>
        </w:tc>
        <w:tc>
          <w:tcPr>
            <w:tcW w:type="dxa" w:w="4968"/>
            <w:vAlign w:val="center"/>
          </w:tcPr>
          <w:p>
            <w:pPr>
              <w:spacing w:before="40" w:after="40"/>
            </w:pPr>
            <w:r>
              <w:t>The patch engine preflights targets before modification and fails honestly on unsupported forks.</w:t>
            </w:r>
          </w:p>
        </w:tc>
      </w:tr>
      <w:tr>
        <w:tc>
          <w:tcPr>
            <w:tcW w:type="dxa" w:w="4968"/>
            <w:vAlign w:val="center"/>
          </w:tcPr>
          <w:p>
            <w:pPr>
              <w:spacing w:before="40" w:after="40"/>
            </w:pPr>
            <w:r>
              <w:t>Reports</w:t>
            </w:r>
          </w:p>
        </w:tc>
        <w:tc>
          <w:tcPr>
            <w:tcW w:type="dxa" w:w="4968"/>
            <w:vAlign w:val="center"/>
          </w:tcPr>
          <w:p>
            <w:pPr>
              <w:spacing w:before="40" w:after="40"/>
            </w:pPr>
            <w:r>
              <w:t>Every run writes a readable .txt report and a machine-readable .json report.</w:t>
            </w:r>
          </w:p>
        </w:tc>
      </w:tr>
      <w:tr>
        <w:tc>
          <w:tcPr>
            <w:tcW w:type="dxa" w:w="4968"/>
            <w:vAlign w:val="center"/>
          </w:tcPr>
          <w:p>
            <w:pPr>
              <w:spacing w:before="40" w:after="40"/>
            </w:pPr>
            <w:r>
              <w:t>Repair</w:t>
            </w:r>
          </w:p>
        </w:tc>
        <w:tc>
          <w:tcPr>
            <w:tcW w:type="dxa" w:w="4968"/>
            <w:vAlign w:val="center"/>
          </w:tcPr>
          <w:p>
            <w:pPr>
              <w:spacing w:before="40" w:after="40"/>
            </w:pPr>
            <w:r>
              <w:t>The installer can detect existing installs and offer Repair/Upgrade instead of blindly overwriting.</w:t>
            </w:r>
          </w:p>
        </w:tc>
      </w:tr>
      <w:tr>
        <w:tc>
          <w:tcPr>
            <w:tcW w:type="dxa" w:w="4968"/>
            <w:vAlign w:val="center"/>
          </w:tcPr>
          <w:p>
            <w:pPr>
              <w:spacing w:before="40" w:after="40"/>
            </w:pPr>
            <w:r>
              <w:t>Support</w:t>
            </w:r>
          </w:p>
        </w:tc>
        <w:tc>
          <w:tcPr>
            <w:tcW w:type="dxa" w:w="4968"/>
            <w:vAlign w:val="center"/>
          </w:tcPr>
          <w:p>
            <w:pPr>
              <w:spacing w:before="40" w:after="40"/>
            </w:pPr>
            <w:r>
              <w:t>A maintainer can diagnose a failed install from the generated report without needing a long back-and-forth.</w:t>
            </w:r>
          </w:p>
        </w:tc>
      </w:tr>
      <w:tr>
        <w:tc>
          <w:tcPr>
            <w:tcW w:type="dxa" w:w="4968"/>
            <w:vAlign w:val="center"/>
          </w:tcPr>
          <w:p>
            <w:pPr>
              <w:spacing w:before="40" w:after="40"/>
            </w:pPr>
            <w:r>
              <w:t>Packaging</w:t>
            </w:r>
          </w:p>
        </w:tc>
        <w:tc>
          <w:tcPr>
            <w:tcW w:type="dxa" w:w="4968"/>
            <w:vAlign w:val="center"/>
          </w:tcPr>
          <w:p>
            <w:pPr>
              <w:spacing w:before="40" w:after="40"/>
            </w:pPr>
            <w:r>
              <w:t>The distributed zip and the installer UI describe the same real folder structure and steps.</w:t>
            </w:r>
          </w:p>
        </w:tc>
      </w:tr>
    </w:tbl>
    <w:p/>
    <w:p>
      <w:pPr>
        <w:pStyle w:val="Heading1"/>
      </w:pPr>
      <w:r>
        <w:rPr>
          <w:color w:val="26547C"/>
        </w:rPr>
        <w:t>10. Non-goals for v1</w:t>
      </w:r>
    </w:p>
    <w:p>
      <w:pPr>
        <w:pStyle w:val="ListBullet"/>
      </w:pPr>
      <w:r>
        <w:t>No database login or SQL execution.</w:t>
      </w:r>
    </w:p>
    <w:p>
      <w:pPr>
        <w:pStyle w:val="ListBullet"/>
      </w:pPr>
      <w:r>
        <w:t>No blind loader-file surgery on custom forks.</w:t>
      </w:r>
    </w:p>
    <w:p>
      <w:pPr>
        <w:pStyle w:val="ListBullet"/>
      </w:pPr>
      <w:r>
        <w:t>No marketplace-style plugin system or network-dependent behavior.</w:t>
      </w:r>
    </w:p>
    <w:p>
      <w:pPr>
        <w:pStyle w:val="ListBullet"/>
      </w:pPr>
      <w:r>
        <w:t>No requirement for admin elevation unless a later feature genuinely needs it.</w:t>
      </w:r>
    </w:p>
    <w:p>
      <w:pPr>
        <w:pStyle w:val="Heading1"/>
      </w:pPr>
      <w:r>
        <w:rPr>
          <w:color w:val="26547C"/>
        </w:rPr>
        <w:t>11. Recommended implementation order</w:t>
      </w:r>
    </w:p>
    <w:p>
      <w:pPr>
        <w:pStyle w:val="ListNumber"/>
      </w:pPr>
      <w:r>
        <w:t>Extract reusable logic from session.py and install_hooks.py into shared modules.</w:t>
      </w:r>
    </w:p>
    <w:p>
      <w:pPr>
        <w:pStyle w:val="ListNumber"/>
      </w:pPr>
      <w:r>
        <w:t>Define dataclasses and install-plan models.</w:t>
      </w:r>
    </w:p>
    <w:p>
      <w:pPr>
        <w:pStyle w:val="ListNumber"/>
      </w:pPr>
      <w:r>
        <w:t>Implement detection and validation with tests.</w:t>
      </w:r>
    </w:p>
    <w:p>
      <w:pPr>
        <w:pStyle w:val="ListNumber"/>
      </w:pPr>
      <w:r>
        <w:t>Build the tkinter GUI around preflight -&gt; install -&gt; report.</w:t>
      </w:r>
    </w:p>
    <w:p>
      <w:pPr>
        <w:pStyle w:val="ListNumber"/>
      </w:pPr>
      <w:r>
        <w:t>Add Repair / Upgrade / Validate flows.</w:t>
      </w:r>
    </w:p>
    <w:p>
      <w:pPr>
        <w:pStyle w:val="ListNumber"/>
      </w:pPr>
      <w:r>
        <w:t>Package with PyInstaller and run clean-machine tests.</w:t>
      </w:r>
    </w:p>
    <w:p>
      <w:pPr>
        <w:pStyle w:val="Heading1"/>
      </w:pPr>
      <w:r>
        <w:rPr>
          <w:color w:val="26547C"/>
        </w:rPr>
        <w:t>12. Bottom line</w:t>
      </w:r>
    </w:p>
    <w:p>
      <w:r>
        <w:rPr>
          <w:b/>
        </w:rPr>
        <w:t>The installer should not try to be a magic black box. It should be a disciplined setup and validation tool that reduces branching, makes the correct path obvious, and produces support-quality evidence. That is the fastest route to a product that feels easier, safer, and more legitimate than a giant choose-your-own-adventure README.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