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Noto Sans" w:hAnsi="Noto Sans" w:eastAsia="Noto Sans CJK JP"/>
          <w:b/>
          <w:color w:val="50646E"/>
          <w:sz w:val="22"/>
        </w:rPr>
        <w:t>APPLICATION D’APPRENTISSAGE DU JAPONAIS</w:t>
      </w:r>
    </w:p>
    <w:p>
      <w:pPr>
        <w:pStyle w:val="Title"/>
        <w:jc w:val="center"/>
      </w:pPr>
      <w:r>
        <w:rPr>
          <w:rFonts w:ascii="Noto Sans" w:hAnsi="Noto Sans" w:eastAsia="Noto Sans CJK JP"/>
          <w:b/>
          <w:color w:val="19374B"/>
          <w:sz w:val="46"/>
        </w:rPr>
        <w:t>Architecture pédagogique commune des missions</w:t>
      </w:r>
    </w:p>
    <w:p>
      <w:pPr>
        <w:jc w:val="center"/>
      </w:pPr>
      <w:r>
        <w:rPr>
          <w:rFonts w:ascii="Noto Sans" w:hAnsi="Noto Sans" w:eastAsia="Noto Sans CJK JP"/>
          <w:color w:val="375564"/>
          <w:sz w:val="21"/>
        </w:rPr>
        <w:t>Progression • Maîtrise • Can-do • Révision espacée • Évaluations • Aides adaptatives • Modes d’apprentissage</w:t>
      </w:r>
    </w:p>
    <w:p/>
    <w:tbl>
      <w:tblPr>
        <w:tblW w:type="auto" w:w="0"/>
        <w:jc w:val="center"/>
        <w:tblLook w:firstColumn="1" w:firstRow="1" w:lastColumn="0" w:lastRow="0" w:noHBand="0" w:noVBand="1" w:val="04A0"/>
      </w:tblPr>
      <w:tblGrid>
        <w:gridCol w:w="10224"/>
      </w:tblGrid>
      <w:tr>
        <w:trPr>
          <w:cantSplit w:val="1"/>
        </w:trPr>
        <w:tc>
          <w:tcPr>
            <w:tcW w:type="dxa" w:w="10224"/>
            <w:shd w:fill="E8F3F6"/>
            <w:tcMar>
              <w:top w:w="95" w:type="dxa"/>
              <w:start w:w="125" w:type="dxa"/>
              <w:bottom w:w="95" w:type="dxa"/>
              <w:end w:w="125" w:type="dxa"/>
            </w:tcMar>
          </w:tcPr>
          <w:p>
            <w:pPr>
              <w:spacing w:after="60"/>
            </w:pPr>
            <w:r>
              <w:rPr>
                <w:rFonts w:ascii="Noto Sans" w:hAnsi="Noto Sans" w:eastAsia="Noto Sans CJK JP"/>
                <w:b/>
                <w:sz w:val="20"/>
              </w:rPr>
              <w:t>Rôle de ce document</w:t>
            </w:r>
          </w:p>
          <w:p>
            <w:pPr>
              <w:spacing w:after="0"/>
            </w:pPr>
            <w:r>
              <w:rPr>
                <w:rFonts w:ascii="Noto Sans" w:hAnsi="Noto Sans" w:eastAsia="Noto Sans CJK JP"/>
                <w:sz w:val="18"/>
              </w:rPr>
              <w:t>Ce document est la règle commune qui transforme les huit étapes pédagogiques 0 à 7 en un système de missions cohérent. Il ne fixe pas encore le nombre exact de missions, les listes finales de vocabulaire ou la structure SQL. Il définit ce que le futur moteur de l’application doit être capable d’enseigner, de mesurer, de réviser et de débloquer.</w:t>
            </w:r>
          </w:p>
        </w:tc>
      </w:tr>
    </w:tbl>
    <w:p>
      <w:pPr>
        <w:spacing w:after="0"/>
      </w:pPr>
    </w:p>
    <w:p>
      <w:pPr>
        <w:jc w:val="center"/>
      </w:pPr>
      <w:r>
        <w:rPr>
          <w:rFonts w:ascii="Noto Sans" w:hAnsi="Noto Sans" w:eastAsia="Noto Sans CJK JP"/>
          <w:color w:val="5A6469"/>
          <w:sz w:val="18"/>
        </w:rPr>
        <w:t>Document de référence à utiliser avant le découpage détaillé des missions et avant la conception de la nouvelle architecture de données.</w:t>
      </w:r>
    </w:p>
    <w:p>
      <w:r>
        <w:br w:type="page"/>
      </w:r>
    </w:p>
    <w:p>
      <w:pPr>
        <w:pStyle w:val="Heading1"/>
        <w:keepNext/>
      </w:pPr>
      <w:r>
        <w:t>1. Décisions déjà figées</w:t>
      </w:r>
    </w:p>
    <w:p>
      <w:pPr>
        <w:spacing w:after="100"/>
      </w:pPr>
      <w:r>
        <w:rPr>
          <w:rFonts w:ascii="Noto Sans" w:hAnsi="Noto Sans" w:eastAsia="Noto Sans CJK JP"/>
          <w:sz w:val="19"/>
        </w:rPr>
        <w:t>Les règles suivantes sont considérées comme acquises et ne doivent pas être remises en cause lors du découpage des missions ou du développement du moteur.</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Décision</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Règle commune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Mission terminée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Une mission validée reste terminée. Une baisse ultérieure de maîtrise ne la reverrouille jamais et ne bloque pas les missions déjà débloquées.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Can-do</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Chaque mission guidée se termine par une capacité concrète et observable, pas uniquement par un score de quiz.</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Maîtrise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Une notion possède plusieurs dimensions de maîtrise. « Appris / non appris » est insuffisant.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100 %</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Le 100 % strict peut être exigé à l’étape 0 pour les kana et discriminations fondamentales. Après l’étape 0, aucune mission ne dépend d’un 100 % global obligatoire.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IA</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L’architecture prévoit l’évaluation assistée par IA pour certaines productions libres, mais aucun mécanisme fondamental ne doit dépendre uniquement de sa disponibilité.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Durée / reprise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Une mission peut être interrompue puis reprise. Les activités validées sont sauvegardées ; l’utilisateur n’est jamais obligé de terminer en une session.</w:t>
            </w:r>
          </w:p>
        </w:tc>
      </w:tr>
    </w:tbl>
    <w:tbl>
      <w:tblPr>
        <w:tblW w:type="auto" w:w="0"/>
        <w:jc w:val="center"/>
        <w:tblLook w:firstColumn="1" w:firstRow="1" w:lastColumn="0" w:lastRow="0" w:noHBand="0" w:noVBand="1" w:val="04A0"/>
      </w:tblPr>
      <w:tblGrid>
        <w:gridCol w:w="10224"/>
      </w:tblGrid>
      <w:tr>
        <w:trPr>
          <w:cantSplit w:val="1"/>
        </w:trPr>
        <w:tc>
          <w:tcPr>
            <w:tcW w:type="dxa" w:w="10224"/>
            <w:shd w:fill="FFF4DE"/>
            <w:tcMar>
              <w:top w:w="95" w:type="dxa"/>
              <w:start w:w="125" w:type="dxa"/>
              <w:bottom w:w="95" w:type="dxa"/>
              <w:end w:w="125" w:type="dxa"/>
            </w:tcMar>
          </w:tcPr>
          <w:p>
            <w:pPr>
              <w:spacing w:after="60"/>
            </w:pPr>
            <w:r>
              <w:rPr>
                <w:rFonts w:ascii="Noto Sans" w:hAnsi="Noto Sans" w:eastAsia="Noto Sans CJK JP"/>
                <w:b/>
                <w:sz w:val="20"/>
              </w:rPr>
              <w:t>Principe général</w:t>
            </w:r>
          </w:p>
          <w:p>
            <w:pPr>
              <w:spacing w:after="0"/>
            </w:pPr>
            <w:r>
              <w:rPr>
                <w:rFonts w:ascii="Noto Sans" w:hAnsi="Noto Sans" w:eastAsia="Noto Sans CJK JP"/>
                <w:sz w:val="18"/>
              </w:rPr>
              <w:t>La progression guidée mesure l’historique des validations. La révision mesure l’état actuel des connaissances. Ces deux informations sont liées, mais ne doivent jamais être confondues.</w:t>
            </w:r>
          </w:p>
        </w:tc>
      </w:tr>
    </w:tbl>
    <w:p>
      <w:pPr>
        <w:spacing w:after="0"/>
      </w:pPr>
    </w:p>
    <w:p>
      <w:pPr>
        <w:pStyle w:val="Heading1"/>
        <w:keepNext/>
      </w:pPr>
      <w:r>
        <w:t>2. Périmètre de l’architecture commune</w:t>
      </w:r>
    </w:p>
    <w:p>
      <w:pPr>
        <w:spacing w:after="100"/>
      </w:pPr>
      <w:r>
        <w:rPr>
          <w:rFonts w:ascii="Noto Sans" w:hAnsi="Noto Sans" w:eastAsia="Noto Sans CJK JP"/>
          <w:sz w:val="19"/>
        </w:rPr>
        <w:t>Les huit étapes fixent le contenu et le niveau attendu. Le présent document fixe le comportement commun du système pédagogique : comment une capacité est découpée, comment une notion progresse, comment les erreurs alimentent la révision et comment une mission est validée.</w:t>
      </w:r>
    </w:p>
    <w:p>
      <w:pPr>
        <w:pStyle w:val="ListBullet"/>
        <w:spacing w:after="40"/>
      </w:pPr>
      <w:r>
        <w:rPr>
          <w:rFonts w:ascii="Noto Sans" w:hAnsi="Noto Sans" w:eastAsia="Noto Sans CJK JP"/>
          <w:sz w:val="19"/>
        </w:rPr>
        <w:t>définir la hiérarchie étape → chapitre → mission → activité ;</w:t>
      </w:r>
    </w:p>
    <w:p>
      <w:pPr>
        <w:pStyle w:val="ListBullet"/>
        <w:spacing w:after="40"/>
      </w:pPr>
      <w:r>
        <w:rPr>
          <w:rFonts w:ascii="Noto Sans" w:hAnsi="Noto Sans" w:eastAsia="Noto Sans CJK JP"/>
          <w:sz w:val="19"/>
        </w:rPr>
        <w:t>définir le cycle d’apprentissage d’une notion ;</w:t>
      </w:r>
    </w:p>
    <w:p>
      <w:pPr>
        <w:pStyle w:val="ListBullet"/>
        <w:spacing w:after="40"/>
      </w:pPr>
      <w:r>
        <w:rPr>
          <w:rFonts w:ascii="Noto Sans" w:hAnsi="Noto Sans" w:eastAsia="Noto Sans CJK JP"/>
          <w:sz w:val="19"/>
        </w:rPr>
        <w:t>définir les états et dimensions de maîtrise ;</w:t>
      </w:r>
    </w:p>
    <w:p>
      <w:pPr>
        <w:pStyle w:val="ListBullet"/>
        <w:spacing w:after="40"/>
      </w:pPr>
      <w:r>
        <w:rPr>
          <w:rFonts w:ascii="Noto Sans" w:hAnsi="Noto Sans" w:eastAsia="Noto Sans CJK JP"/>
          <w:sz w:val="19"/>
        </w:rPr>
        <w:t>définir les prérequis et règles de déblocage ;</w:t>
      </w:r>
    </w:p>
    <w:p>
      <w:pPr>
        <w:pStyle w:val="ListBullet"/>
        <w:spacing w:after="40"/>
      </w:pPr>
      <w:r>
        <w:rPr>
          <w:rFonts w:ascii="Noto Sans" w:hAnsi="Noto Sans" w:eastAsia="Noto Sans CJK JP"/>
          <w:sz w:val="19"/>
        </w:rPr>
        <w:t>définir la révision espacée et la gestion de l’oubli ;</w:t>
      </w:r>
    </w:p>
    <w:p>
      <w:pPr>
        <w:pStyle w:val="ListBullet"/>
        <w:spacing w:after="40"/>
      </w:pPr>
      <w:r>
        <w:rPr>
          <w:rFonts w:ascii="Noto Sans" w:hAnsi="Noto Sans" w:eastAsia="Noto Sans CJK JP"/>
          <w:sz w:val="19"/>
        </w:rPr>
        <w:t>définir les familles d’exercices et leurs modes de correction ;</w:t>
      </w:r>
    </w:p>
    <w:p>
      <w:pPr>
        <w:pStyle w:val="ListBullet"/>
        <w:spacing w:after="40"/>
      </w:pPr>
      <w:r>
        <w:rPr>
          <w:rFonts w:ascii="Noto Sans" w:hAnsi="Noto Sans" w:eastAsia="Noto Sans CJK JP"/>
          <w:sz w:val="19"/>
        </w:rPr>
        <w:t>définir les aides adaptatives : romaji, furigana, traduction, indices, audio ;</w:t>
      </w:r>
    </w:p>
    <w:p>
      <w:pPr>
        <w:pStyle w:val="ListBullet"/>
        <w:spacing w:after="40"/>
      </w:pPr>
      <w:r>
        <w:rPr>
          <w:rFonts w:ascii="Noto Sans" w:hAnsi="Noto Sans" w:eastAsia="Noto Sans CJK JP"/>
          <w:sz w:val="19"/>
        </w:rPr>
        <w:t>définir les règles communes d’écoute, oral, prononciation, lecture et écriture ;</w:t>
      </w:r>
    </w:p>
    <w:p>
      <w:pPr>
        <w:pStyle w:val="ListBullet"/>
        <w:spacing w:after="40"/>
      </w:pPr>
      <w:r>
        <w:rPr>
          <w:rFonts w:ascii="Noto Sans" w:hAnsi="Noto Sans" w:eastAsia="Noto Sans CJK JP"/>
          <w:sz w:val="19"/>
        </w:rPr>
        <w:t>définir les Can-do et les évaluations de mission / chapitre / étape ;</w:t>
      </w:r>
    </w:p>
    <w:p>
      <w:pPr>
        <w:pStyle w:val="ListBullet"/>
        <w:spacing w:after="40"/>
      </w:pPr>
      <w:r>
        <w:rPr>
          <w:rFonts w:ascii="Noto Sans" w:hAnsi="Noto Sans" w:eastAsia="Noto Sans CJK JP"/>
          <w:sz w:val="19"/>
        </w:rPr>
        <w:t>définir le rôle du Mode libre, du Mode révision et du Mode autonomie ;</w:t>
      </w:r>
    </w:p>
    <w:p>
      <w:pPr>
        <w:pStyle w:val="ListBullet"/>
        <w:spacing w:after="40"/>
      </w:pPr>
      <w:r>
        <w:rPr>
          <w:rFonts w:ascii="Noto Sans" w:hAnsi="Noto Sans" w:eastAsia="Noto Sans CJK JP"/>
          <w:sz w:val="19"/>
        </w:rPr>
        <w:t>définir les informations que la future base de données devra pouvoir représenter, sans encore imposer son schéma SQL.</w:t>
      </w:r>
    </w:p>
    <w:p>
      <w:pPr>
        <w:pStyle w:val="Heading1"/>
        <w:keepNext/>
      </w:pPr>
      <w:r>
        <w:t>3. Vocabulaire fonctionnel de l’application</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Terme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Définition dans l’application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Étape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Niveau macro 0 à 7. Chaque étape répond à un grand problème d’apprentissage différent.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Chapitre / zone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Regroupement de plusieurs missions cohérentes. Il évite que les étapes 3 à 6 deviennent des murs monolithiques.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Mission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Unité guidée courte ou moyenne, organisée autour d’une capacité concrète et terminée par un Can-do.</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Activité</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Élément interne à une mission : découverte, exercice, écoute, production, mini-dialogue, etc.</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Notion / concept</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Élément réutilisable : mot, kanji, structure grammaticale, expression sociale, compteur, collocation, règle de registre, etc.</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Compétence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Type de capacité mesurée : lecture, écoute, rappel, production, interaction, prononciation, saisie, pragmatique…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Can-do</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Tâche réelle que l’utilisateur doit pouvoir accomplir avec les connaissances de la mission.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Évaluation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Situation destinée à mesurer plusieurs compétences sans introduire de nouvelle notion majeure.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Activité générée à partir de connaissances déjà rencontrées afin d’entretenir ou restaurer leur maîtrise.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Pré requis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Validation historique ou connaissance nécessaire pour entrer dans une nouvelle mission.</w:t>
            </w:r>
          </w:p>
        </w:tc>
      </w:tr>
    </w:tbl>
    <w:p>
      <w:pPr>
        <w:pStyle w:val="Heading1"/>
        <w:keepNext/>
      </w:pPr>
      <w:r>
        <w:t>4. Hiérarchie du parcours guidé</w:t>
      </w:r>
    </w:p>
    <w:p>
      <w:pPr>
        <w:spacing w:after="100"/>
      </w:pPr>
      <w:r>
        <w:rPr>
          <w:rFonts w:ascii="Noto Sans" w:hAnsi="Noto Sans" w:eastAsia="Noto Sans CJK JP"/>
          <w:sz w:val="19"/>
        </w:rPr>
        <w:t>Le parcours doit conserver les huit étapes, mais les grandes étapes peuvent contenir plusieurs chapitres. Une mission ne doit pas être assimilée à un « cours de grammaire ».</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Niveau</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Fonction</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Exemple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Étape</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Grande progression pédagogique</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Étape 4 — Japonais quotidien autonome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Chapitre</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Ensemble cohérent de capacités</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Projets, décisions et intentions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Mission</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Une capacité observable</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 Je peux expliquer un projet et une décision. »</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Activités</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Préparation du Can-do</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Découverte → écoute → choix → production → scénario</w:t>
            </w:r>
          </w:p>
        </w:tc>
      </w:tr>
    </w:tbl>
    <w:tbl>
      <w:tblPr>
        <w:tblW w:type="auto" w:w="0"/>
        <w:jc w:val="center"/>
        <w:tblLook w:firstColumn="1" w:firstRow="1" w:lastColumn="0" w:lastRow="0" w:noHBand="0" w:noVBand="1" w:val="04A0"/>
      </w:tblPr>
      <w:tblGrid>
        <w:gridCol w:w="10224"/>
      </w:tblGrid>
      <w:tr>
        <w:trPr>
          <w:cantSplit w:val="1"/>
        </w:trPr>
        <w:tc>
          <w:tcPr>
            <w:tcW w:type="dxa" w:w="10224"/>
            <w:shd w:fill="EAF2F8"/>
            <w:tcMar>
              <w:top w:w="95" w:type="dxa"/>
              <w:start w:w="125" w:type="dxa"/>
              <w:bottom w:w="95" w:type="dxa"/>
              <w:end w:w="125" w:type="dxa"/>
            </w:tcMar>
          </w:tcPr>
          <w:p>
            <w:pPr>
              <w:spacing w:after="60"/>
            </w:pPr>
            <w:r>
              <w:rPr>
                <w:rFonts w:ascii="Noto Sans" w:hAnsi="Noto Sans" w:eastAsia="Noto Sans CJK JP"/>
                <w:b/>
                <w:sz w:val="20"/>
              </w:rPr>
              <w:t>Règle de conception</w:t>
            </w:r>
          </w:p>
          <w:p>
            <w:pPr>
              <w:spacing w:after="0"/>
            </w:pPr>
            <w:r>
              <w:rPr>
                <w:rFonts w:ascii="Noto Sans" w:hAnsi="Noto Sans" w:eastAsia="Noto Sans CJK JP"/>
                <w:sz w:val="18"/>
              </w:rPr>
              <w:t>Une mission peut enseigner de la grammaire, du vocabulaire, de l’écoute et de la prosodie en même temps si ces éléments servent le même Can-do. Le moteur ne doit pas forcer une séparation artificielle par matière.</w:t>
            </w:r>
          </w:p>
        </w:tc>
      </w:tr>
    </w:tbl>
    <w:p>
      <w:pPr>
        <w:spacing w:after="0"/>
      </w:pPr>
    </w:p>
    <w:p>
      <w:pPr>
        <w:pStyle w:val="Heading1"/>
        <w:keepNext/>
      </w:pPr>
      <w:r>
        <w:t>5. Les neuf branches transversales</w:t>
      </w:r>
    </w:p>
    <w:p>
      <w:pPr>
        <w:spacing w:after="100"/>
      </w:pPr>
      <w:r>
        <w:rPr>
          <w:rFonts w:ascii="Noto Sans" w:hAnsi="Noto Sans" w:eastAsia="Noto Sans CJK JP"/>
          <w:sz w:val="19"/>
        </w:rPr>
        <w:t>Les branches ci-dessous traversent tout le parcours. Elles ne sont pas des étapes indépendantes et leur progression ne doit pas être enfermée dans un seul chapitre.</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Branche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Progression générale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Vocabulaire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Compréhension passive → rappel actif → emploi contextualisé → collocations / nuance / spécialisation.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Kanji</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Mot connu → graphie → lecture dans le mot → familles lexicales → lecture dense → autonomie.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Écoute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Son → mot → phrase → dialogue → conversation naturelle → contenu long / spécialisé.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Oral / interaction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Répétition → réponse → production guidée → conversation → argumentation → adaptation.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Lecture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Kana → mot → phrase → paragraphe → article → contenu complexe / spécialisé.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Production écrite / saisie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Mot → phrase → message → récit → texte argumentatif / professionnel → production longue.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Prononciation / prosodie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Sons et rythme → mot → phrase → parole liée → interaction → exposé → perfectionnement personnalisé.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Pragmatique / registre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Expressions sociales → omission → tours de parole → indirectivité → keigo → nuances fines.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Révision espacée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Entretient toutes les branches et réactive les notions fragiles indépendamment de la mission d’origine.</w:t>
            </w:r>
          </w:p>
        </w:tc>
      </w:tr>
    </w:tbl>
    <w:p>
      <w:pPr>
        <w:pStyle w:val="Heading1"/>
        <w:keepNext/>
      </w:pPr>
      <w:r>
        <w:t>6. La mission est organisée autour d’une capacité réelle</w:t>
      </w:r>
    </w:p>
    <w:p>
      <w:pPr>
        <w:spacing w:after="100"/>
      </w:pPr>
      <w:r>
        <w:rPr>
          <w:rFonts w:ascii="Noto Sans" w:hAnsi="Noto Sans" w:eastAsia="Noto Sans CJK JP"/>
          <w:sz w:val="19"/>
        </w:rPr>
        <w:t>Le titre pédagogique idéal décrit ce que l’utilisateur pourra faire. Les structures grammaticales servent cette capacité et ne sont pas le produit final.</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À éviter comme objectif unique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À privilégier</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 Apprendre la particule で »</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 Je peux dire où je fais une activité et avec quel moyen je me déplace.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 Leçon sur ～てもらう »</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 Je peux demander à quelqu’un de me rendre un service.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 Conditionnel なら »</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 Je peux donner un conseil à partir de la situation de l’autre.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 Keigo 1 »</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 Je peux accueillir un interlocuteur dans une situation professionnelle simple. »</w:t>
            </w:r>
          </w:p>
        </w:tc>
      </w:tr>
    </w:tbl>
    <w:p>
      <w:pPr>
        <w:spacing w:after="100"/>
      </w:pPr>
      <w:r>
        <w:rPr>
          <w:rFonts w:ascii="Noto Sans" w:hAnsi="Noto Sans" w:eastAsia="Noto Sans CJK JP"/>
          <w:sz w:val="19"/>
        </w:rPr>
        <w:t>Une mission peut conserver un sous-titre technique utile à l’auteur du contenu, mais l’utilisateur doit surtout voir la capacité concrète qu’il construit.</w:t>
      </w:r>
    </w:p>
    <w:p>
      <w:pPr>
        <w:pStyle w:val="Heading1"/>
        <w:keepNext/>
      </w:pPr>
      <w:r>
        <w:t>7. Cycle pédagogique standard d’une mission</w:t>
      </w:r>
    </w:p>
    <w:p>
      <w:pPr>
        <w:spacing w:after="100"/>
      </w:pPr>
      <w:r>
        <w:rPr>
          <w:rFonts w:ascii="Noto Sans" w:hAnsi="Noto Sans" w:eastAsia="Noto Sans CJK JP"/>
          <w:sz w:val="19"/>
        </w:rPr>
        <w:t>Le cycle ci-dessous constitue le modèle commun. Toutes les missions n’utilisent pas exactement chaque phase, mais l’ordre général va de la compréhension vers l’autonomie.</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Phase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Fonction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1. Mise en situation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Présenter le Can-do, le contexte et pourquoi la capacité est utile.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2. Réactivation courte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Réutiliser quelques prérequis récents ou fragiles sans faire une longue révision obligatoire.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3. Découverte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Exposer la nouvelle notion dans une phrase, un audio, une image, une scène ou un mini-dialogue.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4. Compréhension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Faire comprendre le sens, le rôle et les contrastes essentiels avant de demander de produire.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5. Reconnaissance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Identifier la bonne forme, le bon sens, le bon son ou la bonne intention.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6. Rappel</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Retrouver la notion sans choix proposé : sens → mot, audio → réponse, transformation, etc.</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7. Production guidée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Construire une réponse avec indices limités, blocs, modèle partiel ou contexte fortement contrôlé.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8. Production contextualisée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Choisir et produire dans une situation comportant plusieurs réponses possibles.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9. Can-do final</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Réaliser la tâche réelle de la mission avec le moins d’aide possible.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10. Sortie / révision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Mettre à jour la maîtrise, expliquer les points fragiles et planifier les futures révisions.</w:t>
            </w:r>
          </w:p>
        </w:tc>
      </w:tr>
    </w:tbl>
    <w:tbl>
      <w:tblPr>
        <w:tblW w:type="auto" w:w="0"/>
        <w:jc w:val="center"/>
        <w:tblLook w:firstColumn="1" w:firstRow="1" w:lastColumn="0" w:lastRow="0" w:noHBand="0" w:noVBand="1" w:val="04A0"/>
      </w:tblPr>
      <w:tblGrid>
        <w:gridCol w:w="10224"/>
      </w:tblGrid>
      <w:tr>
        <w:trPr>
          <w:cantSplit w:val="1"/>
        </w:trPr>
        <w:tc>
          <w:tcPr>
            <w:tcW w:type="dxa" w:w="10224"/>
            <w:shd w:fill="FFF4DE"/>
            <w:tcMar>
              <w:top w:w="95" w:type="dxa"/>
              <w:start w:w="125" w:type="dxa"/>
              <w:bottom w:w="95" w:type="dxa"/>
              <w:end w:w="125" w:type="dxa"/>
            </w:tcMar>
          </w:tcPr>
          <w:p>
            <w:pPr>
              <w:spacing w:after="60"/>
            </w:pPr>
            <w:r>
              <w:rPr>
                <w:rFonts w:ascii="Noto Sans" w:hAnsi="Noto Sans" w:eastAsia="Noto Sans CJK JP"/>
                <w:b/>
                <w:sz w:val="20"/>
              </w:rPr>
              <w:t>Progression en spirale</w:t>
            </w:r>
          </w:p>
          <w:p>
            <w:pPr>
              <w:spacing w:after="0"/>
            </w:pPr>
            <w:r>
              <w:rPr>
                <w:rFonts w:ascii="Noto Sans" w:hAnsi="Noto Sans" w:eastAsia="Noto Sans CJK JP"/>
                <w:sz w:val="18"/>
              </w:rPr>
              <w:t>Une notion peut être découverte dans une mission, consolidée plusieurs missions plus tard puis automatisée dans un scénario plus complexe. Le moteur doit donc gérer des notions récurrentes et non considérer qu’une notion est « terminée » après son premier passage.</w:t>
            </w:r>
          </w:p>
        </w:tc>
      </w:tr>
    </w:tbl>
    <w:p>
      <w:pPr>
        <w:spacing w:after="0"/>
      </w:pPr>
    </w:p>
    <w:p>
      <w:pPr>
        <w:pStyle w:val="Heading1"/>
        <w:keepNext/>
      </w:pPr>
      <w:r>
        <w:t>8. Durée, découpage et reprise des missions</w:t>
      </w:r>
    </w:p>
    <w:p>
      <w:pPr>
        <w:pStyle w:val="ListBullet"/>
        <w:spacing w:after="40"/>
      </w:pPr>
      <w:r>
        <w:rPr>
          <w:rFonts w:ascii="Noto Sans" w:hAnsi="Noto Sans" w:eastAsia="Noto Sans CJK JP"/>
          <w:sz w:val="19"/>
        </w:rPr>
        <w:t>mission courte : environ 5 à 10 minutes ;</w:t>
      </w:r>
    </w:p>
    <w:p>
      <w:pPr>
        <w:pStyle w:val="ListBullet"/>
        <w:spacing w:after="40"/>
      </w:pPr>
      <w:r>
        <w:rPr>
          <w:rFonts w:ascii="Noto Sans" w:hAnsi="Noto Sans" w:eastAsia="Noto Sans CJK JP"/>
          <w:sz w:val="19"/>
        </w:rPr>
        <w:t>mission standard : environ 10 à 20 minutes ;</w:t>
      </w:r>
    </w:p>
    <w:p>
      <w:pPr>
        <w:pStyle w:val="ListBullet"/>
        <w:spacing w:after="40"/>
      </w:pPr>
      <w:r>
        <w:rPr>
          <w:rFonts w:ascii="Noto Sans" w:hAnsi="Noto Sans" w:eastAsia="Noto Sans CJK JP"/>
          <w:sz w:val="19"/>
        </w:rPr>
        <w:t>évaluation de chapitre ou d’étape : peut dépasser cette durée si la tâche le justifie ;</w:t>
      </w:r>
    </w:p>
    <w:p>
      <w:pPr>
        <w:pStyle w:val="ListBullet"/>
        <w:spacing w:after="40"/>
      </w:pPr>
      <w:r>
        <w:rPr>
          <w:rFonts w:ascii="Noto Sans" w:hAnsi="Noto Sans" w:eastAsia="Noto Sans CJK JP"/>
          <w:sz w:val="19"/>
        </w:rPr>
        <w:t>aucune règle n’oblige l’utilisateur à terminer une mission dans la session où il l’a commencée ;</w:t>
      </w:r>
    </w:p>
    <w:p>
      <w:pPr>
        <w:pStyle w:val="ListBullet"/>
        <w:spacing w:after="40"/>
      </w:pPr>
      <w:r>
        <w:rPr>
          <w:rFonts w:ascii="Noto Sans" w:hAnsi="Noto Sans" w:eastAsia="Noto Sans CJK JP"/>
          <w:sz w:val="19"/>
        </w:rPr>
        <w:t>chaque activité terminée constitue un point de sauvegarde ;</w:t>
      </w:r>
    </w:p>
    <w:p>
      <w:pPr>
        <w:pStyle w:val="ListBullet"/>
        <w:spacing w:after="40"/>
      </w:pPr>
      <w:r>
        <w:rPr>
          <w:rFonts w:ascii="Noto Sans" w:hAnsi="Noto Sans" w:eastAsia="Noto Sans CJK JP"/>
          <w:sz w:val="19"/>
        </w:rPr>
        <w:t>à la reprise, l’application peut proposer un rappel de 30 à 90 secondes si la coupure a été longue ;</w:t>
      </w:r>
    </w:p>
    <w:p>
      <w:pPr>
        <w:pStyle w:val="ListBullet"/>
        <w:spacing w:after="40"/>
      </w:pPr>
      <w:r>
        <w:rPr>
          <w:rFonts w:ascii="Noto Sans" w:hAnsi="Noto Sans" w:eastAsia="Noto Sans CJK JP"/>
          <w:sz w:val="19"/>
        </w:rPr>
        <w:t>une activité longue (audio, texte, projet) peut posséder ses propres sous-points de sauvegarde.</w:t>
      </w:r>
    </w:p>
    <w:p>
      <w:pPr>
        <w:spacing w:after="100"/>
      </w:pPr>
      <w:r>
        <w:rPr>
          <w:rFonts w:ascii="Noto Sans" w:hAnsi="Noto Sans" w:eastAsia="Noto Sans CJK JP"/>
          <w:sz w:val="19"/>
        </w:rPr>
        <w:t>La durée cible est une contrainte de conception, pas un minuteur imposé à l’utilisateur. Elle sert surtout à éviter les missions géantes et à faciliter des sessions quotidiennes courtes.</w:t>
      </w:r>
    </w:p>
    <w:p>
      <w:pPr>
        <w:pStyle w:val="Heading1"/>
        <w:keepNext/>
      </w:pPr>
      <w:r>
        <w:t>9. Cycle de vie d’une notion</w:t>
      </w:r>
    </w:p>
    <w:p>
      <w:pPr>
        <w:spacing w:after="100"/>
      </w:pPr>
      <w:r>
        <w:rPr>
          <w:rFonts w:ascii="Noto Sans" w:hAnsi="Noto Sans" w:eastAsia="Noto Sans CJK JP"/>
          <w:sz w:val="19"/>
        </w:rPr>
        <w:t>L’application doit distinguer le fait d’avoir rencontré une notion de sa maîtrise actuelle. Une notion peut avoir été enseignée, utilisée avec succès puis devenir fragile plusieurs semaines plus tard.</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État pédagogique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Signification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Non vue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notion n’a jamais été présentée dans le parcours de l’utilisateur.</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Introduite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L’utilisateur l’a rencontrée et a reçu une première explication / démonstration.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Reconnue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Il peut l’identifier ou en comprendre le sens avec peu de production.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Rappelée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Il peut la retrouver sans choix proposé dans une tâche contrôlée.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Produite avec aide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Il peut l’utiliser avec indices ou cadre fort.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Produite en contexte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Il peut la choisir parmi plusieurs possibilités dans une situation réelle ou semi-libre.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Automatisée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notion est disponible rapidement et de façon stable dans les compétences où elle est attendue.</w:t>
            </w:r>
          </w:p>
        </w:tc>
      </w:tr>
    </w:tbl>
    <w:p>
      <w:pPr>
        <w:spacing w:after="100"/>
      </w:pPr>
      <w:r>
        <w:rPr>
          <w:rFonts w:ascii="Noto Sans" w:hAnsi="Noto Sans" w:eastAsia="Noto Sans CJK JP"/>
          <w:sz w:val="19"/>
        </w:rPr>
        <w:t>Tous les concepts n’ont pas besoin d’atteindre le même état. Un terme rare peut rester passif ; une expression sociale fréquente doit devenir productive ; un kanji peut être reconnu et saisi sans être écrit à la main.</w:t>
      </w:r>
    </w:p>
    <w:p>
      <w:pPr>
        <w:pStyle w:val="Heading1"/>
        <w:keepNext/>
      </w:pPr>
      <w:r>
        <w:t>10. Maîtrise multidimensionnelle : principe central</w:t>
      </w:r>
    </w:p>
    <w:p>
      <w:pPr>
        <w:spacing w:after="100"/>
      </w:pPr>
      <w:r>
        <w:rPr>
          <w:rFonts w:ascii="Noto Sans" w:hAnsi="Noto Sans" w:eastAsia="Noto Sans CJK JP"/>
          <w:sz w:val="19"/>
        </w:rPr>
        <w:t>Aucun mot, kanji ou point de grammaire important ne doit posséder un unique booléen « mastered ». Le système enregistre plusieurs dimensions applicables selon le type de notion.</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Dimension générique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Question mesurée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Reconnaissance visuelle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reconnais la forme écrite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Compréhension / sens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comprends ce qu’elle signifie dans le contexte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Reconnaissance auditive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la reconnais lorsqu’elle est prononcée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Rappel actif</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peux la retrouver sans choix proposé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Production contrôlée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peux l’utiliser dans un patron connu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Production contextualisée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peux choisir de l’utiliser au bon moment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Prononciation / prosodie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Est-elle intelligible et adaptée au niveau demandé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Saisie / production écrite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peux la saisir correctement en japonais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Pragmatique / registre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Est-ce que je sais quand, avec qui et dans quel registre l’utiliser ?</w:t>
            </w:r>
          </w:p>
        </w:tc>
      </w:tr>
    </w:tbl>
    <w:tbl>
      <w:tblPr>
        <w:tblW w:type="auto" w:w="0"/>
        <w:jc w:val="center"/>
        <w:tblLook w:firstColumn="1" w:firstRow="1" w:lastColumn="0" w:lastRow="0" w:noHBand="0" w:noVBand="1" w:val="04A0"/>
      </w:tblPr>
      <w:tblGrid>
        <w:gridCol w:w="10224"/>
      </w:tblGrid>
      <w:tr>
        <w:trPr>
          <w:cantSplit w:val="1"/>
        </w:trPr>
        <w:tc>
          <w:tcPr>
            <w:tcW w:type="dxa" w:w="10224"/>
            <w:shd w:fill="EAF2F8"/>
            <w:tcMar>
              <w:top w:w="95" w:type="dxa"/>
              <w:start w:w="125" w:type="dxa"/>
              <w:bottom w:w="95" w:type="dxa"/>
              <w:end w:w="125" w:type="dxa"/>
            </w:tcMar>
          </w:tcPr>
          <w:p>
            <w:pPr>
              <w:spacing w:after="60"/>
            </w:pPr>
            <w:r>
              <w:rPr>
                <w:rFonts w:ascii="Noto Sans" w:hAnsi="Noto Sans" w:eastAsia="Noto Sans CJK JP"/>
                <w:b/>
                <w:sz w:val="20"/>
              </w:rPr>
              <w:t>Trois informations différentes</w:t>
            </w:r>
          </w:p>
          <w:p>
            <w:pPr>
              <w:spacing w:after="0"/>
            </w:pPr>
            <w:r>
              <w:rPr>
                <w:rFonts w:ascii="Noto Sans" w:hAnsi="Noto Sans" w:eastAsia="Noto Sans CJK JP"/>
                <w:sz w:val="18"/>
              </w:rPr>
              <w:t>Pour chaque notion, le système doit pouvoir connaître : 1) son historique d’exposition, 2) sa maîtrise actuelle par dimension, 3) les missions / Can-do historiquement validés grâce à elle.</w:t>
            </w:r>
          </w:p>
        </w:tc>
      </w:tr>
    </w:tbl>
    <w:p>
      <w:pPr>
        <w:spacing w:after="0"/>
      </w:pPr>
    </w:p>
    <w:p>
      <w:pPr>
        <w:pStyle w:val="Heading1"/>
        <w:keepNext/>
      </w:pPr>
      <w:r>
        <w:t>11. Exemple de maîtrise selon le type de notion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Type</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Dimensions prioritaires</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Dimensions éventuellement optionnelles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Kana — étape 0</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forme vers son / son vers forme, audio vers caractère, discrimination, longueur / petit っ</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écriture manuscrite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Vocabulaire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forme écrite, sens, écoute, rappel actif, usage en phrase, prononciation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écriture manuscrite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Kanji</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reconnaissance dans les mots, lecture connue, sens lexical, saisie / conversion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tracé manuscrit</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Grammaire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compréhension, reconnaissance, transformation, choix en contexte, production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prononciation uniquement si la structure a un enjeu oral</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Expression sociale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compréhension de situation, réponse appropriée, registre, écoute, production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analyse grammaticale exhaustive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Prosodie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discrimination, imitation, intelligibilité, rythme / intonation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pitch accent exact selon le niveau</w:t>
            </w:r>
          </w:p>
        </w:tc>
      </w:tr>
    </w:tbl>
    <w:p>
      <w:pPr>
        <w:pStyle w:val="Heading1"/>
        <w:keepNext/>
      </w:pPr>
      <w:r>
        <w:t>12. Connaissance passive et connaissance active</w:t>
      </w:r>
    </w:p>
    <w:p>
      <w:pPr>
        <w:spacing w:after="100"/>
      </w:pPr>
      <w:r>
        <w:rPr>
          <w:rFonts w:ascii="Noto Sans" w:hAnsi="Noto Sans" w:eastAsia="Noto Sans CJK JP"/>
          <w:sz w:val="19"/>
        </w:rPr>
        <w:t>La distinction passif / actif doit être un attribut de l’objectif pédagogique, pas une propriété absolue du mot. Une même notion peut être active dans un contexte et passive dans un autre.</w:t>
      </w:r>
    </w:p>
    <w:p>
      <w:pPr>
        <w:pStyle w:val="ListBullet"/>
        <w:spacing w:after="40"/>
      </w:pPr>
      <w:r>
        <w:rPr>
          <w:rFonts w:ascii="Noto Sans" w:hAnsi="Noto Sans" w:eastAsia="Noto Sans CJK JP"/>
          <w:sz w:val="19"/>
        </w:rPr>
        <w:t>passif : reconnaître, comprendre ou interpréter sans devoir rappeler spontanément ;</w:t>
      </w:r>
    </w:p>
    <w:p>
      <w:pPr>
        <w:pStyle w:val="ListBullet"/>
        <w:spacing w:after="40"/>
      </w:pPr>
      <w:r>
        <w:rPr>
          <w:rFonts w:ascii="Noto Sans" w:hAnsi="Noto Sans" w:eastAsia="Noto Sans CJK JP"/>
          <w:sz w:val="19"/>
        </w:rPr>
        <w:t>actif : rappeler, choisir et produire lorsque la situation l’exige ;</w:t>
      </w:r>
    </w:p>
    <w:p>
      <w:pPr>
        <w:pStyle w:val="ListBullet"/>
        <w:spacing w:after="40"/>
      </w:pPr>
      <w:r>
        <w:rPr>
          <w:rFonts w:ascii="Noto Sans" w:hAnsi="Noto Sans" w:eastAsia="Noto Sans CJK JP"/>
          <w:sz w:val="19"/>
        </w:rPr>
        <w:t>une mission peut faire passer une notion de passive à active ;</w:t>
      </w:r>
    </w:p>
    <w:p>
      <w:pPr>
        <w:pStyle w:val="ListBullet"/>
        <w:spacing w:after="40"/>
      </w:pPr>
      <w:r>
        <w:rPr>
          <w:rFonts w:ascii="Noto Sans" w:hAnsi="Noto Sans" w:eastAsia="Noto Sans CJK JP"/>
          <w:sz w:val="19"/>
        </w:rPr>
        <w:t>les corpus avancés comportent volontairement davantage de vocabulaire passif que de vocabulaire actif ;</w:t>
      </w:r>
    </w:p>
    <w:p>
      <w:pPr>
        <w:pStyle w:val="ListBullet"/>
        <w:spacing w:after="40"/>
      </w:pPr>
      <w:r>
        <w:rPr>
          <w:rFonts w:ascii="Noto Sans" w:hAnsi="Noto Sans" w:eastAsia="Noto Sans CJK JP"/>
          <w:sz w:val="19"/>
        </w:rPr>
        <w:t>les évaluations ne doivent pas pénaliser une notion explicitement classée « reconnaissance seulement » comme si elle devait être produite.</w:t>
      </w:r>
    </w:p>
    <w:p>
      <w:pPr>
        <w:pStyle w:val="Heading1"/>
        <w:keepNext/>
      </w:pPr>
      <w:r>
        <w:t>13. Pré requis et déblocage : historique vs maîtrise actuelle</w:t>
      </w:r>
    </w:p>
    <w:p>
      <w:pPr>
        <w:spacing w:after="100"/>
      </w:pPr>
      <w:r>
        <w:rPr>
          <w:rFonts w:ascii="Noto Sans" w:hAnsi="Noto Sans" w:eastAsia="Noto Sans CJK JP"/>
          <w:sz w:val="19"/>
        </w:rPr>
        <w:t>Le système doit utiliser deux notions de prérequis : les prérequis structurels et les prérequis de confort.</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Type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Comportement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Pré requis structurel</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Ex. avoir terminé la mission sur la forme て avant une mission qui utilise ～ておく. Il peut conditionner le déblocage initial.</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Pré requis de maîtrise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Ex. un mot ancien est devenu fragile. Il ne reverrouille rien : l’application insère une micro-révision ou le remet dans la file de révision.</w:t>
            </w:r>
          </w:p>
        </w:tc>
      </w:tr>
    </w:tbl>
    <w:tbl>
      <w:tblPr>
        <w:tblW w:type="auto" w:w="0"/>
        <w:jc w:val="center"/>
        <w:tblLook w:firstColumn="1" w:firstRow="1" w:lastColumn="0" w:lastRow="0" w:noHBand="0" w:noVBand="1" w:val="04A0"/>
      </w:tblPr>
      <w:tblGrid>
        <w:gridCol w:w="10224"/>
      </w:tblGrid>
      <w:tr>
        <w:trPr>
          <w:cantSplit w:val="1"/>
        </w:trPr>
        <w:tc>
          <w:tcPr>
            <w:tcW w:type="dxa" w:w="10224"/>
            <w:shd w:fill="FFF4DE"/>
            <w:tcMar>
              <w:top w:w="95" w:type="dxa"/>
              <w:start w:w="125" w:type="dxa"/>
              <w:bottom w:w="95" w:type="dxa"/>
              <w:end w:w="125" w:type="dxa"/>
            </w:tcMar>
          </w:tcPr>
          <w:p>
            <w:pPr>
              <w:spacing w:after="60"/>
            </w:pPr>
            <w:r>
              <w:rPr>
                <w:rFonts w:ascii="Noto Sans" w:hAnsi="Noto Sans" w:eastAsia="Noto Sans CJK JP"/>
                <w:b/>
                <w:sz w:val="20"/>
              </w:rPr>
              <w:t>Règle non négociable</w:t>
            </w:r>
          </w:p>
          <w:p>
            <w:pPr>
              <w:spacing w:after="0"/>
            </w:pPr>
            <w:r>
              <w:rPr>
                <w:rFonts w:ascii="Noto Sans" w:hAnsi="Noto Sans" w:eastAsia="Noto Sans CJK JP"/>
                <w:sz w:val="18"/>
              </w:rPr>
              <w:t>Une baisse de maîtrise ne reverrouille jamais une mission terminée, un chapitre terminé ou une mission suivante déjà débloquée. L’oubli déclenche de la révision, pas une punition de progression.</w:t>
            </w:r>
          </w:p>
        </w:tc>
      </w:tr>
    </w:tbl>
    <w:p>
      <w:pPr>
        <w:spacing w:after="0"/>
      </w:pPr>
    </w:p>
    <w:p>
      <w:pPr>
        <w:pStyle w:val="ListBullet"/>
        <w:spacing w:after="40"/>
      </w:pPr>
      <w:r>
        <w:rPr>
          <w:rFonts w:ascii="Noto Sans" w:hAnsi="Noto Sans" w:eastAsia="Noto Sans CJK JP"/>
          <w:sz w:val="19"/>
        </w:rPr>
        <w:t>le déblocage principal repose sur les validations historiques et les dépendances pédagogiques ;</w:t>
      </w:r>
    </w:p>
    <w:p>
      <w:pPr>
        <w:pStyle w:val="ListBullet"/>
        <w:spacing w:after="40"/>
      </w:pPr>
      <w:r>
        <w:rPr>
          <w:rFonts w:ascii="Noto Sans" w:hAnsi="Noto Sans" w:eastAsia="Noto Sans CJK JP"/>
          <w:sz w:val="19"/>
        </w:rPr>
        <w:t>une mission peut recommander une courte révision avant de commencer si plusieurs prérequis sont fragiles ;</w:t>
      </w:r>
    </w:p>
    <w:p>
      <w:pPr>
        <w:pStyle w:val="ListBullet"/>
        <w:spacing w:after="40"/>
      </w:pPr>
      <w:r>
        <w:rPr>
          <w:rFonts w:ascii="Noto Sans" w:hAnsi="Noto Sans" w:eastAsia="Noto Sans CJK JP"/>
          <w:sz w:val="19"/>
        </w:rPr>
        <w:t>une fragilité importante peut rendre le Can-do plus difficile, mais l’utilisateur garde le droit d’essayer ;</w:t>
      </w:r>
    </w:p>
    <w:p>
      <w:pPr>
        <w:pStyle w:val="ListBullet"/>
        <w:spacing w:after="40"/>
      </w:pPr>
      <w:r>
        <w:rPr>
          <w:rFonts w:ascii="Noto Sans" w:hAnsi="Noto Sans" w:eastAsia="Noto Sans CJK JP"/>
          <w:sz w:val="19"/>
        </w:rPr>
        <w:t>une mission échouée n’efface pas les activités déjà réussies : elle génère une remédiation ciblée.</w:t>
      </w:r>
    </w:p>
    <w:p>
      <w:pPr>
        <w:pStyle w:val="Heading1"/>
        <w:keepNext/>
      </w:pPr>
      <w:r>
        <w:t>14. Oubli, décrochage de maîtrise et révision espacée</w:t>
      </w:r>
    </w:p>
    <w:p>
      <w:pPr>
        <w:spacing w:after="100"/>
      </w:pPr>
      <w:r>
        <w:rPr>
          <w:rFonts w:ascii="Noto Sans" w:hAnsi="Noto Sans" w:eastAsia="Noto Sans CJK JP"/>
          <w:sz w:val="19"/>
        </w:rPr>
        <w:t>La maîtrise actuelle évolue avec le temps. Le système de révision doit entretenir les connaissances sans transformer l’application en une liste infinie de cartes obligatoires.</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Source de révision</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Quand elle apparaît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 espacée planifiée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Selon ancienneté, stabilité estimée et historique de réponses.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 après erreur</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Lorsqu’une erreur révèle une faiblesse réelle et non un simple clic accidentel.</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 pré-mission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Quelques prérequis utiles avant un nouveau Can-do.</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 inter-missions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Mélange de notions anciennes pendant une nouvelle mission.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 de faiblesse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Lorsqu’une branche comme écoute ou rappel actif reste nettement sous les autres.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 libre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Demandée volontairement par l’utilisateur sur un groupe ou une sélection.</w:t>
            </w:r>
          </w:p>
        </w:tc>
      </w:tr>
    </w:tbl>
    <w:p>
      <w:pPr>
        <w:spacing w:after="100"/>
      </w:pPr>
      <w:r>
        <w:rPr>
          <w:rFonts w:ascii="Noto Sans" w:hAnsi="Noto Sans" w:eastAsia="Noto Sans CJK JP"/>
          <w:sz w:val="19"/>
        </w:rPr>
        <w:t>Le moteur pourra utiliser un algorithme SRS précis plus tard. À ce stade, la règle fonctionnelle est fixée : chaque dimension peut avoir sa propre stabilité et sa propre prochaine date de révision.</w:t>
      </w:r>
    </w:p>
    <w:p>
      <w:pPr>
        <w:pStyle w:val="Heading1"/>
        <w:keepNext/>
      </w:pPr>
      <w:r>
        <w:t>15. Priorité de la file de révision</w:t>
      </w:r>
    </w:p>
    <w:p>
      <w:pPr>
        <w:spacing w:after="100"/>
      </w:pPr>
      <w:r>
        <w:rPr>
          <w:rFonts w:ascii="Noto Sans" w:hAnsi="Noto Sans" w:eastAsia="Noto Sans CJK JP"/>
          <w:sz w:val="19"/>
        </w:rPr>
        <w:t>Toutes les cartes dues ne se valent pas. La file doit privilégier ce qui a le plus d’impact pédagogique.</w:t>
      </w:r>
    </w:p>
    <w:p>
      <w:pPr>
        <w:pStyle w:val="ListBullet"/>
        <w:spacing w:after="40"/>
      </w:pPr>
      <w:r>
        <w:rPr>
          <w:rFonts w:ascii="Noto Sans" w:hAnsi="Noto Sans" w:eastAsia="Noto Sans CJK JP"/>
          <w:sz w:val="19"/>
        </w:rPr>
        <w:t>notions nécessaires aux missions prochaines ;</w:t>
      </w:r>
    </w:p>
    <w:p>
      <w:pPr>
        <w:pStyle w:val="ListBullet"/>
        <w:spacing w:after="40"/>
      </w:pPr>
      <w:r>
        <w:rPr>
          <w:rFonts w:ascii="Noto Sans" w:hAnsi="Noto Sans" w:eastAsia="Noto Sans CJK JP"/>
          <w:sz w:val="19"/>
        </w:rPr>
        <w:t>erreurs récurrentes ou confusions fréquentes ;</w:t>
      </w:r>
    </w:p>
    <w:p>
      <w:pPr>
        <w:pStyle w:val="ListBullet"/>
        <w:spacing w:after="40"/>
      </w:pPr>
      <w:r>
        <w:rPr>
          <w:rFonts w:ascii="Noto Sans" w:hAnsi="Noto Sans" w:eastAsia="Noto Sans CJK JP"/>
          <w:sz w:val="19"/>
        </w:rPr>
        <w:t>connaissances actives plus importantes que les connaissances seulement passives ;</w:t>
      </w:r>
    </w:p>
    <w:p>
      <w:pPr>
        <w:pStyle w:val="ListBullet"/>
        <w:spacing w:after="40"/>
      </w:pPr>
      <w:r>
        <w:rPr>
          <w:rFonts w:ascii="Noto Sans" w:hAnsi="Noto Sans" w:eastAsia="Noto Sans CJK JP"/>
          <w:sz w:val="19"/>
        </w:rPr>
        <w:t>faiblesses d’écoute / rappel / production qui créent un déséquilibre notable ;</w:t>
      </w:r>
    </w:p>
    <w:p>
      <w:pPr>
        <w:pStyle w:val="ListBullet"/>
        <w:spacing w:after="40"/>
      </w:pPr>
      <w:r>
        <w:rPr>
          <w:rFonts w:ascii="Noto Sans" w:hAnsi="Noto Sans" w:eastAsia="Noto Sans CJK JP"/>
          <w:sz w:val="19"/>
        </w:rPr>
        <w:t>notions à forte fréquence dans le japonais réel ;</w:t>
      </w:r>
    </w:p>
    <w:p>
      <w:pPr>
        <w:pStyle w:val="ListBullet"/>
        <w:spacing w:after="40"/>
      </w:pPr>
      <w:r>
        <w:rPr>
          <w:rFonts w:ascii="Noto Sans" w:hAnsi="Noto Sans" w:eastAsia="Noto Sans CJK JP"/>
          <w:sz w:val="19"/>
        </w:rPr>
        <w:t>révisions suffisamment espacées pour éviter la répétition immédiate artificielle.</w:t>
      </w:r>
    </w:p>
    <w:tbl>
      <w:tblPr>
        <w:tblW w:type="auto" w:w="0"/>
        <w:jc w:val="center"/>
        <w:tblLook w:firstColumn="1" w:firstRow="1" w:lastColumn="0" w:lastRow="0" w:noHBand="0" w:noVBand="1" w:val="04A0"/>
      </w:tblPr>
      <w:tblGrid>
        <w:gridCol w:w="10224"/>
      </w:tblGrid>
      <w:tr>
        <w:trPr>
          <w:cantSplit w:val="1"/>
        </w:trPr>
        <w:tc>
          <w:tcPr>
            <w:tcW w:type="dxa" w:w="10224"/>
            <w:shd w:fill="EAF2F8"/>
            <w:tcMar>
              <w:top w:w="95" w:type="dxa"/>
              <w:start w:w="125" w:type="dxa"/>
              <w:bottom w:w="95" w:type="dxa"/>
              <w:end w:w="125" w:type="dxa"/>
            </w:tcMar>
          </w:tcPr>
          <w:p>
            <w:pPr>
              <w:spacing w:after="60"/>
            </w:pPr>
            <w:r>
              <w:rPr>
                <w:rFonts w:ascii="Noto Sans" w:hAnsi="Noto Sans" w:eastAsia="Noto Sans CJK JP"/>
                <w:b/>
                <w:sz w:val="20"/>
              </w:rPr>
              <w:t>Anti-répétition</w:t>
            </w:r>
          </w:p>
          <w:p>
            <w:pPr>
              <w:spacing w:after="0"/>
            </w:pPr>
            <w:r>
              <w:rPr>
                <w:rFonts w:ascii="Noto Sans" w:hAnsi="Noto Sans" w:eastAsia="Noto Sans CJK JP"/>
                <w:sz w:val="18"/>
              </w:rPr>
              <w:t>Le système doit éviter de représenter immédiatement dix fois la même réponse. Une erreur peut être corrigée puis revue à court terme, mais avec un autre contexte, un autre distracteur ou une autre compétence.</w:t>
            </w:r>
          </w:p>
        </w:tc>
      </w:tr>
    </w:tbl>
    <w:p>
      <w:pPr>
        <w:spacing w:after="0"/>
      </w:pPr>
    </w:p>
    <w:p>
      <w:pPr>
        <w:pStyle w:val="Heading1"/>
        <w:keepNext/>
      </w:pPr>
      <w:r>
        <w:t>16. Can-do : contrat de sortie de chaque mission</w:t>
      </w:r>
    </w:p>
    <w:p>
      <w:pPr>
        <w:spacing w:after="100"/>
      </w:pPr>
      <w:r>
        <w:rPr>
          <w:rFonts w:ascii="Noto Sans" w:hAnsi="Noto Sans" w:eastAsia="Noto Sans CJK JP"/>
          <w:sz w:val="19"/>
        </w:rPr>
        <w:t>Chaque mission guidée doit posséder un Can-do unique ou principal, rédigé comme une capacité observable. Des micro-Can-do peuvent exister à l’intérieur, mais la mission a une sortie claire.</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Champ du Can-do</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Contenu attendu</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Capacité</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 Je peux… » + tâche concrète.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Contexte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Où, avec qui, dans quelle situation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Connaissances mobilisées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Notions nouvelles + anciennes nécessaires.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Compétences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Écoute, lecture, production, interaction, prosodie, registre… selon le cas.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Aides autorisées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Furigana, audio répétable, choix proposés, dictionnaire, etc.</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Critères de réussite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Ce qui prouve que la tâche est effectivement accomplie.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Erreurs critiques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Erreurs qui empêchent la compréhension ou changent totalement l’intention.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Variantes acceptées</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Plusieurs formulations correctes selon registre et niveau.</w:t>
            </w:r>
          </w:p>
        </w:tc>
      </w:tr>
    </w:tbl>
    <w:p>
      <w:pPr>
        <w:spacing w:after="100"/>
      </w:pPr>
      <w:r>
        <w:rPr>
          <w:rFonts w:ascii="Noto Sans" w:hAnsi="Noto Sans" w:eastAsia="Noto Sans CJK JP"/>
          <w:sz w:val="19"/>
        </w:rPr>
        <w:t>Le Can-do ne doit pas toujours être un exercice unique. Aux niveaux élevés, il peut être un mini-scénario, un texte, une discussion, une présentation ou un projet multi-supports.</w:t>
      </w:r>
    </w:p>
    <w:p>
      <w:pPr>
        <w:pStyle w:val="Heading1"/>
        <w:keepNext/>
      </w:pPr>
      <w:r>
        <w:t>17. Règles générales de validation</w:t>
      </w:r>
    </w:p>
    <w:p>
      <w:pPr>
        <w:spacing w:after="100"/>
      </w:pPr>
      <w:r>
        <w:rPr>
          <w:rFonts w:ascii="Noto Sans" w:hAnsi="Noto Sans" w:eastAsia="Noto Sans CJK JP"/>
          <w:sz w:val="19"/>
        </w:rPr>
        <w:t>Le moteur distingue la validation d’une activité, la validation d’un Can-do et la maîtrise durable des notions.</w:t>
      </w:r>
    </w:p>
    <w:p>
      <w:pPr>
        <w:pStyle w:val="ListBullet"/>
        <w:spacing w:after="40"/>
      </w:pPr>
      <w:r>
        <w:rPr>
          <w:rFonts w:ascii="Noto Sans" w:hAnsi="Noto Sans" w:eastAsia="Noto Sans CJK JP"/>
          <w:sz w:val="19"/>
        </w:rPr>
        <w:t>une mission est validée lorsque son Can-do est réussi selon les critères du niveau ;</w:t>
      </w:r>
    </w:p>
    <w:p>
      <w:pPr>
        <w:pStyle w:val="ListBullet"/>
        <w:spacing w:after="40"/>
      </w:pPr>
      <w:r>
        <w:rPr>
          <w:rFonts w:ascii="Noto Sans" w:hAnsi="Noto Sans" w:eastAsia="Noto Sans CJK JP"/>
          <w:sz w:val="19"/>
        </w:rPr>
        <w:t>la mission reste validée définitivement ;</w:t>
      </w:r>
    </w:p>
    <w:p>
      <w:pPr>
        <w:pStyle w:val="ListBullet"/>
        <w:spacing w:after="40"/>
      </w:pPr>
      <w:r>
        <w:rPr>
          <w:rFonts w:ascii="Noto Sans" w:hAnsi="Noto Sans" w:eastAsia="Noto Sans CJK JP"/>
          <w:sz w:val="19"/>
        </w:rPr>
        <w:t>les scores de maîtrise des notions continuent d’évoluer après la validation ;</w:t>
      </w:r>
    </w:p>
    <w:p>
      <w:pPr>
        <w:pStyle w:val="ListBullet"/>
        <w:spacing w:after="40"/>
      </w:pPr>
      <w:r>
        <w:rPr>
          <w:rFonts w:ascii="Noto Sans" w:hAnsi="Noto Sans" w:eastAsia="Noto Sans CJK JP"/>
          <w:sz w:val="19"/>
        </w:rPr>
        <w:t>une erreur dans une notion non essentielle ne doit pas nécessairement invalider toute la tâche ;</w:t>
      </w:r>
    </w:p>
    <w:p>
      <w:pPr>
        <w:pStyle w:val="ListBullet"/>
        <w:spacing w:after="40"/>
      </w:pPr>
      <w:r>
        <w:rPr>
          <w:rFonts w:ascii="Noto Sans" w:hAnsi="Noto Sans" w:eastAsia="Noto Sans CJK JP"/>
          <w:sz w:val="19"/>
        </w:rPr>
        <w:t>les erreurs qui empêchent le sens, le rôle communicatif ou le registre demandé peuvent être déclarées critiques ;</w:t>
      </w:r>
    </w:p>
    <w:p>
      <w:pPr>
        <w:pStyle w:val="ListBullet"/>
        <w:spacing w:after="40"/>
      </w:pPr>
      <w:r>
        <w:rPr>
          <w:rFonts w:ascii="Noto Sans" w:hAnsi="Noto Sans" w:eastAsia="Noto Sans CJK JP"/>
          <w:sz w:val="19"/>
        </w:rPr>
        <w:t>le nombre exact de tentatives, seuils et pondérations sera fixé dans les spécifications de missions / étapes.</w:t>
      </w:r>
    </w:p>
    <w:p>
      <w:pPr>
        <w:pStyle w:val="Heading1"/>
        <w:keepNext/>
      </w:pPr>
      <w:r>
        <w:t>18. Cas particulier de l’étape 0 : exigence à 100 %</w:t>
      </w:r>
    </w:p>
    <w:p>
      <w:pPr>
        <w:spacing w:after="100"/>
      </w:pPr>
      <w:r>
        <w:rPr>
          <w:rFonts w:ascii="Noto Sans" w:hAnsi="Noto Sans" w:eastAsia="Noto Sans CJK JP"/>
          <w:sz w:val="19"/>
        </w:rPr>
        <w:t>L’étape 0 est la seule zone où une exigence de 100 % peut être utilisée comme règle normale pour certaines validations fondamentales. Reconnaître un kana ou distinguer une longueur n’est pas une compétence ouverte à plusieurs solutions.</w:t>
      </w:r>
    </w:p>
    <w:p>
      <w:pPr>
        <w:pStyle w:val="ListBullet"/>
        <w:spacing w:after="40"/>
      </w:pPr>
      <w:r>
        <w:rPr>
          <w:rFonts w:ascii="Noto Sans" w:hAnsi="Noto Sans" w:eastAsia="Noto Sans CJK JP"/>
          <w:sz w:val="19"/>
        </w:rPr>
        <w:t>les évaluations kana peuvent exiger 100 % selon le format retenu ;</w:t>
      </w:r>
    </w:p>
    <w:p>
      <w:pPr>
        <w:pStyle w:val="ListBullet"/>
        <w:spacing w:after="40"/>
      </w:pPr>
      <w:r>
        <w:rPr>
          <w:rFonts w:ascii="Noto Sans" w:hAnsi="Noto Sans" w:eastAsia="Noto Sans CJK JP"/>
          <w:sz w:val="19"/>
        </w:rPr>
        <w:t>l’écriture manuscrite reste optionnelle ;</w:t>
      </w:r>
    </w:p>
    <w:p>
      <w:pPr>
        <w:pStyle w:val="ListBullet"/>
        <w:spacing w:after="40"/>
      </w:pPr>
      <w:r>
        <w:rPr>
          <w:rFonts w:ascii="Noto Sans" w:hAnsi="Noto Sans" w:eastAsia="Noto Sans CJK JP"/>
          <w:sz w:val="19"/>
        </w:rPr>
        <w:t>le 100 % ne devient pas la règle de tout le parcours ;</w:t>
      </w:r>
    </w:p>
    <w:p>
      <w:pPr>
        <w:pStyle w:val="ListBullet"/>
        <w:spacing w:after="40"/>
      </w:pPr>
      <w:r>
        <w:rPr>
          <w:rFonts w:ascii="Noto Sans" w:hAnsi="Noto Sans" w:eastAsia="Noto Sans CJK JP"/>
          <w:sz w:val="19"/>
        </w:rPr>
        <w:t>dès l’étape 1, les productions, compréhensions et Can-do acceptent une marge d’erreur compatible avec une communication réussie.</w:t>
      </w:r>
    </w:p>
    <w:p>
      <w:pPr>
        <w:pStyle w:val="Heading1"/>
        <w:keepNext/>
      </w:pPr>
      <w:r>
        <w:t>19. Après l’étape 0 : évaluations multidimensionnelles, jamais « perfection ou échec »</w:t>
      </w:r>
    </w:p>
    <w:p>
      <w:pPr>
        <w:spacing w:after="100"/>
      </w:pPr>
      <w:r>
        <w:rPr>
          <w:rFonts w:ascii="Noto Sans" w:hAnsi="Noto Sans" w:eastAsia="Noto Sans CJK JP"/>
          <w:sz w:val="19"/>
        </w:rPr>
        <w:t>À partir de l’étape 1, un score unique à 100 % serait pédagogiquement mauvais. Le système peut conserver des sous-scores, mais la réussite finale doit refléter la capacité réelle.</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Exemple de dimension</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Question de validation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Compréhension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L’utilisateur a-t-il compris l’information principale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Précision linguistique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phrase est-elle suffisamment correcte pour le niveau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Choix lexical / grammatical</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Le choix est-il adapté au sens demandé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Interaction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réponse fait-elle avancer l’échange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Registre / pragmatique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formulation convient-elle à la relation et au contexte ?</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Prononciation / prosodie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Le message reste-t-il intelligible et cohérent avec la fonction ?</w:t>
            </w:r>
          </w:p>
        </w:tc>
      </w:tr>
    </w:tbl>
    <w:tbl>
      <w:tblPr>
        <w:tblW w:type="auto" w:w="0"/>
        <w:jc w:val="center"/>
        <w:tblLook w:firstColumn="1" w:firstRow="1" w:lastColumn="0" w:lastRow="0" w:noHBand="0" w:noVBand="1" w:val="04A0"/>
      </w:tblPr>
      <w:tblGrid>
        <w:gridCol w:w="10224"/>
      </w:tblGrid>
      <w:tr>
        <w:trPr>
          <w:cantSplit w:val="1"/>
        </w:trPr>
        <w:tc>
          <w:tcPr>
            <w:tcW w:type="dxa" w:w="10224"/>
            <w:shd w:fill="FFF4DE"/>
            <w:tcMar>
              <w:top w:w="95" w:type="dxa"/>
              <w:start w:w="125" w:type="dxa"/>
              <w:bottom w:w="95" w:type="dxa"/>
              <w:end w:w="125" w:type="dxa"/>
            </w:tcMar>
          </w:tcPr>
          <w:p>
            <w:pPr>
              <w:spacing w:after="60"/>
            </w:pPr>
            <w:r>
              <w:rPr>
                <w:rFonts w:ascii="Noto Sans" w:hAnsi="Noto Sans" w:eastAsia="Noto Sans CJK JP"/>
                <w:b/>
                <w:sz w:val="20"/>
              </w:rPr>
              <w:t>À décider plus tard</w:t>
            </w:r>
          </w:p>
          <w:p>
            <w:pPr>
              <w:spacing w:after="0"/>
            </w:pPr>
            <w:r>
              <w:rPr>
                <w:rFonts w:ascii="Noto Sans" w:hAnsi="Noto Sans" w:eastAsia="Noto Sans CJK JP"/>
                <w:sz w:val="18"/>
              </w:rPr>
              <w:t>Les pourcentages exacts et pondérations ne sont pas figés ici. La seule règle globale est : pas de 100 % obligatoire après l’étape 0, et pas de validation sur un simple score global lorsque la tâche demande plusieurs compétences.</w:t>
            </w:r>
          </w:p>
        </w:tc>
      </w:tr>
    </w:tbl>
    <w:p>
      <w:pPr>
        <w:spacing w:after="0"/>
      </w:pPr>
    </w:p>
    <w:p>
      <w:pPr>
        <w:pStyle w:val="Heading1"/>
        <w:keepNext/>
      </w:pPr>
      <w:r>
        <w:t>20. Catalogue commun des familles d’exercices</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Famille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Exemples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Reconnaissance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kana → son, mot → sens, phrase → intention, kanji → mot connu, registre correct.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Rappel</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sens → mot, audio → saisie, question sans choix, conjugaison à produire.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Discrimination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sons proches, kana proches, particules concurrentes, structures de nuance.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Construction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blocs à ordonner, particule manquante, transformation d’une forme.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Contexte / choix</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choisir la structure ou le registre selon une scène.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Écoute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mot, phrase, dialogue, information ciblée, résumé, multi-locuteurs.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Prononciation / prosodie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écouter-répéter, shadowing, discrimination, auto-enregistrement.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Interaction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réponse à une question, réaction, aizuchi, clarification, refus, négociation.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Lecture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repérage d’information, compréhension, inférence, structure d’un texte.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Écriture / saisie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mot, phrase, message, récit, mail, résumé, argumentation.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Intégration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mini-scénario ou projet combinant plusieurs supports et compétences.</w:t>
            </w:r>
          </w:p>
        </w:tc>
      </w:tr>
    </w:tbl>
    <w:p>
      <w:pPr>
        <w:pStyle w:val="Heading1"/>
        <w:keepNext/>
      </w:pPr>
      <w:r>
        <w:t>21. Trois niveaux de correction des réponses</w:t>
      </w:r>
    </w:p>
    <w:p>
      <w:pPr>
        <w:spacing w:after="100"/>
      </w:pPr>
      <w:r>
        <w:rPr>
          <w:rFonts w:ascii="Noto Sans" w:hAnsi="Noto Sans" w:eastAsia="Noto Sans CJK JP"/>
          <w:sz w:val="19"/>
        </w:rPr>
        <w:t>Le moteur doit prévoir plusieurs méthodes de correction afin de rester fiable au lancement tout en pouvant intégrer davantage d’IA plus tard.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Niveau</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Utilisation</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Exemple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1 — Déterministe</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Une réponse attendue ou ensemble fermé</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kana, nombre, particule, lecture connue, QCM.</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2 — Variantes structurées</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Plusieurs réponses prévues / règles de normalisation</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formes polies ou neutres acceptées, variantes orthographiques, ordre de blocs.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5"/>
              </w:rPr>
              <w:t>3 — Évaluation ouverte</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Production libre analysée avec critères</w:t>
            </w:r>
          </w:p>
        </w:tc>
        <w:tc>
          <w:tcPr>
            <w:tcW w:type="dxa" w:w="3408"/>
            <w:tcMar>
              <w:top w:w="55" w:type="dxa"/>
              <w:start w:w="75" w:type="dxa"/>
              <w:bottom w:w="55" w:type="dxa"/>
              <w:end w:w="75" w:type="dxa"/>
            </w:tcMar>
            <w:vAlign w:val="top"/>
          </w:tcPr>
          <w:p>
            <w:pPr>
              <w:spacing w:after="0"/>
            </w:pPr>
            <w:r>
              <w:rPr>
                <w:rFonts w:ascii="Noto Sans" w:hAnsi="Noto Sans" w:eastAsia="Noto Sans CJK JP"/>
                <w:sz w:val="15"/>
              </w:rPr>
              <w:t>message, réponse contextualisée, résumé, oral, argumentation.</w:t>
            </w:r>
          </w:p>
        </w:tc>
      </w:tr>
    </w:tbl>
    <w:p>
      <w:pPr>
        <w:pStyle w:val="ListBullet"/>
        <w:spacing w:after="40"/>
      </w:pPr>
      <w:r>
        <w:rPr>
          <w:rFonts w:ascii="Noto Sans" w:hAnsi="Noto Sans" w:eastAsia="Noto Sans CJK JP"/>
          <w:sz w:val="19"/>
        </w:rPr>
        <w:t>les niveaux 1 et 2 doivent fonctionner sans IA ;</w:t>
      </w:r>
    </w:p>
    <w:p>
      <w:pPr>
        <w:pStyle w:val="ListBullet"/>
        <w:spacing w:after="40"/>
      </w:pPr>
      <w:r>
        <w:rPr>
          <w:rFonts w:ascii="Noto Sans" w:hAnsi="Noto Sans" w:eastAsia="Noto Sans CJK JP"/>
          <w:sz w:val="19"/>
        </w:rPr>
        <w:t>le niveau 3 peut utiliser une IA pour donner un feedback plus riche ;</w:t>
      </w:r>
    </w:p>
    <w:p>
      <w:pPr>
        <w:pStyle w:val="ListBullet"/>
        <w:spacing w:after="40"/>
      </w:pPr>
      <w:r>
        <w:rPr>
          <w:rFonts w:ascii="Noto Sans" w:hAnsi="Noto Sans" w:eastAsia="Noto Sans CJK JP"/>
          <w:sz w:val="19"/>
        </w:rPr>
        <w:t>si l’IA n’est pas disponible, la mission doit pouvoir proposer une alternative : critères explicites, comparaison à des modèles, réponses guidées ou auto-évaluation structurée ;</w:t>
      </w:r>
    </w:p>
    <w:p>
      <w:pPr>
        <w:pStyle w:val="ListBullet"/>
        <w:spacing w:after="40"/>
      </w:pPr>
      <w:r>
        <w:rPr>
          <w:rFonts w:ascii="Noto Sans" w:hAnsi="Noto Sans" w:eastAsia="Noto Sans CJK JP"/>
          <w:sz w:val="19"/>
        </w:rPr>
        <w:t>l’IA ne doit jamais inventer une seule « bonne phrase » lorsqu’il existe plusieurs formulations japonaises valides.</w:t>
      </w:r>
    </w:p>
    <w:p>
      <w:pPr>
        <w:pStyle w:val="Heading1"/>
        <w:keepNext/>
      </w:pPr>
      <w:r>
        <w:t>22. Classification des erreurs et feedback</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Type d’erreur</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Réaction du moteur</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de connaissance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Revoir l’explication ou la notion ; programmer une révision.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Confusion entre notions proches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Créer un exercice contrastif plutôt que répéter la même carte.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de saisie mineure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Signaler sans toujours réduire fortement la maîtrise du concept.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de sens / rôle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Feedback explicite car elle peut changer la compréhension.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de registre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Montrer pourquoi la phrase est correcte grammaticalement mais inadaptée au contexte.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de prononciation intelligible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Feedback de perfectionnement, pas échec automatique selon le niveau.</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bloquante de prononciation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Revenir au son / rythme concerné si le message devient difficile à comprendre.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répétée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Augmenter la fréquence de révision et varier le type d’exercice.</w:t>
            </w:r>
          </w:p>
        </w:tc>
      </w:tr>
    </w:tbl>
    <w:p>
      <w:pPr>
        <w:spacing w:after="100"/>
      </w:pPr>
      <w:r>
        <w:rPr>
          <w:rFonts w:ascii="Noto Sans" w:hAnsi="Noto Sans" w:eastAsia="Noto Sans CJK JP"/>
          <w:sz w:val="19"/>
        </w:rPr>
        <w:t>Le feedback doit expliquer la cause utile de l’erreur. Une simple croix rouge n’est acceptable que pour les tâches triviales dont la correction est évidente.</w:t>
      </w:r>
    </w:p>
    <w:p>
      <w:pPr>
        <w:pStyle w:val="Heading1"/>
        <w:keepNext/>
      </w:pPr>
      <w:r>
        <w:t>23. Aides adaptatives : principe général</w:t>
      </w:r>
    </w:p>
    <w:p>
      <w:pPr>
        <w:spacing w:after="100"/>
      </w:pPr>
      <w:r>
        <w:rPr>
          <w:rFonts w:ascii="Noto Sans" w:hAnsi="Noto Sans" w:eastAsia="Noto Sans CJK JP"/>
          <w:sz w:val="19"/>
        </w:rPr>
        <w:t>Les aides doivent diminuer avec la maîtrise tout en restant récupérables lorsque l’utilisateur en a besoin. Utiliser une aide peut réduire le poids d’une réussite, mais ne doit pas être puni de façon disproportionnée.</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Aide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Règle générale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Romaji</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Présent surtout étape 0 et transition étape 1 ; masquable puis retiré par défaut.</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Espaces pédagogiques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Utiles au début ; fortement réduits à l’étape 2 puis absents des productions normales.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Furigana</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Adaptatifs : nouveaux kanji aidés, kanji consolidés masqués ; révélation possible.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Traduction française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Forte au début, progressivement remplacée par contexte et explications japonaises.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Indice grammatical</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Disponible par paliers : rappel de fonction → exemple → forme attendue.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Audio répétable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Accessible, avec possibilité de ralentissement pédagogique sans remplacer la vitesse normale.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Dictionnaire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Introduit progressivement puis devient compétence explicite aux niveaux avancés.</w:t>
            </w:r>
          </w:p>
        </w:tc>
      </w:tr>
    </w:tbl>
    <w:p>
      <w:pPr>
        <w:pStyle w:val="Heading1"/>
        <w:keepNext/>
      </w:pPr>
      <w:r>
        <w:t>24. Politique du romaji, des furigana et des espaces</w:t>
      </w:r>
    </w:p>
    <w:p>
      <w:pPr>
        <w:pStyle w:val="ListBullet"/>
        <w:spacing w:after="40"/>
      </w:pPr>
      <w:r>
        <w:rPr>
          <w:rFonts w:ascii="Noto Sans" w:hAnsi="Noto Sans" w:eastAsia="Noto Sans CJK JP"/>
          <w:sz w:val="19"/>
        </w:rPr>
        <w:t>étape 0 : romaji possible comme transcription et réponse ;</w:t>
      </w:r>
    </w:p>
    <w:p>
      <w:pPr>
        <w:pStyle w:val="ListBullet"/>
        <w:spacing w:after="40"/>
      </w:pPr>
      <w:r>
        <w:rPr>
          <w:rFonts w:ascii="Noto Sans" w:hAnsi="Noto Sans" w:eastAsia="Noto Sans CJK JP"/>
          <w:sz w:val="19"/>
        </w:rPr>
        <w:t>étape 1 : romaji transitoire, masquable, puis retiré des exercices principaux ;</w:t>
      </w:r>
    </w:p>
    <w:p>
      <w:pPr>
        <w:pStyle w:val="ListBullet"/>
        <w:spacing w:after="40"/>
      </w:pPr>
      <w:r>
        <w:rPr>
          <w:rFonts w:ascii="Noto Sans" w:hAnsi="Noto Sans" w:eastAsia="Noto Sans CJK JP"/>
          <w:sz w:val="19"/>
        </w:rPr>
        <w:t>étape 2 et suivantes : romaji exceptionnel, principalement aide de saisie ou explication ponctuelle ;</w:t>
      </w:r>
    </w:p>
    <w:p>
      <w:pPr>
        <w:pStyle w:val="ListBullet"/>
        <w:spacing w:after="40"/>
      </w:pPr>
      <w:r>
        <w:rPr>
          <w:rFonts w:ascii="Noto Sans" w:hAnsi="Noto Sans" w:eastAsia="Noto Sans CJK JP"/>
          <w:sz w:val="19"/>
        </w:rPr>
        <w:t>furigana : présents sur les kanji nouveaux / fragiles et retirés selon maîtrise ;</w:t>
      </w:r>
    </w:p>
    <w:p>
      <w:pPr>
        <w:pStyle w:val="ListBullet"/>
        <w:spacing w:after="40"/>
      </w:pPr>
      <w:r>
        <w:rPr>
          <w:rFonts w:ascii="Noto Sans" w:hAnsi="Noto Sans" w:eastAsia="Noto Sans CJK JP"/>
          <w:sz w:val="19"/>
        </w:rPr>
        <w:t>la révélation volontaire d’un furigana est permise mais la réponse compte comme davantage aidée ;</w:t>
      </w:r>
    </w:p>
    <w:p>
      <w:pPr>
        <w:pStyle w:val="ListBullet"/>
        <w:spacing w:after="40"/>
      </w:pPr>
      <w:r>
        <w:rPr>
          <w:rFonts w:ascii="Noto Sans" w:hAnsi="Noto Sans" w:eastAsia="Noto Sans CJK JP"/>
          <w:sz w:val="19"/>
        </w:rPr>
        <w:t>les espaces ne doivent jamais devenir une dépendance ; les textes normaux japonais sont présentés progressivement sans segmentation artificielle.</w:t>
      </w:r>
    </w:p>
    <w:p>
      <w:pPr>
        <w:pStyle w:val="Heading1"/>
        <w:keepNext/>
      </w:pPr>
      <w:r>
        <w:t>25. Audio, prononciation et prosodie</w:t>
      </w:r>
    </w:p>
    <w:p>
      <w:pPr>
        <w:spacing w:after="100"/>
      </w:pPr>
      <w:r>
        <w:rPr>
          <w:rFonts w:ascii="Noto Sans" w:hAnsi="Noto Sans" w:eastAsia="Noto Sans CJK JP"/>
          <w:sz w:val="19"/>
        </w:rPr>
        <w:t>L’audio n’est pas une décoration. À partir du moment où un mot ou une structure doit être compris ou produit oralement, le système doit pouvoir associer un modèle sonore à son apprentissage.</w:t>
      </w:r>
    </w:p>
    <w:p>
      <w:pPr>
        <w:pStyle w:val="ListBullet"/>
        <w:spacing w:after="40"/>
      </w:pPr>
      <w:r>
        <w:rPr>
          <w:rFonts w:ascii="Noto Sans" w:hAnsi="Noto Sans" w:eastAsia="Noto Sans CJK JP"/>
          <w:sz w:val="19"/>
        </w:rPr>
        <w:t>les kana et distinctions sonores de l’étape 0 utilisent l’audio ;</w:t>
      </w:r>
    </w:p>
    <w:p>
      <w:pPr>
        <w:pStyle w:val="ListBullet"/>
        <w:spacing w:after="40"/>
      </w:pPr>
      <w:r>
        <w:rPr>
          <w:rFonts w:ascii="Noto Sans" w:hAnsi="Noto Sans" w:eastAsia="Noto Sans CJK JP"/>
          <w:sz w:val="19"/>
        </w:rPr>
        <w:t>le vocabulaire nouveau doit idéalement disposer d’un audio modèle ;</w:t>
      </w:r>
    </w:p>
    <w:p>
      <w:pPr>
        <w:pStyle w:val="ListBullet"/>
        <w:spacing w:after="40"/>
      </w:pPr>
      <w:r>
        <w:rPr>
          <w:rFonts w:ascii="Noto Sans" w:hAnsi="Noto Sans" w:eastAsia="Noto Sans CJK JP"/>
          <w:sz w:val="19"/>
        </w:rPr>
        <w:t>les dialogues possèdent une version à vitesse adaptée puis une version proche du naturel selon le niveau ;</w:t>
      </w:r>
    </w:p>
    <w:p>
      <w:pPr>
        <w:pStyle w:val="ListBullet"/>
        <w:spacing w:after="40"/>
      </w:pPr>
      <w:r>
        <w:rPr>
          <w:rFonts w:ascii="Noto Sans" w:hAnsi="Noto Sans" w:eastAsia="Noto Sans CJK JP"/>
          <w:sz w:val="19"/>
        </w:rPr>
        <w:t>la prosodie est suivie comme branche transversale distincte de la simple correction grammaticale ;</w:t>
      </w:r>
    </w:p>
    <w:p>
      <w:pPr>
        <w:pStyle w:val="ListBullet"/>
        <w:spacing w:after="40"/>
      </w:pPr>
      <w:r>
        <w:rPr>
          <w:rFonts w:ascii="Noto Sans" w:hAnsi="Noto Sans" w:eastAsia="Noto Sans CJK JP"/>
          <w:sz w:val="19"/>
        </w:rPr>
        <w:t>le pitch accent du japonais standard de Tokyo peut être stocké et affiché comme aide, sans être un verrou global ;</w:t>
      </w:r>
    </w:p>
    <w:p>
      <w:pPr>
        <w:pStyle w:val="ListBullet"/>
        <w:spacing w:after="40"/>
      </w:pPr>
      <w:r>
        <w:rPr>
          <w:rFonts w:ascii="Noto Sans" w:hAnsi="Noto Sans" w:eastAsia="Noto Sans CJK JP"/>
          <w:sz w:val="19"/>
        </w:rPr>
        <w:t>la reconnaissance vocale peut produire du feedback mais n’est pas indispensable à la validation des premiers niveaux ;</w:t>
      </w:r>
    </w:p>
    <w:p>
      <w:pPr>
        <w:pStyle w:val="ListBullet"/>
        <w:spacing w:after="40"/>
      </w:pPr>
      <w:r>
        <w:rPr>
          <w:rFonts w:ascii="Noto Sans" w:hAnsi="Noto Sans" w:eastAsia="Noto Sans CJK JP"/>
          <w:sz w:val="19"/>
        </w:rPr>
        <w:t>aux niveaux avancés, shadowing, auto-enregistrement, rythme, pauses, focalisation et intonation deviennent des activités explicites.</w:t>
      </w:r>
    </w:p>
    <w:p>
      <w:pPr>
        <w:pStyle w:val="Heading1"/>
        <w:keepNext/>
      </w:pPr>
      <w:r>
        <w:t>26. Écriture manuscrite vs production écrite</w:t>
      </w:r>
    </w:p>
    <w:tbl>
      <w:tblPr>
        <w:tblW w:type="auto" w:w="0"/>
        <w:jc w:val="center"/>
        <w:tblLook w:firstColumn="1" w:firstRow="1" w:lastColumn="0" w:lastRow="0" w:noHBand="0" w:noVBand="1" w:val="04A0"/>
      </w:tblPr>
      <w:tblGrid>
        <w:gridCol w:w="10224"/>
      </w:tblGrid>
      <w:tr>
        <w:trPr>
          <w:cantSplit w:val="1"/>
        </w:trPr>
        <w:tc>
          <w:tcPr>
            <w:tcW w:type="dxa" w:w="10224"/>
            <w:shd w:fill="FFF4DE"/>
            <w:tcMar>
              <w:top w:w="95" w:type="dxa"/>
              <w:start w:w="125" w:type="dxa"/>
              <w:bottom w:w="95" w:type="dxa"/>
              <w:end w:w="125" w:type="dxa"/>
            </w:tcMar>
          </w:tcPr>
          <w:p>
            <w:pPr>
              <w:spacing w:after="60"/>
            </w:pPr>
            <w:r>
              <w:rPr>
                <w:rFonts w:ascii="Noto Sans" w:hAnsi="Noto Sans" w:eastAsia="Noto Sans CJK JP"/>
                <w:b/>
                <w:sz w:val="20"/>
              </w:rPr>
              <w:t>Distinction obligatoire</w:t>
            </w:r>
          </w:p>
          <w:p>
            <w:pPr>
              <w:spacing w:after="0"/>
            </w:pPr>
            <w:r>
              <w:rPr>
                <w:rFonts w:ascii="Noto Sans" w:hAnsi="Noto Sans" w:eastAsia="Noto Sans CJK JP"/>
                <w:sz w:val="18"/>
              </w:rPr>
              <w:t>Écriture MANUSCRITE des kana / kanji = branche optionnelle. Production écrite et saisie du japonais = compétence du tronc commun et progressivement obligatoire.</w:t>
            </w:r>
          </w:p>
        </w:tc>
      </w:tr>
    </w:tbl>
    <w:p>
      <w:pPr>
        <w:spacing w:after="0"/>
      </w:pPr>
    </w:p>
    <w:p>
      <w:pPr>
        <w:pStyle w:val="ListBullet"/>
        <w:spacing w:after="40"/>
      </w:pPr>
      <w:r>
        <w:rPr>
          <w:rFonts w:ascii="Noto Sans" w:hAnsi="Noto Sans" w:eastAsia="Noto Sans CJK JP"/>
          <w:sz w:val="19"/>
        </w:rPr>
        <w:t>étape 0 : le tracé peut donner des objectifs et badges facultatifs ;</w:t>
      </w:r>
    </w:p>
    <w:p>
      <w:pPr>
        <w:pStyle w:val="ListBullet"/>
        <w:spacing w:after="40"/>
      </w:pPr>
      <w:r>
        <w:rPr>
          <w:rFonts w:ascii="Noto Sans" w:hAnsi="Noto Sans" w:eastAsia="Noto Sans CJK JP"/>
          <w:sz w:val="19"/>
        </w:rPr>
        <w:t>étape 1 : premières saisies de mots en kana ;</w:t>
      </w:r>
    </w:p>
    <w:p>
      <w:pPr>
        <w:pStyle w:val="ListBullet"/>
        <w:spacing w:after="40"/>
      </w:pPr>
      <w:r>
        <w:rPr>
          <w:rFonts w:ascii="Noto Sans" w:hAnsi="Noto Sans" w:eastAsia="Noto Sans CJK JP"/>
          <w:sz w:val="19"/>
        </w:rPr>
        <w:t>étape 2 : phrases courtes et conversion kana → kanji sur mots connus ;</w:t>
      </w:r>
    </w:p>
    <w:p>
      <w:pPr>
        <w:pStyle w:val="ListBullet"/>
        <w:spacing w:after="40"/>
      </w:pPr>
      <w:r>
        <w:rPr>
          <w:rFonts w:ascii="Noto Sans" w:hAnsi="Noto Sans" w:eastAsia="Noto Sans CJK JP"/>
          <w:sz w:val="19"/>
        </w:rPr>
        <w:t>étapes 3 à 5 : messages, récits et textes courts saisis normalement en japonais ;</w:t>
      </w:r>
    </w:p>
    <w:p>
      <w:pPr>
        <w:pStyle w:val="ListBullet"/>
        <w:spacing w:after="40"/>
      </w:pPr>
      <w:r>
        <w:rPr>
          <w:rFonts w:ascii="Noto Sans" w:hAnsi="Noto Sans" w:eastAsia="Noto Sans CJK JP"/>
          <w:sz w:val="19"/>
        </w:rPr>
        <w:t>étapes 6 à 7 : résumé, argumentation, écrit professionnel et production longue avec relecture ;</w:t>
      </w:r>
    </w:p>
    <w:p>
      <w:pPr>
        <w:pStyle w:val="ListBullet"/>
        <w:spacing w:after="40"/>
      </w:pPr>
      <w:r>
        <w:rPr>
          <w:rFonts w:ascii="Noto Sans" w:hAnsi="Noto Sans" w:eastAsia="Noto Sans CJK JP"/>
          <w:sz w:val="19"/>
        </w:rPr>
        <w:t>un utilisateur qui n’active jamais le manuscrit peut terminer le tronc commun.</w:t>
      </w:r>
    </w:p>
    <w:p>
      <w:pPr>
        <w:pStyle w:val="Heading1"/>
        <w:keepNext/>
      </w:pPr>
      <w:r>
        <w:t>27. Réutilisation des notions dans plusieurs missions</w:t>
      </w:r>
    </w:p>
    <w:p>
      <w:pPr>
        <w:spacing w:after="100"/>
      </w:pPr>
      <w:r>
        <w:rPr>
          <w:rFonts w:ascii="Noto Sans" w:hAnsi="Noto Sans" w:eastAsia="Noto Sans CJK JP"/>
          <w:sz w:val="19"/>
        </w:rPr>
        <w:t>Une notion doit exister une seule fois dans le référentiel, puis être reliée à plusieurs missions avec un rôle différent.</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Rôle d’une notion dans une mission</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Signification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Nouvelle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mission est le premier enseignement explicite de la notion.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Cible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notion fait partie des éléments dont la maîtrise est réellement évaluée.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Révision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La notion est ancienne mais volontairement réactivée.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Contexte</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Elle apparaît parce qu’elle est naturelle, sans être une cible de notation.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Reconnaissance seulement</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L’utilisateur doit la comprendre mais pas encore la produire.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5"/>
              </w:rPr>
              <w:t>Activation</w:t>
            </w:r>
          </w:p>
        </w:tc>
        <w:tc>
          <w:tcPr>
            <w:tcW w:type="dxa" w:w="5112"/>
            <w:tcMar>
              <w:top w:w="55" w:type="dxa"/>
              <w:start w:w="75" w:type="dxa"/>
              <w:bottom w:w="55" w:type="dxa"/>
              <w:end w:w="75" w:type="dxa"/>
            </w:tcMar>
            <w:vAlign w:val="top"/>
          </w:tcPr>
          <w:p>
            <w:pPr>
              <w:spacing w:after="0"/>
            </w:pPr>
            <w:r>
              <w:rPr>
                <w:rFonts w:ascii="Noto Sans" w:hAnsi="Noto Sans" w:eastAsia="Noto Sans CJK JP"/>
                <w:sz w:val="15"/>
              </w:rPr>
              <w:t>Une connaissance auparavant passive devient une cible productive.</w:t>
            </w:r>
          </w:p>
        </w:tc>
      </w:tr>
    </w:tbl>
    <w:p>
      <w:pPr>
        <w:spacing w:after="100"/>
      </w:pPr>
      <w:r>
        <w:rPr>
          <w:rFonts w:ascii="Noto Sans" w:hAnsi="Noto Sans" w:eastAsia="Noto Sans CJK JP"/>
          <w:sz w:val="19"/>
        </w:rPr>
        <w:t>Cette distinction est essentielle pour éviter qu’un mot rencontré dans un dialogue soit accidentellement considéré comme obligatoire à produire.</w:t>
      </w:r>
    </w:p>
    <w:p>
      <w:pPr>
        <w:pStyle w:val="Heading1"/>
        <w:keepNext/>
      </w:pPr>
      <w:r>
        <w:t>28. Charge de nouveauté par mission</w:t>
      </w:r>
    </w:p>
    <w:p>
      <w:pPr>
        <w:spacing w:after="100"/>
      </w:pPr>
      <w:r>
        <w:rPr>
          <w:rFonts w:ascii="Noto Sans" w:hAnsi="Noto Sans" w:eastAsia="Noto Sans CJK JP"/>
          <w:sz w:val="19"/>
        </w:rPr>
        <w:t>Le nombre exact de mots / kanji / structures sera fixé par étape, mais l’architecture impose une règle de charge : une mission ne doit pas introduire simultanément trop de difficultés de nature différente.</w:t>
      </w:r>
    </w:p>
    <w:p>
      <w:pPr>
        <w:pStyle w:val="ListBullet"/>
        <w:spacing w:after="40"/>
      </w:pPr>
      <w:r>
        <w:rPr>
          <w:rFonts w:ascii="Noto Sans" w:hAnsi="Noto Sans" w:eastAsia="Noto Sans CJK JP"/>
          <w:sz w:val="19"/>
        </w:rPr>
        <w:t>si une structure grammaticale est nouvelle et complexe, le vocabulaire du scénario doit être majoritairement connu ;</w:t>
      </w:r>
    </w:p>
    <w:p>
      <w:pPr>
        <w:pStyle w:val="ListBullet"/>
        <w:spacing w:after="40"/>
      </w:pPr>
      <w:r>
        <w:rPr>
          <w:rFonts w:ascii="Noto Sans" w:hAnsi="Noto Sans" w:eastAsia="Noto Sans CJK JP"/>
          <w:sz w:val="19"/>
        </w:rPr>
        <w:t>si beaucoup de vocabulaire nouveau est nécessaire, la structure grammaticale doit rester familière ;</w:t>
      </w:r>
    </w:p>
    <w:p>
      <w:pPr>
        <w:pStyle w:val="ListBullet"/>
        <w:spacing w:after="40"/>
      </w:pPr>
      <w:r>
        <w:rPr>
          <w:rFonts w:ascii="Noto Sans" w:hAnsi="Noto Sans" w:eastAsia="Noto Sans CJK JP"/>
          <w:sz w:val="19"/>
        </w:rPr>
        <w:t>les nouveaux kanji doivent de préférence représenter des mots déjà compris oralement ou en kana ;</w:t>
      </w:r>
    </w:p>
    <w:p>
      <w:pPr>
        <w:pStyle w:val="ListBullet"/>
        <w:spacing w:after="40"/>
      </w:pPr>
      <w:r>
        <w:rPr>
          <w:rFonts w:ascii="Noto Sans" w:hAnsi="Noto Sans" w:eastAsia="Noto Sans CJK JP"/>
          <w:sz w:val="19"/>
        </w:rPr>
        <w:t>les évaluations finales n’introduisent pas de notion majeure surprise ;</w:t>
      </w:r>
    </w:p>
    <w:p>
      <w:pPr>
        <w:pStyle w:val="ListBullet"/>
        <w:spacing w:after="40"/>
      </w:pPr>
      <w:r>
        <w:rPr>
          <w:rFonts w:ascii="Noto Sans" w:hAnsi="Noto Sans" w:eastAsia="Noto Sans CJK JP"/>
          <w:sz w:val="19"/>
        </w:rPr>
        <w:t>les étapes avancées peuvent volontairement introduire quelques éléments inconnus lorsque la compétence visée est précisément de gérer l’inconnu.</w:t>
      </w:r>
    </w:p>
    <w:p>
      <w:pPr>
        <w:pStyle w:val="Heading1"/>
        <w:keepNext/>
      </w:pPr>
      <w:r>
        <w:t>29. Progression des évaluations selon les étapes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Étape</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Type dominant</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Can-do / évaluation</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0 — Fondations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Reconnaissance, rappel, discrimination auditive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Évaluations kana très déterministes ; 100 % possible.</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1 — Premier japonais fonctionnel</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Mots, sens, mini-phrases, première écoute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Mini-situation : se présenter, identifier, demander un prix / lieu.</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2 — Vraies phrases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Construction, particules, mini-dialogues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Tâche pratique avec actions, lieux, horaires, goûts ou invitation.</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3 — Maîtrise élémentaire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Transformations + production guidée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Petit récit / explication mobilisant formes neutres et phrases liées.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4 — Quotidien autonome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Scénarios, choix de nuance, plusieurs tours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Conversation quotidienne avec choix entre plusieurs structures.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5 — Intermédiaire naturel</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Implicite, contractions, registre, interaction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Échange prolongé et compréhension naturelle sur thème connu.</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6 — Avancé général</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Documents authentiques, résumé, argumentation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Présentation / écrit pro / discussion + supports multiples.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7 — Autonomie avancée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Projet autonome multi-sources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Recherche, synthèse, production, interaction et auto-évaluation.</w:t>
            </w:r>
          </w:p>
        </w:tc>
      </w:tr>
    </w:tbl>
    <w:p>
      <w:pPr>
        <w:pStyle w:val="Heading1"/>
        <w:keepNext/>
      </w:pPr>
      <w:r>
        <w:t>30. Niveau d’aide attendu selon les étapes</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Zone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Aides dominantes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0</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romaji possible, choix fermés fréquents, audio très contrôlé.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1</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romaji en retrait, segmentation temporaire, furigana sur premiers kanji.</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2</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sans romaji par défaut, furigana adaptatifs, phrases sans espaces.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3</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aides grammaticales disponibles mais production sans modèle de plus en plus fréquente.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4</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contexte et indices plutôt que traduction ; choix de nuance.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5</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audio naturel, ellipses, moins de guidage, registre et interaction.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6</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documents authentiques, dictionnaire encadré, synthèse et argumentation.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7</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aides principalement japonaises, outils autonomes, gestion volontaire de l’inconnu.</w:t>
            </w:r>
          </w:p>
        </w:tc>
      </w:tr>
    </w:tbl>
    <w:p>
      <w:pPr>
        <w:pStyle w:val="Heading1"/>
        <w:keepNext/>
      </w:pPr>
      <w:r>
        <w:t>31. Chapitres et checkpoints</w:t>
      </w:r>
    </w:p>
    <w:p>
      <w:pPr>
        <w:spacing w:after="100"/>
      </w:pPr>
      <w:r>
        <w:rPr>
          <w:rFonts w:ascii="Noto Sans" w:hAnsi="Noto Sans" w:eastAsia="Noto Sans CJK JP"/>
          <w:sz w:val="19"/>
        </w:rPr>
        <w:t>Les chapitres servent principalement à rendre lisibles les étapes longues. Ils ne doivent pas multiplier les barrières artificielles.</w:t>
      </w:r>
    </w:p>
    <w:p>
      <w:pPr>
        <w:pStyle w:val="ListBullet"/>
        <w:spacing w:after="40"/>
      </w:pPr>
      <w:r>
        <w:rPr>
          <w:rFonts w:ascii="Noto Sans" w:hAnsi="Noto Sans" w:eastAsia="Noto Sans CJK JP"/>
          <w:sz w:val="19"/>
        </w:rPr>
        <w:t>un chapitre regroupe plusieurs Can-do liés ;</w:t>
      </w:r>
    </w:p>
    <w:p>
      <w:pPr>
        <w:pStyle w:val="ListBullet"/>
        <w:spacing w:after="40"/>
      </w:pPr>
      <w:r>
        <w:rPr>
          <w:rFonts w:ascii="Noto Sans" w:hAnsi="Noto Sans" w:eastAsia="Noto Sans CJK JP"/>
          <w:sz w:val="19"/>
        </w:rPr>
        <w:t>il peut se terminer par une courte consolidation ou un scénario combiné ;</w:t>
      </w:r>
    </w:p>
    <w:p>
      <w:pPr>
        <w:pStyle w:val="ListBullet"/>
        <w:spacing w:after="40"/>
      </w:pPr>
      <w:r>
        <w:rPr>
          <w:rFonts w:ascii="Noto Sans" w:hAnsi="Noto Sans" w:eastAsia="Noto Sans CJK JP"/>
          <w:sz w:val="19"/>
        </w:rPr>
        <w:t>le checkpoint ne doit pas réexaminer exhaustivement tout ce qui précède ;</w:t>
      </w:r>
    </w:p>
    <w:p>
      <w:pPr>
        <w:pStyle w:val="ListBullet"/>
        <w:spacing w:after="40"/>
      </w:pPr>
      <w:r>
        <w:rPr>
          <w:rFonts w:ascii="Noto Sans" w:hAnsi="Noto Sans" w:eastAsia="Noto Sans CJK JP"/>
          <w:sz w:val="19"/>
        </w:rPr>
        <w:t>les étapes 3 à 6 sont les principales candidates à un découpage en plusieurs chapitres ;</w:t>
      </w:r>
    </w:p>
    <w:p>
      <w:pPr>
        <w:pStyle w:val="ListBullet"/>
        <w:spacing w:after="40"/>
      </w:pPr>
      <w:r>
        <w:rPr>
          <w:rFonts w:ascii="Noto Sans" w:hAnsi="Noto Sans" w:eastAsia="Noto Sans CJK JP"/>
          <w:sz w:val="19"/>
        </w:rPr>
        <w:t>une évaluation d’étape reste distincte d’un simple checkpoint de chapitre.</w:t>
      </w:r>
    </w:p>
    <w:p>
      <w:pPr>
        <w:pStyle w:val="Heading1"/>
        <w:keepNext/>
      </w:pPr>
      <w:r>
        <w:t>32. Échec, nouvelle tentative et remédiation</w:t>
      </w:r>
    </w:p>
    <w:p>
      <w:pPr>
        <w:spacing w:after="100"/>
      </w:pPr>
      <w:r>
        <w:rPr>
          <w:rFonts w:ascii="Noto Sans" w:hAnsi="Noto Sans" w:eastAsia="Noto Sans CJK JP"/>
          <w:sz w:val="19"/>
        </w:rPr>
        <w:t>L’échec ne doit jamais remettre l’utilisateur à zéro.</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Situation</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Comportement recommandé</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Échec léger au Can-do</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Afficher les dimensions fragiles puis proposer 1 à 3 micro-activités ciblées avant une nouvelle tentative.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Erreur conceptuelle nette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Revenir à l’explication / contraste utile et réinjecter la notion plus tard.</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Plusieurs erreurs anciennes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Créer une courte révision mixte plutôt que refaire toute la mission.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Blocage de production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Proposer un niveau d’aide supplémentaire puis diminuer l’aide à la tentative suivante.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Échec oral / libre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Donner un feedback par dimensions au lieu d’un simple « faux ».</w:t>
            </w:r>
          </w:p>
        </w:tc>
      </w:tr>
    </w:tbl>
    <w:p>
      <w:pPr>
        <w:pStyle w:val="ListBullet"/>
        <w:spacing w:after="40"/>
      </w:pPr>
      <w:r>
        <w:rPr>
          <w:rFonts w:ascii="Noto Sans" w:hAnsi="Noto Sans" w:eastAsia="Noto Sans CJK JP"/>
          <w:sz w:val="19"/>
        </w:rPr>
        <w:t>aucune exigence de « série parfaite » par défaut ;</w:t>
      </w:r>
    </w:p>
    <w:p>
      <w:pPr>
        <w:pStyle w:val="ListBullet"/>
        <w:spacing w:after="40"/>
      </w:pPr>
      <w:r>
        <w:rPr>
          <w:rFonts w:ascii="Noto Sans" w:hAnsi="Noto Sans" w:eastAsia="Noto Sans CJK JP"/>
          <w:sz w:val="19"/>
        </w:rPr>
        <w:t>ne pas forcer à refaire toutes les activités déjà réussies ;</w:t>
      </w:r>
    </w:p>
    <w:p>
      <w:pPr>
        <w:pStyle w:val="ListBullet"/>
        <w:spacing w:after="40"/>
      </w:pPr>
      <w:r>
        <w:rPr>
          <w:rFonts w:ascii="Noto Sans" w:hAnsi="Noto Sans" w:eastAsia="Noto Sans CJK JP"/>
          <w:sz w:val="19"/>
        </w:rPr>
        <w:t>la difficulté de la nouvelle tentative peut rester équivalente avec un contenu différent afin d’éviter l’apprentissage par cœur de la réponse.</w:t>
      </w:r>
    </w:p>
    <w:p>
      <w:pPr>
        <w:pStyle w:val="Heading1"/>
        <w:keepNext/>
      </w:pPr>
      <w:r>
        <w:t>33. Mode guidé, Mode libre, Mode révision et Mode autonomie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Mode</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Fonction</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Effet sur la progression</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Guidé</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Suit étapes, chapitres, missions et Can-do dans l’ordre pédagogique.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Peut valider missions / chapitres / étapes.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Libre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Permet de choisir kana, mots, groupes, notions ou paramètres de quiz.</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Peut améliorer la maîtrise mais ne valide pas automatiquement un Can-do guidé.</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Révision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Génère des exercices à partir du SRS, des erreurs et des faiblesses.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Restaure la maîtrise, sans toucher à l’historique de validation.</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Autonomie</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Après le tronc commun avancé, recommande activités, contenus et spécialisations selon objectifs.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Progression personnalisée au-delà de la ligne 0 → 7.</w:t>
            </w:r>
          </w:p>
        </w:tc>
      </w:tr>
    </w:tbl>
    <w:tbl>
      <w:tblPr>
        <w:tblW w:type="auto" w:w="0"/>
        <w:jc w:val="center"/>
        <w:tblLook w:firstColumn="1" w:firstRow="1" w:lastColumn="0" w:lastRow="0" w:noHBand="0" w:noVBand="1" w:val="04A0"/>
      </w:tblPr>
      <w:tblGrid>
        <w:gridCol w:w="10224"/>
      </w:tblGrid>
      <w:tr>
        <w:trPr>
          <w:cantSplit w:val="1"/>
        </w:trPr>
        <w:tc>
          <w:tcPr>
            <w:tcW w:type="dxa" w:w="10224"/>
            <w:shd w:fill="EAF2F8"/>
            <w:tcMar>
              <w:top w:w="95" w:type="dxa"/>
              <w:start w:w="125" w:type="dxa"/>
              <w:bottom w:w="95" w:type="dxa"/>
              <w:end w:w="125" w:type="dxa"/>
            </w:tcMar>
          </w:tcPr>
          <w:p>
            <w:pPr>
              <w:spacing w:after="60"/>
            </w:pPr>
            <w:r>
              <w:rPr>
                <w:rFonts w:ascii="Noto Sans" w:hAnsi="Noto Sans" w:eastAsia="Noto Sans CJK JP"/>
                <w:b/>
                <w:sz w:val="20"/>
              </w:rPr>
              <w:t>Mode libre et maîtrise</w:t>
            </w:r>
          </w:p>
          <w:p>
            <w:pPr>
              <w:spacing w:after="0"/>
            </w:pPr>
            <w:r>
              <w:rPr>
                <w:rFonts w:ascii="Noto Sans" w:hAnsi="Noto Sans" w:eastAsia="Noto Sans CJK JP"/>
                <w:sz w:val="18"/>
              </w:rPr>
              <w:t>Une réussite en Mode libre peut alimenter les dimensions de maîtrise si l’exercice est suffisamment fiable. Elle ne remplace cependant pas automatiquement la mise en situation Can-do d’une mission non terminée.</w:t>
            </w:r>
          </w:p>
        </w:tc>
      </w:tr>
    </w:tbl>
    <w:p>
      <w:pPr>
        <w:spacing w:after="0"/>
      </w:pPr>
    </w:p>
    <w:p>
      <w:pPr>
        <w:pStyle w:val="Heading1"/>
        <w:keepNext/>
      </w:pPr>
      <w:r>
        <w:t>34. Statistiques utiles à l’utilisateur</w:t>
      </w:r>
    </w:p>
    <w:p>
      <w:pPr>
        <w:spacing w:after="100"/>
      </w:pPr>
      <w:r>
        <w:rPr>
          <w:rFonts w:ascii="Noto Sans" w:hAnsi="Noto Sans" w:eastAsia="Noto Sans CJK JP"/>
          <w:sz w:val="19"/>
        </w:rPr>
        <w:t>Les statistiques doivent distinguer progression historique et maîtrise actuelle.</w:t>
      </w:r>
    </w:p>
    <w:p>
      <w:pPr>
        <w:pStyle w:val="ListBullet"/>
        <w:spacing w:after="40"/>
      </w:pPr>
      <w:r>
        <w:rPr>
          <w:rFonts w:ascii="Noto Sans" w:hAnsi="Noto Sans" w:eastAsia="Noto Sans CJK JP"/>
          <w:sz w:val="19"/>
        </w:rPr>
        <w:t>missions / Can-do terminés ;</w:t>
      </w:r>
    </w:p>
    <w:p>
      <w:pPr>
        <w:pStyle w:val="ListBullet"/>
        <w:spacing w:after="40"/>
      </w:pPr>
      <w:r>
        <w:rPr>
          <w:rFonts w:ascii="Noto Sans" w:hAnsi="Noto Sans" w:eastAsia="Noto Sans CJK JP"/>
          <w:sz w:val="19"/>
        </w:rPr>
        <w:t>maîtrise actuelle par branche : lecture, écoute, rappel, production, etc. ;</w:t>
      </w:r>
    </w:p>
    <w:p>
      <w:pPr>
        <w:pStyle w:val="ListBullet"/>
        <w:spacing w:after="40"/>
      </w:pPr>
      <w:r>
        <w:rPr>
          <w:rFonts w:ascii="Noto Sans" w:hAnsi="Noto Sans" w:eastAsia="Noto Sans CJK JP"/>
          <w:sz w:val="19"/>
        </w:rPr>
        <w:t>notions à réviser prochainement ;</w:t>
      </w:r>
    </w:p>
    <w:p>
      <w:pPr>
        <w:pStyle w:val="ListBullet"/>
        <w:spacing w:after="40"/>
      </w:pPr>
      <w:r>
        <w:rPr>
          <w:rFonts w:ascii="Noto Sans" w:hAnsi="Noto Sans" w:eastAsia="Noto Sans CJK JP"/>
          <w:sz w:val="19"/>
        </w:rPr>
        <w:t>erreurs fréquentes et confusions récurrentes ;</w:t>
      </w:r>
    </w:p>
    <w:p>
      <w:pPr>
        <w:pStyle w:val="ListBullet"/>
        <w:spacing w:after="40"/>
      </w:pPr>
      <w:r>
        <w:rPr>
          <w:rFonts w:ascii="Noto Sans" w:hAnsi="Noto Sans" w:eastAsia="Noto Sans CJK JP"/>
          <w:sz w:val="19"/>
        </w:rPr>
        <w:t>vocabulaire actif vs passif ;</w:t>
      </w:r>
    </w:p>
    <w:p>
      <w:pPr>
        <w:pStyle w:val="ListBullet"/>
        <w:spacing w:after="40"/>
      </w:pPr>
      <w:r>
        <w:rPr>
          <w:rFonts w:ascii="Noto Sans" w:hAnsi="Noto Sans" w:eastAsia="Noto Sans CJK JP"/>
          <w:sz w:val="19"/>
        </w:rPr>
        <w:t>kanji reconnus / lus dans les mots connus ;</w:t>
      </w:r>
    </w:p>
    <w:p>
      <w:pPr>
        <w:pStyle w:val="ListBullet"/>
        <w:spacing w:after="40"/>
      </w:pPr>
      <w:r>
        <w:rPr>
          <w:rFonts w:ascii="Noto Sans" w:hAnsi="Noto Sans" w:eastAsia="Noto Sans CJK JP"/>
          <w:sz w:val="19"/>
        </w:rPr>
        <w:t>progression de la prosodie / oral lorsque des données fiables existent ;</w:t>
      </w:r>
    </w:p>
    <w:p>
      <w:pPr>
        <w:pStyle w:val="ListBullet"/>
        <w:spacing w:after="40"/>
      </w:pPr>
      <w:r>
        <w:rPr>
          <w:rFonts w:ascii="Noto Sans" w:hAnsi="Noto Sans" w:eastAsia="Noto Sans CJK JP"/>
          <w:sz w:val="19"/>
        </w:rPr>
        <w:t>temps de pratique et régularité sans transformer le streak en condition de progression ;</w:t>
      </w:r>
    </w:p>
    <w:p>
      <w:pPr>
        <w:pStyle w:val="ListBullet"/>
        <w:spacing w:after="40"/>
      </w:pPr>
      <w:r>
        <w:rPr>
          <w:rFonts w:ascii="Noto Sans" w:hAnsi="Noto Sans" w:eastAsia="Noto Sans CJK JP"/>
          <w:sz w:val="19"/>
        </w:rPr>
        <w:t>domaines forts / faibles dans le Mode autonomie.</w:t>
      </w:r>
    </w:p>
    <w:p>
      <w:pPr>
        <w:pStyle w:val="Heading1"/>
        <w:keepNext/>
      </w:pPr>
      <w:r>
        <w:t>35. Personnalisation et préférences</w:t>
      </w:r>
    </w:p>
    <w:p>
      <w:pPr>
        <w:pStyle w:val="ListBullet"/>
        <w:spacing w:after="40"/>
      </w:pPr>
      <w:r>
        <w:rPr>
          <w:rFonts w:ascii="Noto Sans" w:hAnsi="Noto Sans" w:eastAsia="Noto Sans CJK JP"/>
          <w:sz w:val="19"/>
        </w:rPr>
        <w:t>branche manuscrite activée ou non ;</w:t>
      </w:r>
    </w:p>
    <w:p>
      <w:pPr>
        <w:pStyle w:val="ListBullet"/>
        <w:spacing w:after="40"/>
      </w:pPr>
      <w:r>
        <w:rPr>
          <w:rFonts w:ascii="Noto Sans" w:hAnsi="Noto Sans" w:eastAsia="Noto Sans CJK JP"/>
          <w:sz w:val="19"/>
        </w:rPr>
        <w:t>affichage des furigana : automatique / plus fréquent / minimal ;</w:t>
      </w:r>
    </w:p>
    <w:p>
      <w:pPr>
        <w:pStyle w:val="ListBullet"/>
        <w:spacing w:after="40"/>
      </w:pPr>
      <w:r>
        <w:rPr>
          <w:rFonts w:ascii="Noto Sans" w:hAnsi="Noto Sans" w:eastAsia="Noto Sans CJK JP"/>
          <w:sz w:val="19"/>
        </w:rPr>
        <w:t>romaji uniquement lorsqu’il est encore pédagogiquement autorisé ;</w:t>
      </w:r>
    </w:p>
    <w:p>
      <w:pPr>
        <w:pStyle w:val="ListBullet"/>
        <w:spacing w:after="40"/>
      </w:pPr>
      <w:r>
        <w:rPr>
          <w:rFonts w:ascii="Noto Sans" w:hAnsi="Noto Sans" w:eastAsia="Noto Sans CJK JP"/>
          <w:sz w:val="19"/>
        </w:rPr>
        <w:t>préférence de pratique : plus d’écoute, d’oral, de lecture ou d’écriture, sans supprimer les compétences obligatoires ;</w:t>
      </w:r>
    </w:p>
    <w:p>
      <w:pPr>
        <w:pStyle w:val="ListBullet"/>
        <w:spacing w:after="40"/>
      </w:pPr>
      <w:r>
        <w:rPr>
          <w:rFonts w:ascii="Noto Sans" w:hAnsi="Noto Sans" w:eastAsia="Noto Sans CJK JP"/>
          <w:sz w:val="19"/>
        </w:rPr>
        <w:t>vitesse audio pédagogique et répétition ;</w:t>
      </w:r>
    </w:p>
    <w:p>
      <w:pPr>
        <w:pStyle w:val="ListBullet"/>
        <w:spacing w:after="40"/>
      </w:pPr>
      <w:r>
        <w:rPr>
          <w:rFonts w:ascii="Noto Sans" w:hAnsi="Noto Sans" w:eastAsia="Noto Sans CJK JP"/>
          <w:sz w:val="19"/>
        </w:rPr>
        <w:t>objectif de prononciation / perfectionnement prosodique ;</w:t>
      </w:r>
    </w:p>
    <w:p>
      <w:pPr>
        <w:pStyle w:val="ListBullet"/>
        <w:spacing w:after="40"/>
      </w:pPr>
      <w:r>
        <w:rPr>
          <w:rFonts w:ascii="Noto Sans" w:hAnsi="Noto Sans" w:eastAsia="Noto Sans CJK JP"/>
          <w:sz w:val="19"/>
        </w:rPr>
        <w:t>durée de session souhaitée afin de recommander une mission courte ou une révision ;</w:t>
      </w:r>
    </w:p>
    <w:p>
      <w:pPr>
        <w:pStyle w:val="ListBullet"/>
        <w:spacing w:after="40"/>
      </w:pPr>
      <w:r>
        <w:rPr>
          <w:rFonts w:ascii="Noto Sans" w:hAnsi="Noto Sans" w:eastAsia="Noto Sans CJK JP"/>
          <w:sz w:val="19"/>
        </w:rPr>
        <w:t>spécialisation choisie à haut niveau.</w:t>
      </w:r>
    </w:p>
    <w:p>
      <w:pPr>
        <w:pStyle w:val="Heading1"/>
        <w:keepNext/>
      </w:pPr>
      <w:r>
        <w:t>36. Étape 7 : passage au Mode autonomie et spécialisations</w:t>
      </w:r>
    </w:p>
    <w:p>
      <w:pPr>
        <w:spacing w:after="100"/>
      </w:pPr>
      <w:r>
        <w:rPr>
          <w:rFonts w:ascii="Noto Sans" w:hAnsi="Noto Sans" w:eastAsia="Noto Sans CJK JP"/>
          <w:sz w:val="19"/>
        </w:rPr>
        <w:t>L’étape 7 conserve un tronc commun obligatoire et des branches électives. L’architecture commune doit donc accepter des parcours non linéaires après la fin du tronc commun.</w:t>
      </w:r>
    </w:p>
    <w:p>
      <w:pPr>
        <w:pStyle w:val="ListBullet"/>
        <w:spacing w:after="40"/>
      </w:pPr>
      <w:r>
        <w:rPr>
          <w:rFonts w:ascii="Noto Sans" w:hAnsi="Noto Sans" w:eastAsia="Noto Sans CJK JP"/>
          <w:sz w:val="19"/>
        </w:rPr>
        <w:t>la validation du tronc commun ne nécessite pas toutes les spécialisations ;</w:t>
      </w:r>
    </w:p>
    <w:p>
      <w:pPr>
        <w:pStyle w:val="ListBullet"/>
        <w:spacing w:after="40"/>
      </w:pPr>
      <w:r>
        <w:rPr>
          <w:rFonts w:ascii="Noto Sans" w:hAnsi="Noto Sans" w:eastAsia="Noto Sans CJK JP"/>
          <w:sz w:val="19"/>
        </w:rPr>
        <w:t>l’utilisateur choisit et démarre au moins une première spécialisation selon la règle fixée dans les missions de l’étape 7 ;</w:t>
      </w:r>
    </w:p>
    <w:p>
      <w:pPr>
        <w:pStyle w:val="ListBullet"/>
        <w:spacing w:after="40"/>
      </w:pPr>
      <w:r>
        <w:rPr>
          <w:rFonts w:ascii="Noto Sans" w:hAnsi="Noto Sans" w:eastAsia="Noto Sans CJK JP"/>
          <w:sz w:val="19"/>
        </w:rPr>
        <w:t>les notions apprises dans une spécialisation alimentent le même moteur de maîtrise et de révision ;</w:t>
      </w:r>
    </w:p>
    <w:p>
      <w:pPr>
        <w:pStyle w:val="ListBullet"/>
        <w:spacing w:after="40"/>
      </w:pPr>
      <w:r>
        <w:rPr>
          <w:rFonts w:ascii="Noto Sans" w:hAnsi="Noto Sans" w:eastAsia="Noto Sans CJK JP"/>
          <w:sz w:val="19"/>
        </w:rPr>
        <w:t>la littérature, le classique, un dialecte, le business, l’informatique ou le JLPT peuvent utiliser le même moteur sans appartenir à une ligne obligatoire unique.</w:t>
      </w:r>
    </w:p>
    <w:p>
      <w:pPr>
        <w:pStyle w:val="Heading1"/>
        <w:keepNext/>
      </w:pPr>
      <w:r>
        <w:t>37. Exigences minimales du futur référentiel de contenu</w:t>
      </w:r>
    </w:p>
    <w:p>
      <w:pPr>
        <w:spacing w:after="100"/>
      </w:pPr>
      <w:r>
        <w:rPr>
          <w:rFonts w:ascii="Noto Sans" w:hAnsi="Noto Sans" w:eastAsia="Noto Sans CJK JP"/>
          <w:sz w:val="19"/>
        </w:rPr>
        <w:t>Sans définir encore les tables SQL, le système de contenu doit pouvoir représenter au minimum les objets suivants et leurs relations.</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Objet logique</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Informations nécessaires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Étape / chapitre / mission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ordre, code, statut, Can-do, prérequis, durée cible.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Notion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type, forme, sens / fonction, niveau, registre, statut actif/passif.</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Vocabulaire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graphies, kana, kanji, sens, audio, fréquence / thème, collocations.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Kanji</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caractère, lectures dans les mots, liens avec vocabulaire, composants utiles.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Grammaire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fonction, construction, contraintes, exemples, structures proches.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Exercice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type, consigne, contenu, réponses, variantes, aides, compétences mesurées.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Audio / média</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fichier, locuteur / contexte si utile, vitesse / transcript / droits.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Can-do</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contexte, critères, compétences, erreurs critiques, aides autorisées.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Maîtrise utilisateur</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dimension, niveau actuel, stabilité, historique, prochaine révision.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Tentative</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réponse, aide utilisée, résultat, erreur, durée, source mission / libre / révision.</w:t>
            </w:r>
          </w:p>
        </w:tc>
      </w:tr>
    </w:tbl>
    <w:p>
      <w:pPr>
        <w:pStyle w:val="Heading1"/>
        <w:keepNext/>
      </w:pPr>
      <w:r>
        <w:t>38. Le référentiel doit éviter la duplication</w:t>
      </w:r>
    </w:p>
    <w:p>
      <w:pPr>
        <w:spacing w:after="100"/>
      </w:pPr>
      <w:r>
        <w:rPr>
          <w:rFonts w:ascii="Noto Sans" w:hAnsi="Noto Sans" w:eastAsia="Noto Sans CJK JP"/>
          <w:sz w:val="19"/>
        </w:rPr>
        <w:t>Un mot, un kanji ou une structure grammaticale ne doit pas être recréé dans chaque mission. Les missions pointent vers les mêmes objets du référentiel avec des rôles différents.</w:t>
      </w:r>
    </w:p>
    <w:p>
      <w:pPr>
        <w:pStyle w:val="ListBullet"/>
        <w:spacing w:after="40"/>
      </w:pPr>
      <w:r>
        <w:rPr>
          <w:rFonts w:ascii="Noto Sans" w:hAnsi="Noto Sans" w:eastAsia="Noto Sans CJK JP"/>
          <w:sz w:val="19"/>
        </w:rPr>
        <w:t>un vocabulaire peut apparaître dans dix missions sans dix copies ;</w:t>
      </w:r>
    </w:p>
    <w:p>
      <w:pPr>
        <w:pStyle w:val="ListBullet"/>
        <w:spacing w:after="40"/>
      </w:pPr>
      <w:r>
        <w:rPr>
          <w:rFonts w:ascii="Noto Sans" w:hAnsi="Noto Sans" w:eastAsia="Noto Sans CJK JP"/>
          <w:sz w:val="19"/>
        </w:rPr>
        <w:t>une même structure peut être introduite, consolidée puis comparée à d’autres formes ;</w:t>
      </w:r>
    </w:p>
    <w:p>
      <w:pPr>
        <w:pStyle w:val="ListBullet"/>
        <w:spacing w:after="40"/>
      </w:pPr>
      <w:r>
        <w:rPr>
          <w:rFonts w:ascii="Noto Sans" w:hAnsi="Noto Sans" w:eastAsia="Noto Sans CJK JP"/>
          <w:sz w:val="19"/>
        </w:rPr>
        <w:t>les audios / exemples peuvent être liés à plusieurs compétences ;</w:t>
      </w:r>
    </w:p>
    <w:p>
      <w:pPr>
        <w:pStyle w:val="ListBullet"/>
        <w:spacing w:after="40"/>
      </w:pPr>
      <w:r>
        <w:rPr>
          <w:rFonts w:ascii="Noto Sans" w:hAnsi="Noto Sans" w:eastAsia="Noto Sans CJK JP"/>
          <w:sz w:val="19"/>
        </w:rPr>
        <w:t>les statistiques utilisateur restent attachées à la notion elle-même et à ses dimensions, pas à une copie par mission.</w:t>
      </w:r>
    </w:p>
    <w:p>
      <w:pPr>
        <w:pStyle w:val="Heading1"/>
        <w:keepNext/>
      </w:pPr>
      <w:r>
        <w:t>39. Gabarit obligatoire d’une future fiche de mission</w:t>
      </w:r>
    </w:p>
    <w:p>
      <w:pPr>
        <w:spacing w:after="100"/>
      </w:pPr>
      <w:r>
        <w:rPr>
          <w:rFonts w:ascii="Noto Sans" w:hAnsi="Noto Sans" w:eastAsia="Noto Sans CJK JP"/>
          <w:sz w:val="19"/>
        </w:rPr>
        <w:t>Chaque mission détaillée devra au minimum renseigner les champs suivants. Ce gabarit servira aux documents « Missions étape 0 », « Missions étape 1 », etc.</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Champ</w:t>
            </w:r>
          </w:p>
        </w:tc>
        <w:tc>
          <w:tcPr>
            <w:tcW w:type="dxa" w:w="5112"/>
            <w:shd w:fill="DCEAF0"/>
            <w:tcMar>
              <w:top w:w="65" w:type="dxa"/>
              <w:start w:w="80" w:type="dxa"/>
              <w:bottom w:w="65" w:type="dxa"/>
              <w:end w:w="80" w:type="dxa"/>
            </w:tcMar>
            <w:vAlign w:val="center"/>
          </w:tcPr>
          <w:p>
            <w:pPr>
              <w:spacing w:after="0"/>
            </w:pPr>
            <w:r>
              <w:rPr>
                <w:rFonts w:ascii="Noto Sans" w:hAnsi="Noto Sans" w:eastAsia="Noto Sans CJK JP"/>
                <w:b/>
                <w:sz w:val="16"/>
              </w:rPr>
              <w:t>Contenu</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Identité</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code, titre utilisateur, étape, chapitre, durée cible.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Can-do principal</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capacité concrète et contexte.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Pré requis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missions / notions historiquement nécessaires.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Nouvelles notions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vocabulaire, kanji, grammaire, expressions, prosodie.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Notions révisées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anciennes notions volontairement réinjectées.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Statut des notions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active / passive / reconnaissance / activation.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Compétences visées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lecture, écoute, rappel, production, interaction, saisie, registre…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Scénario</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situation qui donne du sens à la mission.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Séquence d’activités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ordre découverte → compréhension → pratique → Can-do.</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Aides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romaji, furigana, traduction, indices, audio, dictionnaire.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Exercices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types et volumes indicatifs.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Correction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réponses fermées, variantes structurées, IA éventuelle.</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Can-do final</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format, critères, erreurs critiques, variantes acceptées.</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Validation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règle de réussite et comportement après échec.</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Révision</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notions / dimensions à programmer après la mission.</w:t>
            </w:r>
          </w:p>
        </w:tc>
      </w:tr>
      <w:tr>
        <w:trPr>
          <w:cantSplit w:val="1"/>
        </w:trPr>
        <w:tc>
          <w:tcPr>
            <w:tcW w:type="dxa" w:w="5112"/>
            <w:tcMar>
              <w:top w:w="55" w:type="dxa"/>
              <w:start w:w="75" w:type="dxa"/>
              <w:bottom w:w="55" w:type="dxa"/>
              <w:end w:w="75" w:type="dxa"/>
            </w:tcMar>
            <w:vAlign w:val="top"/>
          </w:tcPr>
          <w:p>
            <w:pPr>
              <w:spacing w:after="0"/>
            </w:pPr>
            <w:r>
              <w:rPr>
                <w:rFonts w:ascii="Noto Sans" w:hAnsi="Noto Sans" w:eastAsia="Noto Sans CJK JP"/>
                <w:sz w:val="14"/>
              </w:rPr>
              <w:t>Assets</w:t>
            </w:r>
          </w:p>
        </w:tc>
        <w:tc>
          <w:tcPr>
            <w:tcW w:type="dxa" w:w="5112"/>
            <w:tcMar>
              <w:top w:w="55" w:type="dxa"/>
              <w:start w:w="75" w:type="dxa"/>
              <w:bottom w:w="55" w:type="dxa"/>
              <w:end w:w="75" w:type="dxa"/>
            </w:tcMar>
            <w:vAlign w:val="top"/>
          </w:tcPr>
          <w:p>
            <w:pPr>
              <w:spacing w:after="0"/>
            </w:pPr>
            <w:r>
              <w:rPr>
                <w:rFonts w:ascii="Noto Sans" w:hAnsi="Noto Sans" w:eastAsia="Noto Sans CJK JP"/>
                <w:sz w:val="14"/>
              </w:rPr>
              <w:t>audio, images, textes, droits / sources.</w:t>
            </w:r>
          </w:p>
        </w:tc>
      </w:tr>
    </w:tbl>
    <w:p>
      <w:pPr>
        <w:pStyle w:val="Heading1"/>
        <w:keepNext/>
      </w:pPr>
      <w:r>
        <w:t>40. Règles de conception des exemples et dialogues</w:t>
      </w:r>
    </w:p>
    <w:p>
      <w:pPr>
        <w:pStyle w:val="ListBullet"/>
        <w:spacing w:after="40"/>
      </w:pPr>
      <w:r>
        <w:rPr>
          <w:rFonts w:ascii="Noto Sans" w:hAnsi="Noto Sans" w:eastAsia="Noto Sans CJK JP"/>
          <w:sz w:val="19"/>
        </w:rPr>
        <w:t>réutiliser au maximum le vocabulaire déjà connu lorsque la cible est grammaticale ;</w:t>
      </w:r>
    </w:p>
    <w:p>
      <w:pPr>
        <w:pStyle w:val="ListBullet"/>
        <w:spacing w:after="40"/>
      </w:pPr>
      <w:r>
        <w:rPr>
          <w:rFonts w:ascii="Noto Sans" w:hAnsi="Noto Sans" w:eastAsia="Noto Sans CJK JP"/>
          <w:sz w:val="19"/>
        </w:rPr>
        <w:t>ne pas écrire des dialogues artificiels uniquement pour caser une structure ;</w:t>
      </w:r>
    </w:p>
    <w:p>
      <w:pPr>
        <w:pStyle w:val="ListBullet"/>
        <w:spacing w:after="40"/>
      </w:pPr>
      <w:r>
        <w:rPr>
          <w:rFonts w:ascii="Noto Sans" w:hAnsi="Noto Sans" w:eastAsia="Noto Sans CJK JP"/>
          <w:sz w:val="19"/>
        </w:rPr>
        <w:t>préciser relation, contexte et registre lorsque cela influence le japonais naturel ;</w:t>
      </w:r>
    </w:p>
    <w:p>
      <w:pPr>
        <w:pStyle w:val="ListBullet"/>
        <w:spacing w:after="40"/>
      </w:pPr>
      <w:r>
        <w:rPr>
          <w:rFonts w:ascii="Noto Sans" w:hAnsi="Noto Sans" w:eastAsia="Noto Sans CJK JP"/>
          <w:sz w:val="19"/>
        </w:rPr>
        <w:t>les distracteurs d’un QCM doivent représenter de vraies confusions pédagogiques, pas des réponses absurdes ;</w:t>
      </w:r>
    </w:p>
    <w:p>
      <w:pPr>
        <w:pStyle w:val="ListBullet"/>
        <w:spacing w:after="40"/>
      </w:pPr>
      <w:r>
        <w:rPr>
          <w:rFonts w:ascii="Noto Sans" w:hAnsi="Noto Sans" w:eastAsia="Noto Sans CJK JP"/>
          <w:sz w:val="19"/>
        </w:rPr>
        <w:t>une phrase modèle n’est pas nécessairement l’unique réponse correcte ;</w:t>
      </w:r>
    </w:p>
    <w:p>
      <w:pPr>
        <w:pStyle w:val="ListBullet"/>
        <w:spacing w:after="40"/>
      </w:pPr>
      <w:r>
        <w:rPr>
          <w:rFonts w:ascii="Noto Sans" w:hAnsi="Noto Sans" w:eastAsia="Noto Sans CJK JP"/>
          <w:sz w:val="19"/>
        </w:rPr>
        <w:t>les niveaux avancés doivent utiliser progressivement des contenus authentiques ou semi-authentiques avec droits adaptés.</w:t>
      </w:r>
    </w:p>
    <w:p>
      <w:pPr>
        <w:pStyle w:val="Heading1"/>
        <w:keepNext/>
      </w:pPr>
      <w:r>
        <w:t>41. Versionnement pédagogique et mises à jour futures</w:t>
      </w:r>
    </w:p>
    <w:p>
      <w:pPr>
        <w:spacing w:after="100"/>
      </w:pPr>
      <w:r>
        <w:rPr>
          <w:rFonts w:ascii="Noto Sans" w:hAnsi="Noto Sans" w:eastAsia="Noto Sans CJK JP"/>
          <w:sz w:val="19"/>
        </w:rPr>
        <w:t>Le contenu de l’application évoluera. Une correction pédagogique future ne doit pas casser l’historique d’un utilisateur.</w:t>
      </w:r>
    </w:p>
    <w:p>
      <w:pPr>
        <w:pStyle w:val="ListBullet"/>
        <w:spacing w:after="40"/>
      </w:pPr>
      <w:r>
        <w:rPr>
          <w:rFonts w:ascii="Noto Sans" w:hAnsi="Noto Sans" w:eastAsia="Noto Sans CJK JP"/>
          <w:sz w:val="19"/>
        </w:rPr>
        <w:t>chaque mission et notion doit pouvoir être versionnée ;</w:t>
      </w:r>
    </w:p>
    <w:p>
      <w:pPr>
        <w:pStyle w:val="ListBullet"/>
        <w:spacing w:after="40"/>
      </w:pPr>
      <w:r>
        <w:rPr>
          <w:rFonts w:ascii="Noto Sans" w:hAnsi="Noto Sans" w:eastAsia="Noto Sans CJK JP"/>
          <w:sz w:val="19"/>
        </w:rPr>
        <w:t>une modification mineure ne retire jamais une validation historique ;</w:t>
      </w:r>
    </w:p>
    <w:p>
      <w:pPr>
        <w:pStyle w:val="ListBullet"/>
        <w:spacing w:after="40"/>
      </w:pPr>
      <w:r>
        <w:rPr>
          <w:rFonts w:ascii="Noto Sans" w:hAnsi="Noto Sans" w:eastAsia="Noto Sans CJK JP"/>
          <w:sz w:val="19"/>
        </w:rPr>
        <w:t>si une nouvelle notion devient importante dans une ancienne zone, elle peut apparaître comme mission complémentaire ou révision recommandée ;</w:t>
      </w:r>
    </w:p>
    <w:p>
      <w:pPr>
        <w:pStyle w:val="ListBullet"/>
        <w:spacing w:after="40"/>
      </w:pPr>
      <w:r>
        <w:rPr>
          <w:rFonts w:ascii="Noto Sans" w:hAnsi="Noto Sans" w:eastAsia="Noto Sans CJK JP"/>
          <w:sz w:val="19"/>
        </w:rPr>
        <w:t>un changement majeur de Can-do peut créer une nouvelle version de mission plutôt que réinitialiser tous les utilisateurs ;</w:t>
      </w:r>
    </w:p>
    <w:p>
      <w:pPr>
        <w:pStyle w:val="ListBullet"/>
        <w:spacing w:after="40"/>
      </w:pPr>
      <w:r>
        <w:rPr>
          <w:rFonts w:ascii="Noto Sans" w:hAnsi="Noto Sans" w:eastAsia="Noto Sans CJK JP"/>
          <w:sz w:val="19"/>
        </w:rPr>
        <w:t>les données de maîtrise peuvent être recalculées ou migrées sans supprimer les tentatives historiques.</w:t>
      </w:r>
    </w:p>
    <w:p>
      <w:pPr>
        <w:pStyle w:val="Heading1"/>
        <w:keepNext/>
      </w:pPr>
      <w:r>
        <w:t>42. Ce que ce document ne fixe volontairement pas encore</w:t>
      </w:r>
    </w:p>
    <w:p>
      <w:pPr>
        <w:pStyle w:val="ListBullet"/>
        <w:spacing w:after="40"/>
      </w:pPr>
      <w:r>
        <w:rPr>
          <w:rFonts w:ascii="Noto Sans" w:hAnsi="Noto Sans" w:eastAsia="Noto Sans CJK JP"/>
          <w:sz w:val="19"/>
        </w:rPr>
        <w:t>le nombre exact de missions par étape ;</w:t>
      </w:r>
    </w:p>
    <w:p>
      <w:pPr>
        <w:pStyle w:val="ListBullet"/>
        <w:spacing w:after="40"/>
      </w:pPr>
      <w:r>
        <w:rPr>
          <w:rFonts w:ascii="Noto Sans" w:hAnsi="Noto Sans" w:eastAsia="Noto Sans CJK JP"/>
          <w:sz w:val="19"/>
        </w:rPr>
        <w:t>les listes définitives de vocabulaire, verbes, kanji ou structures par mission ;</w:t>
      </w:r>
    </w:p>
    <w:p>
      <w:pPr>
        <w:pStyle w:val="ListBullet"/>
        <w:spacing w:after="40"/>
      </w:pPr>
      <w:r>
        <w:rPr>
          <w:rFonts w:ascii="Noto Sans" w:hAnsi="Noto Sans" w:eastAsia="Noto Sans CJK JP"/>
          <w:sz w:val="19"/>
        </w:rPr>
        <w:t>les valeurs numériques exactes des seuils après l’étape 0 ;</w:t>
      </w:r>
    </w:p>
    <w:p>
      <w:pPr>
        <w:pStyle w:val="ListBullet"/>
        <w:spacing w:after="40"/>
      </w:pPr>
      <w:r>
        <w:rPr>
          <w:rFonts w:ascii="Noto Sans" w:hAnsi="Noto Sans" w:eastAsia="Noto Sans CJK JP"/>
          <w:sz w:val="19"/>
        </w:rPr>
        <w:t>la formule mathématique finale du SRS ;</w:t>
      </w:r>
    </w:p>
    <w:p>
      <w:pPr>
        <w:pStyle w:val="ListBullet"/>
        <w:spacing w:after="40"/>
      </w:pPr>
      <w:r>
        <w:rPr>
          <w:rFonts w:ascii="Noto Sans" w:hAnsi="Noto Sans" w:eastAsia="Noto Sans CJK JP"/>
          <w:sz w:val="19"/>
        </w:rPr>
        <w:t>le nombre précis d’items par exercice ;</w:t>
      </w:r>
    </w:p>
    <w:p>
      <w:pPr>
        <w:pStyle w:val="ListBullet"/>
        <w:spacing w:after="40"/>
      </w:pPr>
      <w:r>
        <w:rPr>
          <w:rFonts w:ascii="Noto Sans" w:hAnsi="Noto Sans" w:eastAsia="Noto Sans CJK JP"/>
          <w:sz w:val="19"/>
        </w:rPr>
        <w:t>les durées audio exactes par niveau ;</w:t>
      </w:r>
    </w:p>
    <w:p>
      <w:pPr>
        <w:pStyle w:val="ListBullet"/>
        <w:spacing w:after="40"/>
      </w:pPr>
      <w:r>
        <w:rPr>
          <w:rFonts w:ascii="Noto Sans" w:hAnsi="Noto Sans" w:eastAsia="Noto Sans CJK JP"/>
          <w:sz w:val="19"/>
        </w:rPr>
        <w:t>le schéma SQL et les noms définitifs des tables ;</w:t>
      </w:r>
    </w:p>
    <w:p>
      <w:pPr>
        <w:pStyle w:val="ListBullet"/>
        <w:spacing w:after="40"/>
      </w:pPr>
      <w:r>
        <w:rPr>
          <w:rFonts w:ascii="Noto Sans" w:hAnsi="Noto Sans" w:eastAsia="Noto Sans CJK JP"/>
          <w:sz w:val="19"/>
        </w:rPr>
        <w:t>l’interface graphique finale ;</w:t>
      </w:r>
    </w:p>
    <w:p>
      <w:pPr>
        <w:pStyle w:val="ListBullet"/>
        <w:spacing w:after="40"/>
      </w:pPr>
      <w:r>
        <w:rPr>
          <w:rFonts w:ascii="Noto Sans" w:hAnsi="Noto Sans" w:eastAsia="Noto Sans CJK JP"/>
          <w:sz w:val="19"/>
        </w:rPr>
        <w:t>la frontière commerciale gratuit / premium ;</w:t>
      </w:r>
    </w:p>
    <w:p>
      <w:pPr>
        <w:pStyle w:val="ListBullet"/>
        <w:spacing w:after="40"/>
      </w:pPr>
      <w:r>
        <w:rPr>
          <w:rFonts w:ascii="Noto Sans" w:hAnsi="Noto Sans" w:eastAsia="Noto Sans CJK JP"/>
          <w:sz w:val="19"/>
        </w:rPr>
        <w:t>le fournisseur technique d’IA, de reconnaissance vocale ou de synthèse / stockage audio.</w:t>
      </w:r>
    </w:p>
    <w:tbl>
      <w:tblPr>
        <w:tblW w:type="auto" w:w="0"/>
        <w:jc w:val="center"/>
        <w:tblLook w:firstColumn="1" w:firstRow="1" w:lastColumn="0" w:lastRow="0" w:noHBand="0" w:noVBand="1" w:val="04A0"/>
      </w:tblPr>
      <w:tblGrid>
        <w:gridCol w:w="10224"/>
      </w:tblGrid>
      <w:tr>
        <w:trPr>
          <w:cantSplit w:val="1"/>
        </w:trPr>
        <w:tc>
          <w:tcPr>
            <w:tcW w:type="dxa" w:w="10224"/>
            <w:shd w:fill="FFF4DE"/>
            <w:tcMar>
              <w:top w:w="95" w:type="dxa"/>
              <w:start w:w="125" w:type="dxa"/>
              <w:bottom w:w="95" w:type="dxa"/>
              <w:end w:w="125" w:type="dxa"/>
            </w:tcMar>
          </w:tcPr>
          <w:p>
            <w:pPr>
              <w:spacing w:after="60"/>
            </w:pPr>
            <w:r>
              <w:rPr>
                <w:rFonts w:ascii="Noto Sans" w:hAnsi="Noto Sans" w:eastAsia="Noto Sans CJK JP"/>
                <w:b/>
                <w:sz w:val="20"/>
              </w:rPr>
              <w:t>Pourquoi ne pas les figer ici ?</w:t>
            </w:r>
          </w:p>
          <w:p>
            <w:pPr>
              <w:spacing w:after="0"/>
            </w:pPr>
            <w:r>
              <w:rPr>
                <w:rFonts w:ascii="Noto Sans" w:hAnsi="Noto Sans" w:eastAsia="Noto Sans CJK JP"/>
                <w:sz w:val="18"/>
              </w:rPr>
              <w:t>Ces points dépendent soit des spécifications détaillées des missions, soit de l’architecture fonctionnelle et technique. Les décider trop tôt forcerait le contenu pédagogique à entrer dans des choix techniques encore non testés.</w:t>
            </w:r>
          </w:p>
        </w:tc>
      </w:tr>
    </w:tbl>
    <w:p>
      <w:pPr>
        <w:spacing w:after="0"/>
      </w:pPr>
    </w:p>
    <w:p>
      <w:pPr>
        <w:pStyle w:val="Heading1"/>
        <w:keepNext/>
      </w:pPr>
      <w:r>
        <w:t>43. Documents à produire après cette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Ordre recommandé</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Document / travail</w:t>
            </w:r>
          </w:p>
        </w:tc>
        <w:tc>
          <w:tcPr>
            <w:tcW w:type="dxa" w:w="3408"/>
            <w:shd w:fill="DCEAF0"/>
            <w:tcMar>
              <w:top w:w="65" w:type="dxa"/>
              <w:start w:w="80" w:type="dxa"/>
              <w:bottom w:w="65" w:type="dxa"/>
              <w:end w:w="80" w:type="dxa"/>
            </w:tcMar>
            <w:vAlign w:val="center"/>
          </w:tcPr>
          <w:p>
            <w:pPr>
              <w:spacing w:after="0"/>
            </w:pPr>
            <w:r>
              <w:rPr>
                <w:rFonts w:ascii="Noto Sans" w:hAnsi="Noto Sans" w:eastAsia="Noto Sans CJK JP"/>
                <w:b/>
                <w:sz w:val="16"/>
              </w:rPr>
              <w:t>But</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1</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Spécification détaillée des missions — étape 0</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Transformer les blocs kana en missions concrètes, quiz et Can-do.</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2</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Spécification détaillée des missions — étape 1</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Définir le premier vrai parcours vocabulaire / phrases / kanji.</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3</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Catalogue du moteur d’exercices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Définir précisément les formats, données d’entrée, correction et feedback.</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4</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Spécification fonctionnelle de l’application</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Écrans, parcours, révision, Mode libre, statistiques, profil, aides.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5</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Modèle de données conceptuel</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Transformer les objets logiques de ce document en entités / relations.</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6</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Architecture technique et migrations</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Schéma SQL, services PHP, API internes, stockage médias, etc.</w:t>
            </w:r>
          </w:p>
        </w:tc>
      </w:tr>
      <w:tr>
        <w:trPr>
          <w:cantSplit w:val="1"/>
        </w:trPr>
        <w:tc>
          <w:tcPr>
            <w:tcW w:type="dxa" w:w="3408"/>
            <w:tcMar>
              <w:top w:w="55" w:type="dxa"/>
              <w:start w:w="75" w:type="dxa"/>
              <w:bottom w:w="55" w:type="dxa"/>
              <w:end w:w="75" w:type="dxa"/>
            </w:tcMar>
            <w:vAlign w:val="top"/>
          </w:tcPr>
          <w:p>
            <w:pPr>
              <w:spacing w:after="0"/>
            </w:pPr>
            <w:r>
              <w:rPr>
                <w:rFonts w:ascii="Noto Sans" w:hAnsi="Noto Sans" w:eastAsia="Noto Sans CJK JP"/>
                <w:sz w:val="14"/>
              </w:rPr>
              <w:t>7</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Développement du moteur + contenu étapes 0 et 1</w:t>
            </w:r>
          </w:p>
        </w:tc>
        <w:tc>
          <w:tcPr>
            <w:tcW w:type="dxa" w:w="3408"/>
            <w:tcMar>
              <w:top w:w="55" w:type="dxa"/>
              <w:start w:w="75" w:type="dxa"/>
              <w:bottom w:w="55" w:type="dxa"/>
              <w:end w:w="75" w:type="dxa"/>
            </w:tcMar>
            <w:vAlign w:val="top"/>
          </w:tcPr>
          <w:p>
            <w:pPr>
              <w:spacing w:after="0"/>
            </w:pPr>
            <w:r>
              <w:rPr>
                <w:rFonts w:ascii="Noto Sans" w:hAnsi="Noto Sans" w:eastAsia="Noto Sans CJK JP"/>
                <w:sz w:val="14"/>
              </w:rPr>
              <w:t>Construire un MVP complet puis le tester avant d’industrialiser les étapes suivantes.</w:t>
            </w:r>
          </w:p>
        </w:tc>
      </w:tr>
    </w:tbl>
    <w:p>
      <w:pPr>
        <w:pStyle w:val="Heading1"/>
        <w:keepNext/>
      </w:pPr>
      <w:r>
        <w:t>44. Critères permettant de commencer le développement du moteur</w:t>
      </w:r>
    </w:p>
    <w:p>
      <w:pPr>
        <w:spacing w:after="100"/>
      </w:pPr>
      <w:r>
        <w:rPr>
          <w:rFonts w:ascii="Noto Sans" w:hAnsi="Noto Sans" w:eastAsia="Noto Sans CJK JP"/>
          <w:sz w:val="19"/>
        </w:rPr>
        <w:t>Le développement du nouveau moteur pédagogique peut commencer lorsque les éléments suivants sont suffisamment figés :</w:t>
      </w:r>
    </w:p>
    <w:p>
      <w:pPr>
        <w:pStyle w:val="ListBullet"/>
        <w:spacing w:after="40"/>
      </w:pPr>
      <w:r>
        <w:rPr>
          <w:rFonts w:ascii="Noto Sans" w:hAnsi="Noto Sans" w:eastAsia="Noto Sans CJK JP"/>
          <w:sz w:val="19"/>
        </w:rPr>
        <w:t>architecture commune des missions validée ;</w:t>
      </w:r>
    </w:p>
    <w:p>
      <w:pPr>
        <w:pStyle w:val="ListBullet"/>
        <w:spacing w:after="40"/>
      </w:pPr>
      <w:r>
        <w:rPr>
          <w:rFonts w:ascii="Noto Sans" w:hAnsi="Noto Sans" w:eastAsia="Noto Sans CJK JP"/>
          <w:sz w:val="19"/>
        </w:rPr>
        <w:t>missions détaillées de l’étape 0 ;</w:t>
      </w:r>
    </w:p>
    <w:p>
      <w:pPr>
        <w:pStyle w:val="ListBullet"/>
        <w:spacing w:after="40"/>
      </w:pPr>
      <w:r>
        <w:rPr>
          <w:rFonts w:ascii="Noto Sans" w:hAnsi="Noto Sans" w:eastAsia="Noto Sans CJK JP"/>
          <w:sz w:val="19"/>
        </w:rPr>
        <w:t>missions détaillées d’une partie représentative de l’étape 1, idéalement l’étape 1 complète avant production ;</w:t>
      </w:r>
    </w:p>
    <w:p>
      <w:pPr>
        <w:pStyle w:val="ListBullet"/>
        <w:spacing w:after="40"/>
      </w:pPr>
      <w:r>
        <w:rPr>
          <w:rFonts w:ascii="Noto Sans" w:hAnsi="Noto Sans" w:eastAsia="Noto Sans CJK JP"/>
          <w:sz w:val="19"/>
        </w:rPr>
        <w:t>catalogue minimal des types d’exercices du MVP ;</w:t>
      </w:r>
    </w:p>
    <w:p>
      <w:pPr>
        <w:pStyle w:val="ListBullet"/>
        <w:spacing w:after="40"/>
      </w:pPr>
      <w:r>
        <w:rPr>
          <w:rFonts w:ascii="Noto Sans" w:hAnsi="Noto Sans" w:eastAsia="Noto Sans CJK JP"/>
          <w:sz w:val="19"/>
        </w:rPr>
        <w:t>règles de maîtrise et révision représentables dans le modèle de données ;</w:t>
      </w:r>
    </w:p>
    <w:p>
      <w:pPr>
        <w:pStyle w:val="ListBullet"/>
        <w:spacing w:after="40"/>
      </w:pPr>
      <w:r>
        <w:rPr>
          <w:rFonts w:ascii="Noto Sans" w:hAnsi="Noto Sans" w:eastAsia="Noto Sans CJK JP"/>
          <w:sz w:val="19"/>
        </w:rPr>
        <w:t>règles de progression / prérequis / Can-do représentables ;</w:t>
      </w:r>
    </w:p>
    <w:p>
      <w:pPr>
        <w:pStyle w:val="ListBullet"/>
        <w:spacing w:after="40"/>
      </w:pPr>
      <w:r>
        <w:rPr>
          <w:rFonts w:ascii="Noto Sans" w:hAnsi="Noto Sans" w:eastAsia="Noto Sans CJK JP"/>
          <w:sz w:val="19"/>
        </w:rPr>
        <w:t>stratégie de stockage du contenu et des médias ;</w:t>
      </w:r>
    </w:p>
    <w:p>
      <w:pPr>
        <w:pStyle w:val="ListBullet"/>
        <w:spacing w:after="40"/>
      </w:pPr>
      <w:r>
        <w:rPr>
          <w:rFonts w:ascii="Noto Sans" w:hAnsi="Noto Sans" w:eastAsia="Noto Sans CJK JP"/>
          <w:sz w:val="19"/>
        </w:rPr>
        <w:t>spécification fonctionnelle minimale des écrans du parcours, de la mission et de la révision.</w:t>
      </w:r>
    </w:p>
    <w:p>
      <w:pPr>
        <w:pStyle w:val="Heading1"/>
        <w:keepNext/>
      </w:pPr>
      <w:r>
        <w:t>45. Checklist de contrôle d’une mission avant publication</w:t>
      </w:r>
    </w:p>
    <w:p>
      <w:pPr>
        <w:pStyle w:val="ListBullet"/>
        <w:spacing w:after="40"/>
      </w:pPr>
      <w:r>
        <w:rPr>
          <w:rFonts w:ascii="Noto Sans" w:hAnsi="Noto Sans" w:eastAsia="Noto Sans CJK JP"/>
          <w:sz w:val="19"/>
        </w:rPr>
        <w:t>Le Can-do est concret et observable.</w:t>
      </w:r>
    </w:p>
    <w:p>
      <w:pPr>
        <w:pStyle w:val="ListBullet"/>
        <w:spacing w:after="40"/>
      </w:pPr>
      <w:r>
        <w:rPr>
          <w:rFonts w:ascii="Noto Sans" w:hAnsi="Noto Sans" w:eastAsia="Noto Sans CJK JP"/>
          <w:sz w:val="19"/>
        </w:rPr>
        <w:t>La mission n’introduit pas trop de nouveautés concurrentes.</w:t>
      </w:r>
    </w:p>
    <w:p>
      <w:pPr>
        <w:pStyle w:val="ListBullet"/>
        <w:spacing w:after="40"/>
      </w:pPr>
      <w:r>
        <w:rPr>
          <w:rFonts w:ascii="Noto Sans" w:hAnsi="Noto Sans" w:eastAsia="Noto Sans CJK JP"/>
          <w:sz w:val="19"/>
        </w:rPr>
        <w:t>Les prérequis sont réels et pas artificiels.</w:t>
      </w:r>
    </w:p>
    <w:p>
      <w:pPr>
        <w:pStyle w:val="ListBullet"/>
        <w:spacing w:after="40"/>
      </w:pPr>
      <w:r>
        <w:rPr>
          <w:rFonts w:ascii="Noto Sans" w:hAnsi="Noto Sans" w:eastAsia="Noto Sans CJK JP"/>
          <w:sz w:val="19"/>
        </w:rPr>
        <w:t>Les notions anciennes nécessaires sont réactivées.</w:t>
      </w:r>
    </w:p>
    <w:p>
      <w:pPr>
        <w:pStyle w:val="ListBullet"/>
        <w:spacing w:after="40"/>
      </w:pPr>
      <w:r>
        <w:rPr>
          <w:rFonts w:ascii="Noto Sans" w:hAnsi="Noto Sans" w:eastAsia="Noto Sans CJK JP"/>
          <w:sz w:val="19"/>
        </w:rPr>
        <w:t>Le vocabulaire sert la situation et sera réutilisable.</w:t>
      </w:r>
    </w:p>
    <w:p>
      <w:pPr>
        <w:pStyle w:val="ListBullet"/>
        <w:spacing w:after="40"/>
      </w:pPr>
      <w:r>
        <w:rPr>
          <w:rFonts w:ascii="Noto Sans" w:hAnsi="Noto Sans" w:eastAsia="Noto Sans CJK JP"/>
          <w:sz w:val="19"/>
        </w:rPr>
        <w:t>Les aides sont adaptées au niveau et peuvent diminuer.</w:t>
      </w:r>
    </w:p>
    <w:p>
      <w:pPr>
        <w:pStyle w:val="ListBullet"/>
        <w:spacing w:after="40"/>
      </w:pPr>
      <w:r>
        <w:rPr>
          <w:rFonts w:ascii="Noto Sans" w:hAnsi="Noto Sans" w:eastAsia="Noto Sans CJK JP"/>
          <w:sz w:val="19"/>
        </w:rPr>
        <w:t>L’écoute / oral / prosodie sont présents quand la capacité est orale.</w:t>
      </w:r>
    </w:p>
    <w:p>
      <w:pPr>
        <w:pStyle w:val="ListBullet"/>
        <w:spacing w:after="40"/>
      </w:pPr>
      <w:r>
        <w:rPr>
          <w:rFonts w:ascii="Noto Sans" w:hAnsi="Noto Sans" w:eastAsia="Noto Sans CJK JP"/>
          <w:sz w:val="19"/>
        </w:rPr>
        <w:t>La production écrite / saisie est présente quand la capacité l’exige.</w:t>
      </w:r>
    </w:p>
    <w:p>
      <w:pPr>
        <w:pStyle w:val="ListBullet"/>
        <w:spacing w:after="40"/>
      </w:pPr>
      <w:r>
        <w:rPr>
          <w:rFonts w:ascii="Noto Sans" w:hAnsi="Noto Sans" w:eastAsia="Noto Sans CJK JP"/>
          <w:sz w:val="19"/>
        </w:rPr>
        <w:t>Les variantes japonaises valides sont prévues.</w:t>
      </w:r>
    </w:p>
    <w:p>
      <w:pPr>
        <w:pStyle w:val="ListBullet"/>
        <w:spacing w:after="40"/>
      </w:pPr>
      <w:r>
        <w:rPr>
          <w:rFonts w:ascii="Noto Sans" w:hAnsi="Noto Sans" w:eastAsia="Noto Sans CJK JP"/>
          <w:sz w:val="19"/>
        </w:rPr>
        <w:t>Les erreurs importantes ont un feedback utile.</w:t>
      </w:r>
    </w:p>
    <w:p>
      <w:pPr>
        <w:pStyle w:val="ListBullet"/>
        <w:spacing w:after="40"/>
      </w:pPr>
      <w:r>
        <w:rPr>
          <w:rFonts w:ascii="Noto Sans" w:hAnsi="Noto Sans" w:eastAsia="Noto Sans CJK JP"/>
          <w:sz w:val="19"/>
        </w:rPr>
        <w:t>Le Can-do peut être retenté sans refaire toute la mission.</w:t>
      </w:r>
    </w:p>
    <w:p>
      <w:pPr>
        <w:pStyle w:val="ListBullet"/>
        <w:spacing w:after="40"/>
      </w:pPr>
      <w:r>
        <w:rPr>
          <w:rFonts w:ascii="Noto Sans" w:hAnsi="Noto Sans" w:eastAsia="Noto Sans CJK JP"/>
          <w:sz w:val="19"/>
        </w:rPr>
        <w:t>La mission peut être interrompue et reprise.</w:t>
      </w:r>
    </w:p>
    <w:p>
      <w:pPr>
        <w:pStyle w:val="ListBullet"/>
        <w:spacing w:after="40"/>
      </w:pPr>
      <w:r>
        <w:rPr>
          <w:rFonts w:ascii="Noto Sans" w:hAnsi="Noto Sans" w:eastAsia="Noto Sans CJK JP"/>
          <w:sz w:val="19"/>
        </w:rPr>
        <w:t>Les réussites mettent à jour les bonnes dimensions de maîtrise.</w:t>
      </w:r>
    </w:p>
    <w:p>
      <w:pPr>
        <w:pStyle w:val="ListBullet"/>
        <w:spacing w:after="40"/>
      </w:pPr>
      <w:r>
        <w:rPr>
          <w:rFonts w:ascii="Noto Sans" w:hAnsi="Noto Sans" w:eastAsia="Noto Sans CJK JP"/>
          <w:sz w:val="19"/>
        </w:rPr>
        <w:t>Les erreurs alimentent une révision ciblée.</w:t>
      </w:r>
    </w:p>
    <w:p>
      <w:pPr>
        <w:pStyle w:val="ListBullet"/>
        <w:spacing w:after="40"/>
      </w:pPr>
      <w:r>
        <w:rPr>
          <w:rFonts w:ascii="Noto Sans" w:hAnsi="Noto Sans" w:eastAsia="Noto Sans CJK JP"/>
          <w:sz w:val="19"/>
        </w:rPr>
        <w:t>Aucun oubli futur ne pourra reverrouiller cette mission une fois terminée.</w:t>
      </w:r>
    </w:p>
    <w:p>
      <w:pPr>
        <w:pStyle w:val="Heading1"/>
        <w:keepNext/>
      </w:pPr>
      <w:r>
        <w:t>46. Synthèse : philosophie du moteur pédagogique</w:t>
      </w:r>
    </w:p>
    <w:tbl>
      <w:tblPr>
        <w:tblW w:type="auto" w:w="0"/>
        <w:jc w:val="center"/>
        <w:tblLook w:firstColumn="1" w:firstRow="1" w:lastColumn="0" w:lastRow="0" w:noHBand="0" w:noVBand="1" w:val="04A0"/>
      </w:tblPr>
      <w:tblGrid>
        <w:gridCol w:w="10224"/>
      </w:tblGrid>
      <w:tr>
        <w:trPr>
          <w:cantSplit w:val="1"/>
        </w:trPr>
        <w:tc>
          <w:tcPr>
            <w:tcW w:type="dxa" w:w="10224"/>
            <w:shd w:fill="E8F3F6"/>
            <w:tcMar>
              <w:top w:w="95" w:type="dxa"/>
              <w:start w:w="125" w:type="dxa"/>
              <w:bottom w:w="95" w:type="dxa"/>
              <w:end w:w="125" w:type="dxa"/>
            </w:tcMar>
          </w:tcPr>
          <w:p>
            <w:pPr>
              <w:spacing w:after="60"/>
            </w:pPr>
            <w:r>
              <w:rPr>
                <w:rFonts w:ascii="Noto Sans" w:hAnsi="Noto Sans" w:eastAsia="Noto Sans CJK JP"/>
                <w:b/>
                <w:sz w:val="20"/>
              </w:rPr>
              <w:t>La règle en une phrase</w:t>
            </w:r>
          </w:p>
          <w:p>
            <w:pPr>
              <w:spacing w:after="0"/>
            </w:pPr>
            <w:r>
              <w:rPr>
                <w:rFonts w:ascii="Noto Sans" w:hAnsi="Noto Sans" w:eastAsia="Noto Sans CJK JP"/>
                <w:sz w:val="18"/>
              </w:rPr>
              <w:t>Le parcours guidé fait progresser l’utilisateur par capacités concrètes ; chaque notion possède une maîtrise multidimensionnelle qui évolue avec le temps ; l’oubli déclenche de la révision, jamais une régression punitive du parcours.</w:t>
            </w:r>
          </w:p>
        </w:tc>
      </w:tr>
    </w:tbl>
    <w:p>
      <w:pPr>
        <w:spacing w:after="0"/>
      </w:pPr>
    </w:p>
    <w:p>
      <w:pPr>
        <w:spacing w:after="100"/>
      </w:pPr>
      <w:r>
        <w:rPr>
          <w:rFonts w:ascii="Noto Sans" w:hAnsi="Noto Sans" w:eastAsia="Noto Sans CJK JP"/>
          <w:sz w:val="19"/>
        </w:rPr>
        <w:t>Le moteur doit donc être capable de dire simultanément : « cette mission est terminée », « ce Can-do a déjà été validé », « ce mot est actuellement fragile à l’écoute », « ce kanji est reconnu mais peu rappelé », et « une révision courte est recommandée aujourd’hui ». C’est cette séparation entre progression, compétence et mémoire qui rendra l’application durable au-delà du prototype kana.</w:t>
      </w:r>
    </w:p>
    <w:p>
      <w:pPr>
        <w:pStyle w:val="Heading1"/>
        <w:keepNext/>
      </w:pPr>
      <w:r>
        <w:t>47. Sources pédagogiques internes utilisées</w:t>
      </w:r>
    </w:p>
    <w:p>
      <w:pPr>
        <w:spacing w:after="100"/>
      </w:pPr>
      <w:r>
        <w:rPr>
          <w:rFonts w:ascii="Noto Sans" w:hAnsi="Noto Sans" w:eastAsia="Noto Sans CJK JP"/>
          <w:sz w:val="19"/>
        </w:rPr>
        <w:t>Ce document synthétise et formalise les décisions contenues dans les huit documents de cadrage corrigés du projet :</w:t>
      </w:r>
    </w:p>
    <w:p>
      <w:pPr>
        <w:pStyle w:val="ListBullet"/>
        <w:spacing w:after="40"/>
      </w:pPr>
      <w:r>
        <w:rPr>
          <w:rFonts w:ascii="Noto Sans" w:hAnsi="Noto Sans" w:eastAsia="Noto Sans CJK JP"/>
          <w:sz w:val="19"/>
        </w:rPr>
        <w:t>Étape 0 — Fondations ;</w:t>
      </w:r>
    </w:p>
    <w:p>
      <w:pPr>
        <w:pStyle w:val="ListBullet"/>
        <w:spacing w:after="40"/>
      </w:pPr>
      <w:r>
        <w:rPr>
          <w:rFonts w:ascii="Noto Sans" w:hAnsi="Noto Sans" w:eastAsia="Noto Sans CJK JP"/>
          <w:sz w:val="19"/>
        </w:rPr>
        <w:t>Étape 1 — Premier japonais fonctionnel ;</w:t>
      </w:r>
    </w:p>
    <w:p>
      <w:pPr>
        <w:pStyle w:val="ListBullet"/>
        <w:spacing w:after="40"/>
      </w:pPr>
      <w:r>
        <w:rPr>
          <w:rFonts w:ascii="Noto Sans" w:hAnsi="Noto Sans" w:eastAsia="Noto Sans CJK JP"/>
          <w:sz w:val="19"/>
        </w:rPr>
        <w:t>Étape 2 — Construire de vraies phrases ;</w:t>
      </w:r>
    </w:p>
    <w:p>
      <w:pPr>
        <w:pStyle w:val="ListBullet"/>
        <w:spacing w:after="40"/>
      </w:pPr>
      <w:r>
        <w:rPr>
          <w:rFonts w:ascii="Noto Sans" w:hAnsi="Noto Sans" w:eastAsia="Noto Sans CJK JP"/>
          <w:sz w:val="19"/>
        </w:rPr>
        <w:t>Étape 3 — Maîtrise élémentaire ;</w:t>
      </w:r>
    </w:p>
    <w:p>
      <w:pPr>
        <w:pStyle w:val="ListBullet"/>
        <w:spacing w:after="40"/>
      </w:pPr>
      <w:r>
        <w:rPr>
          <w:rFonts w:ascii="Noto Sans" w:hAnsi="Noto Sans" w:eastAsia="Noto Sans CJK JP"/>
          <w:sz w:val="19"/>
        </w:rPr>
        <w:t>Étape 4 — Japonais quotidien autonome ;</w:t>
      </w:r>
    </w:p>
    <w:p>
      <w:pPr>
        <w:pStyle w:val="ListBullet"/>
        <w:spacing w:after="40"/>
      </w:pPr>
      <w:r>
        <w:rPr>
          <w:rFonts w:ascii="Noto Sans" w:hAnsi="Noto Sans" w:eastAsia="Noto Sans CJK JP"/>
          <w:sz w:val="19"/>
        </w:rPr>
        <w:t>Étape 5 — Japonais intermédiaire naturel ;</w:t>
      </w:r>
    </w:p>
    <w:p>
      <w:pPr>
        <w:pStyle w:val="ListBullet"/>
        <w:spacing w:after="40"/>
      </w:pPr>
      <w:r>
        <w:rPr>
          <w:rFonts w:ascii="Noto Sans" w:hAnsi="Noto Sans" w:eastAsia="Noto Sans CJK JP"/>
          <w:sz w:val="19"/>
        </w:rPr>
        <w:t>Étape 6 — Japonais avancé général ;</w:t>
      </w:r>
    </w:p>
    <w:p>
      <w:pPr>
        <w:pStyle w:val="ListBullet"/>
        <w:spacing w:after="40"/>
      </w:pPr>
      <w:r>
        <w:rPr>
          <w:rFonts w:ascii="Noto Sans" w:hAnsi="Noto Sans" w:eastAsia="Noto Sans CJK JP"/>
          <w:sz w:val="19"/>
        </w:rPr>
        <w:t>Étape 7 — Autonomie avancée.</w:t>
      </w:r>
    </w:p>
    <w:p>
      <w:pPr>
        <w:spacing w:after="100"/>
      </w:pPr>
      <w:r>
        <w:rPr>
          <w:rFonts w:ascii="Noto Sans" w:hAnsi="Noto Sans" w:eastAsia="Noto Sans CJK JP"/>
          <w:sz w:val="19"/>
        </w:rPr>
        <w:t>Les références externes déjà utilisées dans ces documents (Japan Foundation / JF Standard / Irodori / Marugoto et autres références de cadrage) restent les références de fond des étapes. Le présent document ne crée pas un nouveau niveau linguistique : il organise le fonctionnement commun de l’application.</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6"/>
      </w:rPr>
      <w:t>Application japonais — Architecture pédagogique commune des missions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