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Noto Sans" w:hAnsi="Noto Sans" w:eastAsia="Noto Sans CJK JP"/>
          <w:b/>
          <w:color w:val="4B5F69"/>
          <w:sz w:val="20"/>
        </w:rPr>
        <w:t>APPLICATION D’APPRENTISSAGE DU JAPONAIS</w:t>
      </w:r>
    </w:p>
    <w:p>
      <w:pPr>
        <w:pStyle w:val="Title"/>
        <w:spacing w:before="240"/>
        <w:jc w:val="center"/>
      </w:pPr>
      <w:r>
        <w:rPr>
          <w:rFonts w:ascii="Noto Sans" w:hAnsi="Noto Sans" w:eastAsia="Noto Sans CJK JP"/>
          <w:b/>
          <w:color w:val="19374B"/>
          <w:sz w:val="48"/>
        </w:rPr>
        <w:t>Catalogue technique du moteur d’exercices</w:t>
      </w:r>
    </w:p>
    <w:p>
      <w:pPr>
        <w:jc w:val="center"/>
      </w:pPr>
      <w:r>
        <w:rPr>
          <w:rFonts w:ascii="Noto Sans" w:hAnsi="Noto Sans" w:eastAsia="Noto Sans CJK JP"/>
          <w:color w:val="375564"/>
          <w:sz w:val="21"/>
        </w:rPr>
        <w:t>Contrats • Types d’exercices • Correction • Scoring • Audio • IA • SRS • Can-do • Projets avancés</w:t>
      </w:r>
    </w:p>
    <w:p/>
    <w:tbl>
      <w:tblPr>
        <w:tblW w:type="auto" w:w="0"/>
        <w:jc w:val="center"/>
        <w:tblLook w:firstColumn="1" w:firstRow="1" w:lastColumn="0" w:lastRow="0" w:noHBand="0" w:noVBand="1" w:val="04A0"/>
      </w:tblPr>
      <w:tblGrid>
        <w:gridCol w:w="10282"/>
      </w:tblGrid>
      <w:tr>
        <w:trPr>
          <w:cantSplit w:val="1"/>
        </w:trPr>
        <w:tc>
          <w:tcPr>
            <w:tcW w:type="dxa" w:w="10282"/>
            <w:shd w:fill="E8F3F6"/>
            <w:tcMar>
              <w:top w:w="95" w:type="dxa"/>
              <w:start w:w="125" w:type="dxa"/>
              <w:bottom w:w="95" w:type="dxa"/>
              <w:end w:w="125" w:type="dxa"/>
            </w:tcMar>
          </w:tcPr>
          <w:p>
            <w:pPr>
              <w:spacing w:after="40"/>
            </w:pPr>
            <w:r>
              <w:rPr>
                <w:rFonts w:ascii="Noto Sans" w:hAnsi="Noto Sans" w:eastAsia="Noto Sans CJK JP"/>
                <w:b/>
                <w:sz w:val="19"/>
              </w:rPr>
              <w:t>Rôle de ce document</w:t>
            </w:r>
          </w:p>
          <w:p>
            <w:pPr>
              <w:spacing w:after="0"/>
            </w:pPr>
            <w:r>
              <w:rPr>
                <w:rFonts w:ascii="Noto Sans" w:hAnsi="Noto Sans" w:eastAsia="Noto Sans CJK JP"/>
                <w:sz w:val="18"/>
              </w:rPr>
              <w:t>Transformer l’architecture pédagogique et les spécifications des Étapes 0–1 en contrats techniques réutilisables par l’ensemble du parcours 0–7. Le catalogue définit ce que le moteur doit savoir afficher, recevoir, corriger, scorer, sauvegarder et transmettre au système de maîtrise / SRS. Il ne dessine pas encore les tables SQL ni les écrans définitifs.</w:t>
            </w:r>
          </w:p>
        </w:tc>
      </w:tr>
    </w:tbl>
    <w:p>
      <w:pPr>
        <w:spacing w:after="0"/>
      </w:pPr>
    </w:p>
    <w:p>
      <w:pPr>
        <w:jc w:val="center"/>
      </w:pPr>
      <w:r>
        <w:rPr>
          <w:rFonts w:ascii="Noto Sans" w:hAnsi="Noto Sans" w:eastAsia="Noto Sans CJK JP"/>
          <w:color w:val="5F6469"/>
          <w:sz w:val="17"/>
        </w:rPr>
        <w:t>Référence à utiliser avant la spécification fonctionnelle des écrans et le modèle conceptuel de données.</w:t>
      </w:r>
    </w:p>
    <w:p>
      <w:r>
        <w:br w:type="page"/>
      </w:r>
    </w:p>
    <w:p>
      <w:pPr>
        <w:pStyle w:val="Heading1"/>
        <w:keepNext w:val="1"/>
      </w:pPr>
      <w:r>
        <w:t>1. Sources, objectif et frontière du catalogue</w:t>
      </w:r>
    </w:p>
    <w:p>
      <w:r>
        <w:rPr>
          <w:rFonts w:ascii="Noto Sans" w:hAnsi="Noto Sans" w:eastAsia="Noto Sans CJK JP"/>
          <w:sz w:val="18"/>
        </w:rPr>
        <w:t>Le moteur doit satisfaire immédiatement les besoins des Étapes 0 et 1, tout en étant extensible aux tâches plus complexes des Étapes 2 à 7. Il ne doit donc pas être conçu comme un simple générateur de QCM.</w:t>
      </w:r>
    </w:p>
    <w:p>
      <w:pPr>
        <w:pStyle w:val="ListBullet"/>
        <w:spacing w:after="24"/>
      </w:pPr>
      <w:r>
        <w:rPr>
          <w:rFonts w:ascii="Noto Sans" w:hAnsi="Noto Sans" w:eastAsia="Noto Sans CJK JP"/>
          <w:sz w:val="18"/>
        </w:rPr>
        <w:t>Étape 0 : reconnaissance, rappel, audio, discrimination, composition de kana et validation déterministe ;</w:t>
      </w:r>
    </w:p>
    <w:p>
      <w:pPr>
        <w:pStyle w:val="ListBullet"/>
        <w:spacing w:after="24"/>
      </w:pPr>
      <w:r>
        <w:rPr>
          <w:rFonts w:ascii="Noto Sans" w:hAnsi="Noto Sans" w:eastAsia="Noto Sans CJK JP"/>
          <w:sz w:val="18"/>
        </w:rPr>
        <w:t>Étape 1 : vocabulaire actif / passif, mini-phrases, questions, kanji contextualisés, saisie IME et mini-situations ;</w:t>
      </w:r>
    </w:p>
    <w:p>
      <w:pPr>
        <w:pStyle w:val="ListBullet"/>
        <w:spacing w:after="24"/>
      </w:pPr>
      <w:r>
        <w:rPr>
          <w:rFonts w:ascii="Noto Sans" w:hAnsi="Noto Sans" w:eastAsia="Noto Sans CJK JP"/>
          <w:sz w:val="18"/>
        </w:rPr>
        <w:t>Étapes 2–3 : construction de phrases, particules, transformations verbales, dictée et petits récits ;</w:t>
      </w:r>
    </w:p>
    <w:p>
      <w:pPr>
        <w:pStyle w:val="ListBullet"/>
        <w:spacing w:after="24"/>
      </w:pPr>
      <w:r>
        <w:rPr>
          <w:rFonts w:ascii="Noto Sans" w:hAnsi="Noto Sans" w:eastAsia="Noto Sans CJK JP"/>
          <w:sz w:val="18"/>
        </w:rPr>
        <w:t>Étapes 4–5 : choix selon contexte, nuance, registre, dialogues multi-tours, implicite et écoute naturelle ;</w:t>
      </w:r>
    </w:p>
    <w:p>
      <w:pPr>
        <w:pStyle w:val="ListBullet"/>
        <w:spacing w:after="24"/>
      </w:pPr>
      <w:r>
        <w:rPr>
          <w:rFonts w:ascii="Noto Sans" w:hAnsi="Noto Sans" w:eastAsia="Noto Sans CJK JP"/>
          <w:sz w:val="18"/>
        </w:rPr>
        <w:t>Étape 6 : textes / audios longs, résumé, argumentation, keigo, production formelle et présentations ;</w:t>
      </w:r>
    </w:p>
    <w:p>
      <w:pPr>
        <w:pStyle w:val="ListBullet"/>
        <w:spacing w:after="24"/>
      </w:pPr>
      <w:r>
        <w:rPr>
          <w:rFonts w:ascii="Noto Sans" w:hAnsi="Noto Sans" w:eastAsia="Noto Sans CJK JP"/>
          <w:sz w:val="18"/>
        </w:rPr>
        <w:t>Étape 7 : projets multi-sources, recherche, production longue, auto-évaluation et spécialisations.</w:t>
      </w:r>
    </w:p>
    <w:tbl>
      <w:tblPr>
        <w:tblW w:type="auto" w:w="0"/>
        <w:jc w:val="center"/>
        <w:tblLook w:firstColumn="1" w:firstRow="1" w:lastColumn="0" w:lastRow="0" w:noHBand="0" w:noVBand="1" w:val="04A0"/>
      </w:tblPr>
      <w:tblGrid>
        <w:gridCol w:w="10282"/>
      </w:tblGrid>
      <w:tr>
        <w:trPr>
          <w:cantSplit w:val="1"/>
        </w:trPr>
        <w:tc>
          <w:tcPr>
            <w:tcW w:type="dxa" w:w="10282"/>
            <w:shd w:fill="FFF4DE"/>
            <w:tcMar>
              <w:top w:w="95" w:type="dxa"/>
              <w:start w:w="125" w:type="dxa"/>
              <w:bottom w:w="95" w:type="dxa"/>
              <w:end w:w="125" w:type="dxa"/>
            </w:tcMar>
          </w:tcPr>
          <w:p>
            <w:pPr>
              <w:spacing w:after="40"/>
            </w:pPr>
            <w:r>
              <w:rPr>
                <w:rFonts w:ascii="Noto Sans" w:hAnsi="Noto Sans" w:eastAsia="Noto Sans CJK JP"/>
                <w:b/>
                <w:sz w:val="19"/>
              </w:rPr>
              <w:t>Frontière</w:t>
            </w:r>
          </w:p>
          <w:p>
            <w:pPr>
              <w:spacing w:after="0"/>
            </w:pPr>
            <w:r>
              <w:rPr>
                <w:rFonts w:ascii="Noto Sans" w:hAnsi="Noto Sans" w:eastAsia="Noto Sans CJK JP"/>
                <w:sz w:val="18"/>
              </w:rPr>
              <w:t>Ce document décrit des contrats fonctionnels et techniques indépendants du schéma de base de données. Les noms de champs proposés servent à définir les responsabilités du moteur ; ils pourront être traduits ensuite en tables SQL, classes PHP, objets JSON et composants JavaScript.</w:t>
            </w:r>
          </w:p>
        </w:tc>
      </w:tr>
    </w:tbl>
    <w:p>
      <w:pPr>
        <w:spacing w:after="0"/>
      </w:pPr>
    </w:p>
    <w:p>
      <w:pPr>
        <w:pStyle w:val="Heading1"/>
        <w:keepNext w:val="1"/>
      </w:pPr>
      <w:r>
        <w:t>2. Principes non négociables du moteur</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Principe</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Règle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Réutilisabilité</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Un même type d’exercice doit servir plusieurs étapes et plusieurs concepts.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Séparation contenu / logique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Une question n’est pas codée en dur dans le composant visuel ; le composant reçoit un contrat de contenu.</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Progression historique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Un exercice peut alimenter la maîtrise sans jamais reverrouiller une mission historiquement validée.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Maîtrise multidimensionnelle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Une réponse peut renforcer lecture, écoute, rappel, production, saisie ou pragmatique séparément.</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Déterminisme du cœur</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Les mécanismes fondamentaux doivent fonctionner sans IA.</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IA optionnelle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L’IA enrichit certaines productions libres, mais l’application doit prévoir une stratégie de repli.</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Sauvegarde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Toute activité terminée est sauvegardable ; une activité longue peut avoir des sous-checkpoints.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Versionnement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Une tentative doit rester interprétable même si le contenu de l’exercice évolue plus tard.</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Traçabilité</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Chaque résultat doit indiquer ce qui a été évalué, avec quelles aides et quelles règles.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Pas de surprise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Une évaluation ne doit pas introduire une notion majeure inconnue, sauf si la compétence testée est précisément de gérer l’inconnu.</w:t>
            </w:r>
          </w:p>
        </w:tc>
      </w:tr>
    </w:tbl>
    <w:p>
      <w:pPr>
        <w:spacing w:after="0"/>
      </w:pPr>
    </w:p>
    <w:p>
      <w:pPr>
        <w:pStyle w:val="Heading1"/>
        <w:keepNext w:val="1"/>
      </w:pPr>
      <w:r>
        <w:t>3. Architecture logique : Template → Instance → Tentative → Résultat</w:t>
      </w:r>
    </w:p>
    <w:p>
      <w:r>
        <w:rPr>
          <w:rFonts w:ascii="Noto Sans" w:hAnsi="Noto Sans" w:eastAsia="Noto Sans CJK JP"/>
          <w:sz w:val="18"/>
        </w:rPr>
        <w:t>Le moteur doit séparer quatre objets conceptuels. Cette séparation évite qu’un exercice généré aléatoirement devienne impossible à reprendre ou à auditer.</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Objet</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Responsabilité</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Template d’exercice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Règles stables : type, cibles, pool, correction, aides, scoring, difficulté.</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Instance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Version concrète présentée à l’utilisateur : ordre, distracteurs, médias, seed, réponses attendues.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Tentative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Session utilisateur : réponses, temps, aides, reprises, état en cours.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Résultat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Score, erreurs, dimensions de maîtrise affectées, remédiations et signaux envoyés au SRS.</w:t>
            </w:r>
          </w:p>
        </w:tc>
      </w:tr>
    </w:tbl>
    <w:p>
      <w:pPr>
        <w:spacing w:after="0"/>
      </w:pPr>
    </w:p>
    <w:tbl>
      <w:tblPr>
        <w:tblW w:type="auto" w:w="0"/>
        <w:jc w:val="center"/>
        <w:tblLook w:firstColumn="1" w:firstRow="1" w:lastColumn="0" w:lastRow="0" w:noHBand="0" w:noVBand="1" w:val="04A0"/>
      </w:tblPr>
      <w:tblGrid>
        <w:gridCol w:w="10282"/>
      </w:tblGrid>
      <w:tr>
        <w:trPr>
          <w:cantSplit w:val="1"/>
        </w:trPr>
        <w:tc>
          <w:tcPr>
            <w:tcW w:type="dxa" w:w="10282"/>
            <w:shd w:fill="EEF6EA"/>
            <w:tcMar>
              <w:top w:w="95" w:type="dxa"/>
              <w:start w:w="125" w:type="dxa"/>
              <w:bottom w:w="95" w:type="dxa"/>
              <w:end w:w="125" w:type="dxa"/>
            </w:tcMar>
          </w:tcPr>
          <w:p>
            <w:pPr>
              <w:spacing w:after="40"/>
            </w:pPr>
            <w:r>
              <w:rPr>
                <w:rFonts w:ascii="Noto Sans" w:hAnsi="Noto Sans" w:eastAsia="Noto Sans CJK JP"/>
                <w:b/>
                <w:sz w:val="19"/>
              </w:rPr>
              <w:t>Pourquoi stocker l’instance</w:t>
            </w:r>
          </w:p>
          <w:p>
            <w:pPr>
              <w:spacing w:after="0"/>
            </w:pPr>
            <w:r>
              <w:rPr>
                <w:rFonts w:ascii="Noto Sans" w:hAnsi="Noto Sans" w:eastAsia="Noto Sans CJK JP"/>
                <w:sz w:val="18"/>
              </w:rPr>
              <w:t>Si un QCM ou un scénario est randomisé, une reprise doit retrouver exactement les mêmes éléments. Le moteur doit donc conserver au minimum la version du template et un seed reproductible, ou un snapshot complet de l’instance.</w:t>
            </w:r>
          </w:p>
        </w:tc>
      </w:tr>
    </w:tbl>
    <w:p>
      <w:pPr>
        <w:spacing w:after="0"/>
      </w:pPr>
    </w:p>
    <w:p>
      <w:pPr>
        <w:pStyle w:val="Heading1"/>
        <w:keepNext w:val="1"/>
      </w:pPr>
      <w:r>
        <w:t>4. Cycle d’exécution d’un exercice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val="1"/>
        </w:trPr>
        <w:tc>
          <w:tcPr>
            <w:tcW w:type="dxa" w:w="3427"/>
            <w:vAlign w:val="center"/>
            <w:shd w:fill="DCEAF0"/>
            <w:tcMar>
              <w:top w:w="55" w:type="dxa"/>
              <w:start w:w="75" w:type="dxa"/>
              <w:bottom w:w="55" w:type="dxa"/>
              <w:end w:w="75" w:type="dxa"/>
            </w:tcMar>
          </w:tcPr>
          <w:p>
            <w:pPr>
              <w:spacing w:after="0"/>
            </w:pPr>
            <w:r>
              <w:rPr>
                <w:rFonts w:ascii="Noto Sans" w:hAnsi="Noto Sans" w:eastAsia="Noto Sans CJK JP"/>
                <w:b/>
                <w:sz w:val="15"/>
              </w:rPr>
              <w:t>Ordre</w:t>
            </w:r>
          </w:p>
        </w:tc>
        <w:tc>
          <w:tcPr>
            <w:tcW w:type="dxa" w:w="3427"/>
            <w:vAlign w:val="center"/>
            <w:shd w:fill="DCEAF0"/>
            <w:tcMar>
              <w:top w:w="55" w:type="dxa"/>
              <w:start w:w="75" w:type="dxa"/>
              <w:bottom w:w="55" w:type="dxa"/>
              <w:end w:w="75" w:type="dxa"/>
            </w:tcMar>
          </w:tcPr>
          <w:p>
            <w:pPr>
              <w:spacing w:after="0"/>
            </w:pPr>
            <w:r>
              <w:rPr>
                <w:rFonts w:ascii="Noto Sans" w:hAnsi="Noto Sans" w:eastAsia="Noto Sans CJK JP"/>
                <w:b/>
                <w:sz w:val="15"/>
              </w:rPr>
              <w:t>Étape</w:t>
            </w:r>
          </w:p>
        </w:tc>
        <w:tc>
          <w:tcPr>
            <w:tcW w:type="dxa" w:w="3427"/>
            <w:vAlign w:val="center"/>
            <w:shd w:fill="DCEAF0"/>
            <w:tcMar>
              <w:top w:w="55" w:type="dxa"/>
              <w:start w:w="75" w:type="dxa"/>
              <w:bottom w:w="55" w:type="dxa"/>
              <w:end w:w="75" w:type="dxa"/>
            </w:tcMar>
          </w:tcPr>
          <w:p>
            <w:pPr>
              <w:spacing w:after="0"/>
            </w:pPr>
            <w:r>
              <w:rPr>
                <w:rFonts w:ascii="Noto Sans" w:hAnsi="Noto Sans" w:eastAsia="Noto Sans CJK JP"/>
                <w:b/>
                <w:sz w:val="15"/>
              </w:rPr>
              <w:t>Comportement</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1</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Sélection</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La mission / révision choisit un template adapté aux cibles et à la difficulté.</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2</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Génération</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Création d’une instance à partir des pools, contraintes et seed.</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3</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Validation interne</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Vérifier qu’il existe une réponse valide, que les distracteurs ne sont pas ambigus et que les médias sont disponibles.</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4</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Rendu</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Le composant UI affiche stimuli, prompt, aides autorisées et contrôle de réponse.</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5</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Réponse</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La saisie brute est enregistrée avec le contexte de la tentative.</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6</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Normalisation</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Appliquer uniquement les transformations autorisées par l’exercice.</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7</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Correction</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Comparer via le mode de correction configuré.</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8</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Scoring</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Calculer score, sévérité, aide utilisée, erreurs critiques et sous-compétences.</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9</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Feedback</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Afficher correction / explication selon la politique de l’activité.</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10</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Signaux</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Émettre les impacts de maîtrise / SRS et les événements analytiques.</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11</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Sauvegarde</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Conserver résultat et état de reprise avant de poursuivre.</w:t>
            </w:r>
          </w:p>
        </w:tc>
      </w:tr>
    </w:tbl>
    <w:p>
      <w:pPr>
        <w:spacing w:after="0"/>
      </w:pPr>
    </w:p>
    <w:p>
      <w:pPr>
        <w:pStyle w:val="Heading1"/>
        <w:keepNext w:val="1"/>
      </w:pPr>
      <w:r>
        <w:t>5. Contrat commun d’un template d’exercice</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Champ conceptuel</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Rôle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template_code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Identifiant stable lisible, ex. EX_AUDIO_CHOICE_001.</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version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Version immuable du contenu / comportement publié.</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type_code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Type technique du catalogue, ex. CHOICE_SINGLE ou TRANSFORM_FORM.</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stage_range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Étapes pour lesquelles le template est conçu ou recommandé.</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targets[]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Concepts / compétences ciblés avec poids et statut actif / passif.</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prerequisites[]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Notions nécessaires à l’exercice, sans être forcément scorées.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prompt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Consigne et langue de consigne.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stimuli[]</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Texte, audio, image, dialogue, document, contexte ou scène.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response_spec</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Type de réponse attendu et contraintes de saisie.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answer_spec</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Réponse(s) correcte(s), règles ou rubriques.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correction_spec</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Normalisation et mode de correction.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scoring_spec</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Poids, partiel, erreurs critiques, seuil local éventuel.</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help_policy</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Indices, furigana, romaji, replay audio, révélation.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randomization_spec</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Pools, quotas, ordre, seed, anti-répétition.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feedback_spec</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Quand et comment afficher correction et explication.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mastery_impacts[]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Dimensions à renforcer / affaiblir selon le résultat.</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resume_policy</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Checkpoint et comportement à la reprise.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metadata</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Auteur, tags, difficulté, source, droits, notes de QA.</w:t>
            </w:r>
          </w:p>
        </w:tc>
      </w:tr>
    </w:tbl>
    <w:p>
      <w:pPr>
        <w:spacing w:after="0"/>
      </w:pPr>
    </w:p>
    <w:p>
      <w:pPr>
        <w:pStyle w:val="Heading1"/>
        <w:keepNext w:val="1"/>
      </w:pPr>
      <w:r>
        <w:t>6. Exemple conceptuel de contrat</w:t>
      </w:r>
    </w:p>
    <w:tbl>
      <w:tblPr>
        <w:tblW w:type="auto" w:w="0"/>
        <w:jc w:val="center"/>
        <w:tblLook w:firstColumn="1" w:firstRow="1" w:lastColumn="0" w:lastRow="0" w:noHBand="0" w:noVBand="1" w:val="04A0"/>
      </w:tblPr>
      <w:tblGrid>
        <w:gridCol w:w="10282"/>
      </w:tblGrid>
      <w:tr>
        <w:trPr>
          <w:cantSplit w:val="1"/>
        </w:trPr>
        <w:tc>
          <w:tcPr>
            <w:tcW w:type="dxa" w:w="10282"/>
            <w:shd w:fill="F4F4F4"/>
            <w:tcMar>
              <w:top w:w="85" w:type="dxa"/>
              <w:start w:w="110" w:type="dxa"/>
              <w:bottom w:w="85" w:type="dxa"/>
              <w:end w:w="110" w:type="dxa"/>
            </w:tcMar>
          </w:tcPr>
          <w:p>
            <w:pPr>
              <w:spacing w:after="0"/>
            </w:pPr>
            <w:r/>
            <w:r>
              <w:rPr>
                <w:rFonts w:ascii="DejaVu Sans Mono" w:hAnsi="DejaVu Sans Mono" w:eastAsia="Noto Sans CJK JP"/>
                <w:sz w:val="15"/>
              </w:rPr>
              <w:t>{</w:t>
            </w:r>
            <w:r>
              <w:br/>
            </w:r>
            <w:r>
              <w:rPr>
                <w:rFonts w:ascii="DejaVu Sans Mono" w:hAnsi="DejaVu Sans Mono" w:eastAsia="Noto Sans CJK JP"/>
                <w:sz w:val="15"/>
              </w:rPr>
              <w:t xml:space="preserve">  "type_code": "AUDIO_CHOICE",</w:t>
            </w:r>
            <w:r>
              <w:br/>
            </w:r>
            <w:r>
              <w:rPr>
                <w:rFonts w:ascii="DejaVu Sans Mono" w:hAnsi="DejaVu Sans Mono" w:eastAsia="Noto Sans CJK JP"/>
                <w:sz w:val="15"/>
              </w:rPr>
              <w:t xml:space="preserve">  "targets": [{"concept":"kana:つ","dimension":"listening","weight":1.0}],</w:t>
            </w:r>
            <w:r>
              <w:br/>
            </w:r>
            <w:r>
              <w:rPr>
                <w:rFonts w:ascii="DejaVu Sans Mono" w:hAnsi="DejaVu Sans Mono" w:eastAsia="Noto Sans CJK JP"/>
                <w:sz w:val="15"/>
              </w:rPr>
              <w:t xml:space="preserve">  "stimuli": [{"kind":"audio","asset":"audio_つ"}],</w:t>
            </w:r>
            <w:r>
              <w:br/>
            </w:r>
            <w:r>
              <w:rPr>
                <w:rFonts w:ascii="DejaVu Sans Mono" w:hAnsi="DejaVu Sans Mono" w:eastAsia="Noto Sans CJK JP"/>
                <w:sz w:val="15"/>
              </w:rPr>
              <w:t xml:space="preserve">  "response_spec": {"kind":"single_choice"},</w:t>
            </w:r>
            <w:r>
              <w:br/>
            </w:r>
            <w:r>
              <w:rPr>
                <w:rFonts w:ascii="DejaVu Sans Mono" w:hAnsi="DejaVu Sans Mono" w:eastAsia="Noto Sans CJK JP"/>
                <w:sz w:val="15"/>
              </w:rPr>
              <w:t xml:space="preserve">  "answer_spec": {"correct_option":"つ"},</w:t>
            </w:r>
            <w:r>
              <w:br/>
            </w:r>
            <w:r>
              <w:rPr>
                <w:rFonts w:ascii="DejaVu Sans Mono" w:hAnsi="DejaVu Sans Mono" w:eastAsia="Noto Sans CJK JP"/>
                <w:sz w:val="15"/>
              </w:rPr>
              <w:t xml:space="preserve">  "correction_spec": {"mode":"exact"},</w:t>
            </w:r>
            <w:r>
              <w:br/>
            </w:r>
            <w:r>
              <w:rPr>
                <w:rFonts w:ascii="DejaVu Sans Mono" w:hAnsi="DejaVu Sans Mono" w:eastAsia="Noto Sans CJK JP"/>
                <w:sz w:val="15"/>
              </w:rPr>
              <w:t xml:space="preserve">  "help_policy": {"replay":true,"slow_audio":false},</w:t>
            </w:r>
            <w:r>
              <w:br/>
            </w:r>
            <w:r>
              <w:rPr>
                <w:rFonts w:ascii="DejaVu Sans Mono" w:hAnsi="DejaVu Sans Mono" w:eastAsia="Noto Sans CJK JP"/>
                <w:sz w:val="15"/>
              </w:rPr>
              <w:t xml:space="preserve">  "randomization_spec": {"distractors":["す","ち","っ"],"seeded":true},</w:t>
            </w:r>
            <w:r>
              <w:br/>
            </w:r>
            <w:r>
              <w:rPr>
                <w:rFonts w:ascii="DejaVu Sans Mono" w:hAnsi="DejaVu Sans Mono" w:eastAsia="Noto Sans CJK JP"/>
                <w:sz w:val="15"/>
              </w:rPr>
              <w:t xml:space="preserve">  "mastery_impacts": [{"dimension":"listening","concept":"kana:つ"}]</w:t>
            </w:r>
            <w:r>
              <w:br/>
            </w:r>
            <w:r>
              <w:rPr>
                <w:rFonts w:ascii="DejaVu Sans Mono" w:hAnsi="DejaVu Sans Mono" w:eastAsia="Noto Sans CJK JP"/>
                <w:sz w:val="15"/>
              </w:rPr>
              <w:t>}</w:t>
            </w:r>
          </w:p>
        </w:tc>
      </w:tr>
    </w:tbl>
    <w:p>
      <w:pPr>
        <w:spacing w:after="0"/>
      </w:pPr>
    </w:p>
    <w:p>
      <w:r>
        <w:rPr>
          <w:rFonts w:ascii="Noto Sans" w:hAnsi="Noto Sans" w:eastAsia="Noto Sans CJK JP"/>
          <w:sz w:val="18"/>
        </w:rPr>
        <w:t>Ce format est illustratif : le schéma JSON définitif sera rédigé lors du modèle de données / API. Le point important est que le moteur puisse exécuter un exercice uniquement à partir de son contrat.</w:t>
      </w:r>
    </w:p>
    <w:p>
      <w:pPr>
        <w:pStyle w:val="Heading1"/>
        <w:keepNext w:val="1"/>
      </w:pPr>
      <w:r>
        <w:t>7. Stimuli supportés</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Kind</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Usage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TEXT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Mot, phrase, paragraphe, consigne, dialogue écrit.</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AUDIO</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Son isolé, phrase, dialogue, extrait long, plusieurs locuteurs.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IMAGE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Objet, scène, schéma ou support visuel ; jamais obligatoire si le texte suffit.</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DIALOGUE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Suite de tours avec locuteur, registre, audio et état contextuel.</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DOCUMENT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Article, mail, notice, rapport ou extrait long avec paragraphes identifiables.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SCENE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Variables de contexte : lieu, relation, objectif, rôle, distance sociale.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DATA</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Table, horaire, prix, liste, information chiffrée à exploiter.</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USER_RECORDING</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Enregistrement oral de l’utilisateur, facultatif selon le type.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MULTI_SOURCE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Ensemble de plusieurs documents / audios pour les projets avancés.</w:t>
            </w:r>
          </w:p>
        </w:tc>
      </w:tr>
    </w:tbl>
    <w:p>
      <w:pPr>
        <w:spacing w:after="0"/>
      </w:pPr>
    </w:p>
    <w:p>
      <w:pPr>
        <w:pStyle w:val="Heading1"/>
        <w:keepNext w:val="1"/>
      </w:pPr>
      <w:r>
        <w:t>8. Contrôles de réponse UI</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Contrôle</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Usage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SINGLE_CHOICE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Un choix parmi 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MULTI_CHOICE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Plusieurs choix, avec ordre indifférent ou significatif selon config.</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MATCHING</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Associer paires ou groupes.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ORDER_TILES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Réordonner blocs, mots, propositions ou étapes.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SELECT_IN_TEXT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Cliquer / sélectionner un segment dans un texte.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TEXT_INPUT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Saisie libre courte.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JAPANESE_INPUT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Saisie optimisée japonais / IME.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SLOT_INPUT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Un ou plusieurs blancs dans une structure.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DRAG_CLASSIFY</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Classer dans des catégories.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RECORD_AUDIO</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Enregistrer une réponse orale.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LONG_TEXT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Rédiger paragraphe, résumé, mail ou synthèse.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NOTES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Prise de notes non directement scorée mais réutilisable.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SELF_RATING</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Auto-évaluation guidée avec justification.</w:t>
            </w:r>
          </w:p>
        </w:tc>
      </w:tr>
    </w:tbl>
    <w:p>
      <w:pPr>
        <w:spacing w:after="0"/>
      </w:pPr>
    </w:p>
    <w:p>
      <w:pPr>
        <w:pStyle w:val="Heading1"/>
        <w:keepNext w:val="1"/>
      </w:pPr>
      <w:r>
        <w:t>9. Normalisation japonaise : règles générales</w:t>
      </w:r>
    </w:p>
    <w:p>
      <w:r>
        <w:rPr>
          <w:rFonts w:ascii="Noto Sans" w:hAnsi="Noto Sans" w:eastAsia="Noto Sans CJK JP"/>
          <w:sz w:val="18"/>
        </w:rPr>
        <w:t>La normalisation doit corriger des différences techniques sans transformer une erreur linguistique en bonne réponse. Elle est donc configurable par exercice et jamais appliquée globalement sans contexte.</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Règle</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Comportement</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Unicode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Normaliser largeur / compatibilité (ex. katakana demi-chasse vers forme standard) lorsque cela ne change pas la compétence testée.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Espaces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Trim externe ; espaces internes ignorables uniquement si l’exercice l’autorise.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Casse romaji</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Case-insensitive.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Chiffres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Pleine chasse / ASCII équivalents si le format numérique l’autorise.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Ponctuation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Ignorable ou faiblement pondérée seulement si elle n’est pas la cible.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Hiragana / katakana</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Jamais considérés équivalents globalement ; équivalence seulement si explicitement autorisée.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Kanji / kana</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Variantes acceptées uniquement si l’objectif le permet. Un exercice de kanji doit pouvoir exiger la graphie.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は / わ, へ / え, を / お</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Jamais fusionnés globalement : l’orthographe grammaticale peut être la compétence testée.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じ / ぢ, ず / づ</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Jamais fusionnés globalement ; les ambiguïtés auditives sont gérées par le design de l’exercice.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Romaji long</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ou / oo / macron acceptables uniquement dans les exercices qui déclarent ces variantes.</w:t>
            </w:r>
          </w:p>
        </w:tc>
      </w:tr>
    </w:tbl>
    <w:p>
      <w:pPr>
        <w:spacing w:after="0"/>
      </w:pPr>
    </w:p>
    <w:p>
      <w:pPr>
        <w:pStyle w:val="Heading1"/>
        <w:keepNext w:val="1"/>
      </w:pPr>
      <w:r>
        <w:t>10. Modes de correction</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Mode</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Usage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C0 — NONE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Pas de note : découverte, répétition, lecture libre.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C1 — EXACT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Comparaison stricte après normalisation autorisée.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C2 — ACCEPTED_SET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Réponse dans une liste de variantes explicitement acceptées.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C3 — ORDERED_SEQUENCE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Suite exacte ou partiellement ordonnée de tokens.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C4 — UNORDERED_SET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Ensemble de réponses, ordre sans importance.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C5 — SLOT_RULES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Chaque slot possède ses réponses / règles.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C6 — PREDICATE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Fonction de validation : nombre, intervalle, relation logique, transformation.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C7 — STRUCTURED_RUBRIC</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Critères déterministes multiples : informations obligatoires, registre, forme, tâche accomplie.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C8 — AI_RUBRIC</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Évaluation assistée par IA sur une rubrique figée : sens, grammaire, registre, naturel, cohérence…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C9 — SELF_REVIEW</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Auto-évaluation guidée ; jamais seul verrou d’une compétence fondamentale.</w:t>
            </w:r>
          </w:p>
        </w:tc>
      </w:tr>
    </w:tbl>
    <w:p>
      <w:pPr>
        <w:spacing w:after="0"/>
      </w:pPr>
    </w:p>
    <w:tbl>
      <w:tblPr>
        <w:tblW w:type="auto" w:w="0"/>
        <w:jc w:val="center"/>
        <w:tblLook w:firstColumn="1" w:firstRow="1" w:lastColumn="0" w:lastRow="0" w:noHBand="0" w:noVBand="1" w:val="04A0"/>
      </w:tblPr>
      <w:tblGrid>
        <w:gridCol w:w="10282"/>
      </w:tblGrid>
      <w:tr>
        <w:trPr>
          <w:cantSplit w:val="1"/>
        </w:trPr>
        <w:tc>
          <w:tcPr>
            <w:tcW w:type="dxa" w:w="10282"/>
            <w:shd w:fill="FFF4DE"/>
            <w:tcMar>
              <w:top w:w="95" w:type="dxa"/>
              <w:start w:w="125" w:type="dxa"/>
              <w:bottom w:w="95" w:type="dxa"/>
              <w:end w:w="125" w:type="dxa"/>
            </w:tcMar>
          </w:tcPr>
          <w:p>
            <w:pPr>
              <w:spacing w:after="40"/>
            </w:pPr>
            <w:r>
              <w:rPr>
                <w:rFonts w:ascii="Noto Sans" w:hAnsi="Noto Sans" w:eastAsia="Noto Sans CJK JP"/>
                <w:b/>
                <w:sz w:val="19"/>
              </w:rPr>
              <w:t>Règle IA</w:t>
            </w:r>
          </w:p>
          <w:p>
            <w:pPr>
              <w:spacing w:after="0"/>
            </w:pPr>
            <w:r>
              <w:rPr>
                <w:rFonts w:ascii="Noto Sans" w:hAnsi="Noto Sans" w:eastAsia="Noto Sans CJK JP"/>
                <w:sz w:val="18"/>
              </w:rPr>
              <w:t>C8 ne doit jamais être la seule manière de terminer une compétence fondamentale du parcours. Si l’IA est indisponible, le moteur doit proposer soit une version structurée C7, soit une pratique non bloquante, soit un report de l’évaluation ouverte.</w:t>
            </w:r>
          </w:p>
        </w:tc>
      </w:tr>
    </w:tbl>
    <w:p>
      <w:pPr>
        <w:spacing w:after="0"/>
      </w:pPr>
    </w:p>
    <w:p>
      <w:pPr>
        <w:pStyle w:val="Heading1"/>
        <w:keepNext w:val="1"/>
      </w:pPr>
      <w:r>
        <w:t>11. Scoring : résultat global et sous-scores</w:t>
      </w:r>
    </w:p>
    <w:p>
      <w:pPr>
        <w:pStyle w:val="ListBullet"/>
        <w:spacing w:after="24"/>
      </w:pPr>
      <w:r>
        <w:rPr>
          <w:rFonts w:ascii="Noto Sans" w:hAnsi="Noto Sans" w:eastAsia="Noto Sans CJK JP"/>
          <w:sz w:val="18"/>
        </w:rPr>
        <w:t>un item produit un score normalisé 0–1 et peut produire plusieurs sous-scores par dimension ;</w:t>
      </w:r>
    </w:p>
    <w:p>
      <w:pPr>
        <w:pStyle w:val="ListBullet"/>
        <w:spacing w:after="24"/>
      </w:pPr>
      <w:r>
        <w:rPr>
          <w:rFonts w:ascii="Noto Sans" w:hAnsi="Noto Sans" w:eastAsia="Noto Sans CJK JP"/>
          <w:sz w:val="18"/>
        </w:rPr>
        <w:t>les activités d’apprentissage peuvent ne pas avoir de seuil de réussite ;</w:t>
      </w:r>
    </w:p>
    <w:p>
      <w:pPr>
        <w:pStyle w:val="ListBullet"/>
        <w:spacing w:after="24"/>
      </w:pPr>
      <w:r>
        <w:rPr>
          <w:rFonts w:ascii="Noto Sans" w:hAnsi="Noto Sans" w:eastAsia="Noto Sans CJK JP"/>
          <w:sz w:val="18"/>
        </w:rPr>
        <w:t>un score de mission / checkpoint n’est pas une moyenne naïve si une compétence essentielle est insuffisante ;</w:t>
      </w:r>
    </w:p>
    <w:p>
      <w:pPr>
        <w:pStyle w:val="ListBullet"/>
        <w:spacing w:after="24"/>
      </w:pPr>
      <w:r>
        <w:rPr>
          <w:rFonts w:ascii="Noto Sans" w:hAnsi="Noto Sans" w:eastAsia="Noto Sans CJK JP"/>
          <w:sz w:val="18"/>
        </w:rPr>
        <w:t>les erreurs critiques peuvent faire échouer un Can-do même si le pourcentage brut est élevé ;</w:t>
      </w:r>
    </w:p>
    <w:p>
      <w:pPr>
        <w:pStyle w:val="ListBullet"/>
        <w:spacing w:after="24"/>
      </w:pPr>
      <w:r>
        <w:rPr>
          <w:rFonts w:ascii="Noto Sans" w:hAnsi="Noto Sans" w:eastAsia="Noto Sans CJK JP"/>
          <w:sz w:val="18"/>
        </w:rPr>
        <w:t>les aides révélatrices diminuent ou annulent la valeur validante d’une tentative, sans empêcher l’apprentissage ;</w:t>
      </w:r>
    </w:p>
    <w:p>
      <w:pPr>
        <w:pStyle w:val="ListBullet"/>
        <w:spacing w:after="24"/>
      </w:pPr>
      <w:r>
        <w:rPr>
          <w:rFonts w:ascii="Noto Sans" w:hAnsi="Noto Sans" w:eastAsia="Noto Sans CJK JP"/>
          <w:sz w:val="18"/>
        </w:rPr>
        <w:t>le temps de réponse est diagnostique par défaut et non punitif ; il peut devenir un critère seulement pour une tâche explicitement liée à la fluidité ;</w:t>
      </w:r>
    </w:p>
    <w:p>
      <w:pPr>
        <w:pStyle w:val="ListBullet"/>
        <w:spacing w:after="24"/>
      </w:pPr>
      <w:r>
        <w:rPr>
          <w:rFonts w:ascii="Noto Sans" w:hAnsi="Noto Sans" w:eastAsia="Noto Sans CJK JP"/>
          <w:sz w:val="18"/>
        </w:rPr>
        <w:t>les compétences classées « reconnaissance seulement » ne doivent pas être scorées comme production active.</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Sortie de scoring</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Rôle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raw_score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Pourcentage / points de la réponse.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dimension_scores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Lecture, écoute, rappel, production, registre, etc.</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critical_failure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Booléen / liste d’erreurs empêchant la tâche.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assistance_level</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Aucune, indice, furigana, replay, réponse révélée…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validating</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Indique si la tentative peut valider un Can-do.</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confidence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Optionnel : auto-évaluation utilisateur.</w:t>
            </w:r>
          </w:p>
        </w:tc>
      </w:tr>
    </w:tbl>
    <w:p>
      <w:pPr>
        <w:spacing w:after="0"/>
      </w:pPr>
    </w:p>
    <w:p>
      <w:pPr>
        <w:pStyle w:val="Heading1"/>
        <w:keepNext w:val="1"/>
      </w:pPr>
      <w:r>
        <w:t>12. Taxonomie d’erreurs</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Code</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Exemple d’usage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ORTHOGRAPHY</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Graphie incorrecte, kana / kanji, ponctuation ciblée.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READING</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Mauvaise lecture d’un kana / kanji / mot.</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MEANING</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Sens incorrect.</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LISTENING</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Information orale mal reconnue.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PARTICLE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Particule incorrecte ou absente lorsqu’elle est nécessaire.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FORMATION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Transformation / conjugaison incorrecte.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WORD_ORDER</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Ordre incompatible avec la structure attendue.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OMISSION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Information nécessaire absente.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REGISTER</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Forme grammaticalement possible mais inadaptée au registre visé.</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PRAGMATICS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Réponse socialement ou interactionnellement inadéquate.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KANJI_CONVERSION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Mauvais candidat IME.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PRONUNCIATION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Son / durée / rythme problématique.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PROSODY</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Intonation, pauses ou focalisation inadaptées.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COMPREHENSION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Mauvaise interprétation globale d’un texte / dialogue.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ARGUMENTATION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Raison manquante, contradiction, conclusion non soutenue.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LIKELY_TYPO</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Erreur de saisie probablement mécanique, à pondérer différemment si la cible n’est pas l’orthographe.</w:t>
            </w:r>
          </w:p>
        </w:tc>
      </w:tr>
    </w:tbl>
    <w:p>
      <w:pPr>
        <w:spacing w:after="0"/>
      </w:pPr>
    </w:p>
    <w:p>
      <w:pPr>
        <w:pStyle w:val="Heading1"/>
        <w:keepNext w:val="1"/>
      </w:pPr>
      <w:r>
        <w:t>13. Feedback et remédiation</w:t>
      </w:r>
    </w:p>
    <w:p>
      <w:pPr>
        <w:pStyle w:val="ListBullet"/>
        <w:spacing w:after="24"/>
      </w:pPr>
      <w:r>
        <w:rPr>
          <w:rFonts w:ascii="Noto Sans" w:hAnsi="Noto Sans" w:eastAsia="Noto Sans CJK JP"/>
          <w:sz w:val="18"/>
        </w:rPr>
        <w:t>feedback immédiat possible pendant l’apprentissage ; feedback différé possible dans une évaluation ;</w:t>
      </w:r>
    </w:p>
    <w:p>
      <w:pPr>
        <w:pStyle w:val="ListBullet"/>
        <w:spacing w:after="24"/>
      </w:pPr>
      <w:r>
        <w:rPr>
          <w:rFonts w:ascii="Noto Sans" w:hAnsi="Noto Sans" w:eastAsia="Noto Sans CJK JP"/>
          <w:sz w:val="18"/>
        </w:rPr>
        <w:t>le feedback doit expliquer l’erreur liée à la cible, pas afficher un cours complet à chaque faute ;</w:t>
      </w:r>
    </w:p>
    <w:p>
      <w:pPr>
        <w:pStyle w:val="ListBullet"/>
        <w:spacing w:after="24"/>
      </w:pPr>
      <w:r>
        <w:rPr>
          <w:rFonts w:ascii="Noto Sans" w:hAnsi="Noto Sans" w:eastAsia="Noto Sans CJK JP"/>
          <w:sz w:val="18"/>
        </w:rPr>
        <w:t>une erreur répétée déclenche un exercice contrastif ou plus simple plutôt que la répétition infinie du même item ;</w:t>
      </w:r>
    </w:p>
    <w:p>
      <w:pPr>
        <w:pStyle w:val="ListBullet"/>
        <w:spacing w:after="24"/>
      </w:pPr>
      <w:r>
        <w:rPr>
          <w:rFonts w:ascii="Noto Sans" w:hAnsi="Noto Sans" w:eastAsia="Noto Sans CJK JP"/>
          <w:sz w:val="18"/>
        </w:rPr>
        <w:t>une erreur sur un concept peut générer une carte de SRS sans modifier l’historique de progression ;</w:t>
      </w:r>
    </w:p>
    <w:p>
      <w:pPr>
        <w:pStyle w:val="ListBullet"/>
        <w:spacing w:after="24"/>
      </w:pPr>
      <w:r>
        <w:rPr>
          <w:rFonts w:ascii="Noto Sans" w:hAnsi="Noto Sans" w:eastAsia="Noto Sans CJK JP"/>
          <w:sz w:val="18"/>
        </w:rPr>
        <w:t>les erreurs de registre et pragmatique doivent montrer le contexte social qui change l’interprétation ;</w:t>
      </w:r>
    </w:p>
    <w:p>
      <w:pPr>
        <w:pStyle w:val="ListBullet"/>
        <w:spacing w:after="24"/>
      </w:pPr>
      <w:r>
        <w:rPr>
          <w:rFonts w:ascii="Noto Sans" w:hAnsi="Noto Sans" w:eastAsia="Noto Sans CJK JP"/>
          <w:sz w:val="18"/>
        </w:rPr>
        <w:t>pour une production libre, séparer « message compréhensible », « correction grammaticale », « naturel » et « registre ».</w:t>
      </w:r>
    </w:p>
    <w:p>
      <w:pPr>
        <w:pStyle w:val="Heading1"/>
        <w:keepNext w:val="1"/>
      </w:pPr>
      <w:r>
        <w:t>14. Aides et niveau d’assistance</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Niveau</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Exemple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A0</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Aucune aide.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A1</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Répétition / replay ou rappel de consigne.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A2</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Indice non révélateur : catégorie, première information, segmentation.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A3</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Aide de lecture : furigana, romaji temporaire, traduction partielle.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A4</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Modèle partiel / choix réduit.</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A5</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Réponse ou règle directement révélée.</w:t>
            </w:r>
          </w:p>
        </w:tc>
      </w:tr>
    </w:tbl>
    <w:p>
      <w:pPr>
        <w:spacing w:after="0"/>
      </w:pPr>
    </w:p>
    <w:p>
      <w:pPr>
        <w:pStyle w:val="ListBullet"/>
        <w:spacing w:after="24"/>
      </w:pPr>
      <w:r>
        <w:rPr>
          <w:rFonts w:ascii="Noto Sans" w:hAnsi="Noto Sans" w:eastAsia="Noto Sans CJK JP"/>
          <w:sz w:val="18"/>
        </w:rPr>
        <w:t>chaque type d’exercice définit les aides autorisées ;</w:t>
      </w:r>
    </w:p>
    <w:p>
      <w:pPr>
        <w:pStyle w:val="ListBullet"/>
        <w:spacing w:after="24"/>
      </w:pPr>
      <w:r>
        <w:rPr>
          <w:rFonts w:ascii="Noto Sans" w:hAnsi="Noto Sans" w:eastAsia="Noto Sans CJK JP"/>
          <w:sz w:val="18"/>
        </w:rPr>
        <w:t>le résultat enregistre toutes les aides utilisées ;</w:t>
      </w:r>
    </w:p>
    <w:p>
      <w:pPr>
        <w:pStyle w:val="ListBullet"/>
        <w:spacing w:after="24"/>
      </w:pPr>
      <w:r>
        <w:rPr>
          <w:rFonts w:ascii="Noto Sans" w:hAnsi="Noto Sans" w:eastAsia="Noto Sans CJK JP"/>
          <w:sz w:val="18"/>
        </w:rPr>
        <w:t>une aide A5 rend généralement la tentative non validante mais reste utile pédagogiquement ;</w:t>
      </w:r>
    </w:p>
    <w:p>
      <w:pPr>
        <w:pStyle w:val="ListBullet"/>
        <w:spacing w:after="24"/>
      </w:pPr>
      <w:r>
        <w:rPr>
          <w:rFonts w:ascii="Noto Sans" w:hAnsi="Noto Sans" w:eastAsia="Noto Sans CJK JP"/>
          <w:sz w:val="18"/>
        </w:rPr>
        <w:t>les aides doivent diminuer avec l’avancement : romaji puis segmentation puis traduction ;</w:t>
      </w:r>
    </w:p>
    <w:p>
      <w:pPr>
        <w:pStyle w:val="ListBullet"/>
        <w:spacing w:after="24"/>
      </w:pPr>
      <w:r>
        <w:rPr>
          <w:rFonts w:ascii="Noto Sans" w:hAnsi="Noto Sans" w:eastAsia="Noto Sans CJK JP"/>
          <w:sz w:val="18"/>
        </w:rPr>
        <w:t>un réglage d’accessibilité peut autoriser une aide supplémentaire, mais le moteur doit distinguer assistance pédagogique et adaptation d’accessibilité.</w:t>
      </w:r>
    </w:p>
    <w:p>
      <w:pPr>
        <w:pStyle w:val="Heading1"/>
        <w:keepNext w:val="1"/>
      </w:pPr>
      <w:r>
        <w:t>15. Randomisation, seed et anti-répétition</w:t>
      </w:r>
    </w:p>
    <w:p>
      <w:pPr>
        <w:pStyle w:val="ListBullet"/>
        <w:spacing w:after="24"/>
      </w:pPr>
      <w:r>
        <w:rPr>
          <w:rFonts w:ascii="Noto Sans" w:hAnsi="Noto Sans" w:eastAsia="Noto Sans CJK JP"/>
          <w:sz w:val="18"/>
        </w:rPr>
        <w:t>toute génération aléatoire doit pouvoir être reproduite avec un seed ;</w:t>
      </w:r>
    </w:p>
    <w:p>
      <w:pPr>
        <w:pStyle w:val="ListBullet"/>
        <w:spacing w:after="24"/>
      </w:pPr>
      <w:r>
        <w:rPr>
          <w:rFonts w:ascii="Noto Sans" w:hAnsi="Noto Sans" w:eastAsia="Noto Sans CJK JP"/>
          <w:sz w:val="18"/>
        </w:rPr>
        <w:t>la reprise d’une tentative retrouve le même ordre et les mêmes distracteurs ;</w:t>
      </w:r>
    </w:p>
    <w:p>
      <w:pPr>
        <w:pStyle w:val="ListBullet"/>
        <w:spacing w:after="24"/>
      </w:pPr>
      <w:r>
        <w:rPr>
          <w:rFonts w:ascii="Noto Sans" w:hAnsi="Noto Sans" w:eastAsia="Noto Sans CJK JP"/>
          <w:sz w:val="18"/>
        </w:rPr>
        <w:t>une nouvelle tentative de validation doit utiliser un seed différent ;</w:t>
      </w:r>
    </w:p>
    <w:p>
      <w:pPr>
        <w:pStyle w:val="ListBullet"/>
        <w:spacing w:after="24"/>
      </w:pPr>
      <w:r>
        <w:rPr>
          <w:rFonts w:ascii="Noto Sans" w:hAnsi="Noto Sans" w:eastAsia="Noto Sans CJK JP"/>
          <w:sz w:val="18"/>
        </w:rPr>
        <w:t>les pools peuvent imposer des quotas par famille, difficulté, script, compétence ou confusion ;</w:t>
      </w:r>
    </w:p>
    <w:p>
      <w:pPr>
        <w:pStyle w:val="ListBullet"/>
        <w:spacing w:after="24"/>
      </w:pPr>
      <w:r>
        <w:rPr>
          <w:rFonts w:ascii="Noto Sans" w:hAnsi="Noto Sans" w:eastAsia="Noto Sans CJK JP"/>
          <w:sz w:val="18"/>
        </w:rPr>
        <w:t>aucune instance ne doit contenir deux réponses visuellement identiques après normalisation ;</w:t>
      </w:r>
    </w:p>
    <w:p>
      <w:pPr>
        <w:pStyle w:val="ListBullet"/>
        <w:spacing w:after="24"/>
      </w:pPr>
      <w:r>
        <w:rPr>
          <w:rFonts w:ascii="Noto Sans" w:hAnsi="Noto Sans" w:eastAsia="Noto Sans CJK JP"/>
          <w:sz w:val="18"/>
        </w:rPr>
        <w:t>éviter de présenter plusieurs fois de suite la même cible sauf remédiation volontaire ;</w:t>
      </w:r>
    </w:p>
    <w:p>
      <w:pPr>
        <w:pStyle w:val="ListBullet"/>
        <w:spacing w:after="24"/>
      </w:pPr>
      <w:r>
        <w:rPr>
          <w:rFonts w:ascii="Noto Sans" w:hAnsi="Noto Sans" w:eastAsia="Noto Sans CJK JP"/>
          <w:sz w:val="18"/>
        </w:rPr>
        <w:t>les checkpoints et évaluations utilisent un blueprint de couverture plutôt qu’un tirage entièrement libre.</w:t>
      </w:r>
    </w:p>
    <w:p>
      <w:pPr>
        <w:pStyle w:val="Heading1"/>
        <w:keepNext w:val="1"/>
      </w:pPr>
      <w:r>
        <w:t>16. Moteur de distracteurs</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Stratégie</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Exemple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Même famille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Kana du même groupe, verbe de même type, mot du même thème.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Confusion visuelle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シ / ツ, ぬ / め, kanji proches.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Confusion sonore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durée, petit っ, lectures proches.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Erreur grammaticale plausible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mauvaise particule ou mauvaise transformation réellement fréquente.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Nuance concurrente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conditionnel / modalité / registre proche mais inadéquat au contexte.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Information du support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autre prix / heure / lieu mentionné dans l’audio pour tester l’écoute.</w:t>
            </w:r>
          </w:p>
        </w:tc>
      </w:tr>
    </w:tbl>
    <w:p>
      <w:pPr>
        <w:spacing w:after="0"/>
      </w:pPr>
    </w:p>
    <w:tbl>
      <w:tblPr>
        <w:tblW w:type="auto" w:w="0"/>
        <w:jc w:val="center"/>
        <w:tblLook w:firstColumn="1" w:firstRow="1" w:lastColumn="0" w:lastRow="0" w:noHBand="0" w:noVBand="1" w:val="04A0"/>
      </w:tblPr>
      <w:tblGrid>
        <w:gridCol w:w="10282"/>
      </w:tblGrid>
      <w:tr>
        <w:trPr>
          <w:cantSplit w:val="1"/>
        </w:trPr>
        <w:tc>
          <w:tcPr>
            <w:tcW w:type="dxa" w:w="10282"/>
            <w:shd w:fill="FFF4DE"/>
            <w:tcMar>
              <w:top w:w="95" w:type="dxa"/>
              <w:start w:w="125" w:type="dxa"/>
              <w:bottom w:w="95" w:type="dxa"/>
              <w:end w:w="125" w:type="dxa"/>
            </w:tcMar>
          </w:tcPr>
          <w:p>
            <w:pPr>
              <w:spacing w:after="40"/>
            </w:pPr>
            <w:r>
              <w:rPr>
                <w:rFonts w:ascii="Noto Sans" w:hAnsi="Noto Sans" w:eastAsia="Noto Sans CJK JP"/>
                <w:b/>
                <w:sz w:val="19"/>
              </w:rPr>
              <w:t>Interdiction</w:t>
            </w:r>
          </w:p>
          <w:p>
            <w:pPr>
              <w:spacing w:after="0"/>
            </w:pPr>
            <w:r>
              <w:rPr>
                <w:rFonts w:ascii="Noto Sans" w:hAnsi="Noto Sans" w:eastAsia="Noto Sans CJK JP"/>
                <w:sz w:val="18"/>
              </w:rPr>
              <w:t>Un distracteur ne doit jamais être faux pour une raison que l’utilisateur n’a pas encore les moyens de comprendre. Le moteur doit privilégier des erreurs plausibles et pédagogiquement diagnostiques.</w:t>
            </w:r>
          </w:p>
        </w:tc>
      </w:tr>
    </w:tbl>
    <w:p>
      <w:pPr>
        <w:spacing w:after="0"/>
      </w:pPr>
    </w:p>
    <w:p>
      <w:pPr>
        <w:pStyle w:val="Heading1"/>
        <w:keepNext w:val="1"/>
      </w:pPr>
      <w:r>
        <w:t>17. Catalogue des types — Niveau A : déterministes fondamentaux</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val="1"/>
        </w:trPr>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type_code</w:t>
            </w:r>
          </w:p>
        </w:tc>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Étape</w:t>
            </w:r>
          </w:p>
        </w:tc>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Exemples</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CHOICE_SINGLE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Choisir une réponse unique.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0+</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Kana → son, mot → sens, choix d’une particule.</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CHOICE_MULTI</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Choisir plusieurs réponses.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1+</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Repérer plusieurs informations / propriétés.</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MATCH_PAIRS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Associer éléments deux à deux.</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0+</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Kana ↔ lecture, mot ↔ sens.</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ORDER_ITEMS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Remettre éléments dans un ordre.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1+</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Phrase, chronologie, étapes d’une action.</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CLASSIFY</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Classer des éléments.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0+</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Hiragana / katakana, actif / passif, registre.</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COMPOSE_TOKENS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Assembler une forme à partir de composants.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0+</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き + ゃ → きゃ ; morphologie.</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VISUAL_DISCRIMINATION</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Distinguer formes proches.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0+</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シ / ツ, kanji proches.</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AUDIO_DISCRIMINATION</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Distinguer sons / durées.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0+</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court / long, っ.</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AUDIO_CHOICE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Écouter puis choisir.</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0+</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Son → kana, phrase → information.</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TEXT_INPUT_SHORT</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Saisie courte contrôlée.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0+</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Kana, vocabulaire, forme verbale.</w:t>
            </w:r>
          </w:p>
        </w:tc>
      </w:tr>
    </w:tbl>
    <w:p>
      <w:pPr>
        <w:spacing w:after="0"/>
      </w:pPr>
    </w:p>
    <w:p>
      <w:pPr>
        <w:pStyle w:val="Heading1"/>
        <w:keepNext w:val="1"/>
      </w:pPr>
      <w:r>
        <w:t>18. Catalogue des types — Niveau B : construction et langue structurée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val="1"/>
        </w:trPr>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type_code</w:t>
            </w:r>
          </w:p>
        </w:tc>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Étape</w:t>
            </w:r>
          </w:p>
        </w:tc>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Exemples</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FILL_SLOT</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Compléter un blanc unique.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1+</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は, です, particule, terminaison.</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FILL_MULTI_SLOT</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Compléter plusieurs slots.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2+</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Phrase contrôlée / texte court.</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SENTENCE_BUILD</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Construire une phrase avec blocs.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1+</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Premières phrases puis ordre plus libre.</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TRANSFORM_FORM</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Transformer une forme donnée.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2–5</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ます→ない, dictionnaire→て, passif…</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PARADIGM_TABLE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Compléter / comparer plusieurs formes liées.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3+</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Famille verbale, adjectifs.</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CONTEXT_CHOICE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Choisir forme / mot selon contexte.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2+</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Particule, conditionnel, modalité.</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ERROR_DETECT</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Identifier une erreur.</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2+</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Particule, conjugaison, registre.</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ERROR_CORRECT</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Corriger une phrase / segment.</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3+</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Production contrôlée.</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DICTATION</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Audio → saisie.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2+</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Mot, phrase, extrait court.</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IME_CONVERSION</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Kana → sélectionner la graphie attendue.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1+</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Premiers kanji et homophones.</w:t>
            </w:r>
          </w:p>
        </w:tc>
      </w:tr>
    </w:tbl>
    <w:p>
      <w:pPr>
        <w:spacing w:after="0"/>
      </w:pPr>
    </w:p>
    <w:p>
      <w:pPr>
        <w:pStyle w:val="Heading1"/>
        <w:keepNext w:val="1"/>
      </w:pPr>
      <w:r>
        <w:t>19. Catalogue des types — Niveau C : compréhension et interaction</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val="1"/>
        </w:trPr>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type_code</w:t>
            </w:r>
          </w:p>
        </w:tc>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Étape</w:t>
            </w:r>
          </w:p>
        </w:tc>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Exemples</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READING_QA</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Lire puis répondre à une ou plusieurs questions.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1+</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Mini-dialogue → article.</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LISTENING_QA</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Écouter puis extraire des informations.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1+</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Heure / lieu → reportage.</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INFO_EXTRACTION</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Sélectionner / saisir les informations demandées.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2+</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Horaires, personnes, raisons.</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DIALOGUE_CONTROLLED</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Dialogue multi-tours avec réponses prévues.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1+</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Présentation, invitation, service.</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DIALOGUE_BRANCHING</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Le choix modifie le tour suivant.</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4+</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Registre, conseil, désaccord.</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REACTION_CHOICE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Choisir une réaction pragmatique.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2+</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Aizuchi, excuses, refus.</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IMPLICIT_MEANING</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Identifier ce qui est sous-entendu.</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5+</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ちょっと…, ellipse, ironie simple.</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REGISTER_CHOICE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Choisir la forme socialement adaptée.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4+</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Familier / poli / keigo.</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REFERENCE_RESOLUTION</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Retrouver un sujet / référent omis.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5+</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Conversation naturelle, texte.</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SOURCE_STANCE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Identifier opinion, source, certitude ou point de vue.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5+</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らしい, reportage, article.</w:t>
            </w:r>
          </w:p>
        </w:tc>
      </w:tr>
    </w:tbl>
    <w:p>
      <w:pPr>
        <w:spacing w:after="0"/>
      </w:pPr>
    </w:p>
    <w:p>
      <w:pPr>
        <w:pStyle w:val="Heading1"/>
        <w:keepNext w:val="1"/>
      </w:pPr>
      <w:r>
        <w:t>20. Catalogue des types — Niveau D : production semi-ouverte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val="1"/>
        </w:trPr>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type_code</w:t>
            </w:r>
          </w:p>
        </w:tc>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Étape</w:t>
            </w:r>
          </w:p>
        </w:tc>
        <w:tc>
          <w:tcPr>
            <w:tcW w:type="dxa" w:w="2570"/>
            <w:vAlign w:val="center"/>
            <w:shd w:fill="DCEAF0"/>
            <w:tcMar>
              <w:top w:w="55" w:type="dxa"/>
              <w:start w:w="75" w:type="dxa"/>
              <w:bottom w:w="55" w:type="dxa"/>
              <w:end w:w="75" w:type="dxa"/>
            </w:tcMar>
          </w:tcPr>
          <w:p>
            <w:pPr>
              <w:spacing w:after="0"/>
            </w:pPr>
            <w:r>
              <w:rPr>
                <w:rFonts w:ascii="Noto Sans" w:hAnsi="Noto Sans" w:eastAsia="Noto Sans CJK JP"/>
                <w:b/>
                <w:sz w:val="15"/>
              </w:rPr>
              <w:t>Exemples</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SHORT_RESPONSE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Réponse courte avec variantes structurées.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1+</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Question → réponse naturelle.</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SEMANTIC_SLOT_RESPONSE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Production contenant des informations obligatoires.</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2+</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Dire où / quand / avec qui.</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REWRITE_REGISTER</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Réécrire selon registre.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4+</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Neutre ↔ poli ↔ professionnel.</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REWRITE_MEANING</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Reformuler sans changer l’idée.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5+</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Modalité, résumé court.</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SHORT_WRITING</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Quelques phrases libres sur cadre connu.</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3+</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Petit récit / explication.</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SUMMARY_STRUCTURED</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Résumé avec critères et longueur.</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5+</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Dialogue, article, reportage.</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ARGUMENT_STRUCTURE</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Construire thèse, raisons, exemple, objection.</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6+</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Argumentation.</w:t>
            </w:r>
          </w:p>
        </w:tc>
      </w:tr>
      <w:tr>
        <w:trPr>
          <w:cantSplit w:val="1"/>
        </w:trPr>
        <w:tc>
          <w:tcPr>
            <w:tcW w:type="dxa" w:w="2570"/>
            <w:vAlign w:val="top"/>
            <w:tcMar>
              <w:top w:w="42" w:type="dxa"/>
              <w:start w:w="65" w:type="dxa"/>
              <w:bottom w:w="42" w:type="dxa"/>
              <w:end w:w="65" w:type="dxa"/>
            </w:tcMar>
          </w:tcPr>
          <w:p>
            <w:pPr>
              <w:spacing w:after="0"/>
            </w:pPr>
            <w:r>
              <w:rPr>
                <w:rFonts w:ascii="Noto Sans" w:hAnsi="Noto Sans" w:eastAsia="Noto Sans CJK JP"/>
                <w:sz w:val="13"/>
              </w:rPr>
              <w:t>EMAIL_FORMAL</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Produire un message dans un cadre formel.</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6+</w:t>
            </w:r>
          </w:p>
        </w:tc>
        <w:tc>
          <w:tcPr>
            <w:tcW w:type="dxa" w:w="2570"/>
            <w:vAlign w:val="top"/>
            <w:tcMar>
              <w:top w:w="42" w:type="dxa"/>
              <w:start w:w="65" w:type="dxa"/>
              <w:bottom w:w="42" w:type="dxa"/>
              <w:end w:w="65" w:type="dxa"/>
            </w:tcMar>
          </w:tcPr>
          <w:p>
            <w:pPr>
              <w:spacing w:after="0"/>
            </w:pPr>
            <w:r>
              <w:rPr>
                <w:rFonts w:ascii="Noto Sans" w:hAnsi="Noto Sans" w:eastAsia="Noto Sans CJK JP"/>
                <w:sz w:val="13"/>
              </w:rPr>
              <w:t>Demande, rendez-vous, excuse.</w:t>
            </w:r>
          </w:p>
        </w:tc>
      </w:tr>
    </w:tbl>
    <w:p>
      <w:pPr>
        <w:spacing w:after="0"/>
      </w:pPr>
    </w:p>
    <w:p>
      <w:pPr>
        <w:pStyle w:val="Heading1"/>
        <w:keepNext w:val="1"/>
      </w:pPr>
      <w:r>
        <w:t>21. Catalogue des types — Niveau E : oral et prosodie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val="1"/>
        </w:trPr>
        <w:tc>
          <w:tcPr>
            <w:tcW w:type="dxa" w:w="3427"/>
            <w:vAlign w:val="center"/>
            <w:shd w:fill="DCEAF0"/>
            <w:tcMar>
              <w:top w:w="55" w:type="dxa"/>
              <w:start w:w="75" w:type="dxa"/>
              <w:bottom w:w="55" w:type="dxa"/>
              <w:end w:w="75" w:type="dxa"/>
            </w:tcMar>
          </w:tcPr>
          <w:p>
            <w:pPr>
              <w:spacing w:after="0"/>
            </w:pPr>
            <w:r>
              <w:rPr>
                <w:rFonts w:ascii="Noto Sans" w:hAnsi="Noto Sans" w:eastAsia="Noto Sans CJK JP"/>
                <w:b/>
                <w:sz w:val="15"/>
              </w:rPr>
              <w:t>type_code</w:t>
            </w:r>
          </w:p>
        </w:tc>
        <w:tc>
          <w:tcPr>
            <w:tcW w:type="dxa" w:w="3427"/>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c>
          <w:tcPr>
            <w:tcW w:type="dxa" w:w="3427"/>
            <w:vAlign w:val="center"/>
            <w:shd w:fill="DCEAF0"/>
            <w:tcMar>
              <w:top w:w="55" w:type="dxa"/>
              <w:start w:w="75" w:type="dxa"/>
              <w:bottom w:w="55" w:type="dxa"/>
              <w:end w:w="75" w:type="dxa"/>
            </w:tcMar>
          </w:tcPr>
          <w:p>
            <w:pPr>
              <w:spacing w:after="0"/>
            </w:pPr>
            <w:r>
              <w:rPr>
                <w:rFonts w:ascii="Noto Sans" w:hAnsi="Noto Sans" w:eastAsia="Noto Sans CJK JP"/>
                <w:b/>
                <w:sz w:val="15"/>
              </w:rPr>
              <w:t>Étape</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LISTEN_REPEAT</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Écouter puis répéter ; pratique non scorée ou auto-évaluée.</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0+</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RECORD_COMPARE</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Enregistrement + écoute comparative au modèle.</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0+</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SHADOWING</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Répéter en léger décalage avec audio.</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3+</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ORAL_SHORT</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Réponse orale courte.</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1+</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ORAL_SCENARIO</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Production orale contextualisée / rôle.</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4+</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4"/>
              </w:rPr>
              <w:t>PRESENTATION</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Prise de parole longue avec plan et critères.</w:t>
            </w:r>
          </w:p>
        </w:tc>
        <w:tc>
          <w:tcPr>
            <w:tcW w:type="dxa" w:w="3427"/>
            <w:vAlign w:val="top"/>
            <w:tcMar>
              <w:top w:w="42" w:type="dxa"/>
              <w:start w:w="65" w:type="dxa"/>
              <w:bottom w:w="42" w:type="dxa"/>
              <w:end w:w="65" w:type="dxa"/>
            </w:tcMar>
          </w:tcPr>
          <w:p>
            <w:pPr>
              <w:spacing w:after="0"/>
            </w:pPr>
            <w:r>
              <w:rPr>
                <w:rFonts w:ascii="Noto Sans" w:hAnsi="Noto Sans" w:eastAsia="Noto Sans CJK JP"/>
                <w:sz w:val="14"/>
              </w:rPr>
              <w:t>6+</w:t>
            </w:r>
          </w:p>
        </w:tc>
      </w:tr>
    </w:tbl>
    <w:p>
      <w:pPr>
        <w:spacing w:after="0"/>
      </w:pPr>
    </w:p>
    <w:p>
      <w:pPr>
        <w:pStyle w:val="ListBullet"/>
        <w:spacing w:after="24"/>
      </w:pPr>
      <w:r>
        <w:rPr>
          <w:rFonts w:ascii="Noto Sans" w:hAnsi="Noto Sans" w:eastAsia="Noto Sans CJK JP"/>
          <w:sz w:val="18"/>
        </w:rPr>
        <w:t>sans reconnaissance vocale, ces types servent à l’entraînement, à l’auto-évaluation et à la sauvegarde d’un enregistrement ;</w:t>
      </w:r>
    </w:p>
    <w:p>
      <w:pPr>
        <w:pStyle w:val="ListBullet"/>
        <w:spacing w:after="24"/>
      </w:pPr>
      <w:r>
        <w:rPr>
          <w:rFonts w:ascii="Noto Sans" w:hAnsi="Noto Sans" w:eastAsia="Noto Sans CJK JP"/>
          <w:sz w:val="18"/>
        </w:rPr>
        <w:t>avec reconnaissance vocale future, la transcription peut alimenter une correction C7 / C8 ;</w:t>
      </w:r>
    </w:p>
    <w:p>
      <w:pPr>
        <w:pStyle w:val="ListBullet"/>
        <w:spacing w:after="24"/>
      </w:pPr>
      <w:r>
        <w:rPr>
          <w:rFonts w:ascii="Noto Sans" w:hAnsi="Noto Sans" w:eastAsia="Noto Sans CJK JP"/>
          <w:sz w:val="18"/>
        </w:rPr>
        <w:t>la prosodie doit rester séparée de la seule exactitude textuelle : rythme, durée, pauses, focalisation et intonation peuvent avoir leurs propres critères.</w:t>
      </w:r>
    </w:p>
    <w:p>
      <w:pPr>
        <w:pStyle w:val="Heading1"/>
        <w:keepNext w:val="1"/>
      </w:pPr>
      <w:r>
        <w:t>22. Catalogue des types — Niveau F : tâches avancées et autonomie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val="1"/>
        </w:trPr>
        <w:tc>
          <w:tcPr>
            <w:tcW w:type="dxa" w:w="3427"/>
            <w:vAlign w:val="center"/>
            <w:shd w:fill="DCEAF0"/>
            <w:tcMar>
              <w:top w:w="55" w:type="dxa"/>
              <w:start w:w="75" w:type="dxa"/>
              <w:bottom w:w="55" w:type="dxa"/>
              <w:end w:w="75" w:type="dxa"/>
            </w:tcMar>
          </w:tcPr>
          <w:p>
            <w:pPr>
              <w:spacing w:after="0"/>
            </w:pPr>
            <w:r>
              <w:rPr>
                <w:rFonts w:ascii="Noto Sans" w:hAnsi="Noto Sans" w:eastAsia="Noto Sans CJK JP"/>
                <w:b/>
                <w:sz w:val="15"/>
              </w:rPr>
              <w:t>type_code</w:t>
            </w:r>
          </w:p>
        </w:tc>
        <w:tc>
          <w:tcPr>
            <w:tcW w:type="dxa" w:w="3427"/>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c>
          <w:tcPr>
            <w:tcW w:type="dxa" w:w="3427"/>
            <w:vAlign w:val="center"/>
            <w:shd w:fill="DCEAF0"/>
            <w:tcMar>
              <w:top w:w="55" w:type="dxa"/>
              <w:start w:w="75" w:type="dxa"/>
              <w:bottom w:w="55" w:type="dxa"/>
              <w:end w:w="75" w:type="dxa"/>
            </w:tcMar>
          </w:tcPr>
          <w:p>
            <w:pPr>
              <w:spacing w:after="0"/>
            </w:pPr>
            <w:r>
              <w:rPr>
                <w:rFonts w:ascii="Noto Sans" w:hAnsi="Noto Sans" w:eastAsia="Noto Sans CJK JP"/>
                <w:b/>
                <w:sz w:val="15"/>
              </w:rPr>
              <w:t>Étape</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3"/>
              </w:rPr>
              <w:t>LONG_READING_ANALYSIS</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Analyse d’un texte long : structure, thèse, ton, implicite.</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6+</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3"/>
              </w:rPr>
              <w:t>LONG_LISTENING_NOTES</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Écoute longue + prise de notes + questions.</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6+</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3"/>
              </w:rPr>
              <w:t>COMPARE_SOURCES</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Comparer plusieurs textes / audios.</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7</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3"/>
              </w:rPr>
              <w:t>CORPUS_LOOKUP</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Chercher / comparer des exemples d’usage.</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7</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3"/>
              </w:rPr>
              <w:t>DICTIONARY_TASK</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Utiliser une définition japonaise pour résoudre une tâche.</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7</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3"/>
              </w:rPr>
              <w:t>MULTI_SOURCE_SYNTHESIS</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Synthèse à partir de plusieurs supports.</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7</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3"/>
              </w:rPr>
              <w:t>ROLEPLAY_OPEN</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Interaction semi-libre ou libre.</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5+</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3"/>
              </w:rPr>
              <w:t>PROJECT</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Conteneur multi-activités, multi-sessions, avec livrables.</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7</w:t>
            </w:r>
          </w:p>
        </w:tc>
      </w:tr>
      <w:tr>
        <w:trPr>
          <w:cantSplit w:val="1"/>
        </w:trPr>
        <w:tc>
          <w:tcPr>
            <w:tcW w:type="dxa" w:w="3427"/>
            <w:vAlign w:val="top"/>
            <w:tcMar>
              <w:top w:w="42" w:type="dxa"/>
              <w:start w:w="65" w:type="dxa"/>
              <w:bottom w:w="42" w:type="dxa"/>
              <w:end w:w="65" w:type="dxa"/>
            </w:tcMar>
          </w:tcPr>
          <w:p>
            <w:pPr>
              <w:spacing w:after="0"/>
            </w:pPr>
            <w:r>
              <w:rPr>
                <w:rFonts w:ascii="Noto Sans" w:hAnsi="Noto Sans" w:eastAsia="Noto Sans CJK JP"/>
                <w:sz w:val="13"/>
              </w:rPr>
              <w:t>SELF_ASSESSMENT</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Bilan guidé et plan de progression.</w:t>
            </w:r>
          </w:p>
        </w:tc>
        <w:tc>
          <w:tcPr>
            <w:tcW w:type="dxa" w:w="3427"/>
            <w:vAlign w:val="top"/>
            <w:tcMar>
              <w:top w:w="42" w:type="dxa"/>
              <w:start w:w="65" w:type="dxa"/>
              <w:bottom w:w="42" w:type="dxa"/>
              <w:end w:w="65" w:type="dxa"/>
            </w:tcMar>
          </w:tcPr>
          <w:p>
            <w:pPr>
              <w:spacing w:after="0"/>
            </w:pPr>
            <w:r>
              <w:rPr>
                <w:rFonts w:ascii="Noto Sans" w:hAnsi="Noto Sans" w:eastAsia="Noto Sans CJK JP"/>
                <w:sz w:val="13"/>
              </w:rPr>
              <w:t>7</w:t>
            </w:r>
          </w:p>
        </w:tc>
      </w:tr>
    </w:tbl>
    <w:p>
      <w:pPr>
        <w:spacing w:after="0"/>
      </w:pPr>
    </w:p>
    <w:p>
      <w:pPr>
        <w:pStyle w:val="Heading1"/>
        <w:keepNext w:val="1"/>
      </w:pPr>
      <w:r>
        <w:t>23. Le Can-do n’est pas un simple type d’exercice</w:t>
      </w:r>
    </w:p>
    <w:p>
      <w:r>
        <w:rPr>
          <w:rFonts w:ascii="Noto Sans" w:hAnsi="Noto Sans" w:eastAsia="Noto Sans CJK JP"/>
          <w:sz w:val="18"/>
        </w:rPr>
        <w:t>Le Can-do doit être implémenté comme un orchestrateur pouvant contenir un ou plusieurs exercices. Cela évite de forcer une capacité réelle complexe dans un composant unique.</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Élément</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Contexte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Lieu, relation, rôle, objectif, informations disponibles.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Sous-tâches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1 à N exercices choisis dans le catalogue.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Critères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Informations à transmettre / comprendre, registre, précision, erreurs critiques.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Variantes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Plusieurs réponses ou chemins valides.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Aides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Politique spécifique pour tentative d’apprentissage vs tentative validante.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Résultat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Score global + sous-scores + tâche accomplie oui/non.</w:t>
            </w:r>
          </w:p>
        </w:tc>
      </w:tr>
    </w:tbl>
    <w:p>
      <w:pPr>
        <w:spacing w:after="0"/>
      </w:pPr>
    </w:p>
    <w:p>
      <w:pPr>
        <w:pStyle w:val="Heading1"/>
        <w:keepNext w:val="1"/>
      </w:pPr>
      <w:r>
        <w:t>24. Scénarios et dialogues multi-tours</w:t>
      </w:r>
    </w:p>
    <w:p>
      <w:pPr>
        <w:pStyle w:val="ListBullet"/>
        <w:spacing w:after="24"/>
      </w:pPr>
      <w:r>
        <w:rPr>
          <w:rFonts w:ascii="Noto Sans" w:hAnsi="Noto Sans" w:eastAsia="Noto Sans CJK JP"/>
          <w:sz w:val="18"/>
        </w:rPr>
        <w:t>un scénario possède un état : interlocuteur, relation, lieu, informations déjà échangées et objectif ;</w:t>
      </w:r>
    </w:p>
    <w:p>
      <w:pPr>
        <w:pStyle w:val="ListBullet"/>
        <w:spacing w:after="24"/>
      </w:pPr>
      <w:r>
        <w:rPr>
          <w:rFonts w:ascii="Noto Sans" w:hAnsi="Noto Sans" w:eastAsia="Noto Sans CJK JP"/>
          <w:sz w:val="18"/>
        </w:rPr>
        <w:t>chaque tour peut proposer un type de réponse différent : choix, court texte, audio, réaction ;</w:t>
      </w:r>
    </w:p>
    <w:p>
      <w:pPr>
        <w:pStyle w:val="ListBullet"/>
        <w:spacing w:after="24"/>
      </w:pPr>
      <w:r>
        <w:rPr>
          <w:rFonts w:ascii="Noto Sans" w:hAnsi="Noto Sans" w:eastAsia="Noto Sans CJK JP"/>
          <w:sz w:val="18"/>
        </w:rPr>
        <w:t>le moteur doit accepter plusieurs chemins vers une même réussite ;</w:t>
      </w:r>
    </w:p>
    <w:p>
      <w:pPr>
        <w:pStyle w:val="ListBullet"/>
        <w:spacing w:after="24"/>
      </w:pPr>
      <w:r>
        <w:rPr>
          <w:rFonts w:ascii="Noto Sans" w:hAnsi="Noto Sans" w:eastAsia="Noto Sans CJK JP"/>
          <w:sz w:val="18"/>
        </w:rPr>
        <w:t>les étapes 4–6 utilisent la même mécanique avec davantage de liberté et de registre ;</w:t>
      </w:r>
    </w:p>
    <w:p>
      <w:pPr>
        <w:pStyle w:val="ListBullet"/>
        <w:spacing w:after="24"/>
      </w:pPr>
      <w:r>
        <w:rPr>
          <w:rFonts w:ascii="Noto Sans" w:hAnsi="Noto Sans" w:eastAsia="Noto Sans CJK JP"/>
          <w:sz w:val="18"/>
        </w:rPr>
        <w:t>les étapes 5+ doivent pouvoir omettre des informations déjà connues et tester leur reconstruction ;</w:t>
      </w:r>
    </w:p>
    <w:p>
      <w:pPr>
        <w:pStyle w:val="ListBullet"/>
        <w:spacing w:after="24"/>
      </w:pPr>
      <w:r>
        <w:rPr>
          <w:rFonts w:ascii="Noto Sans" w:hAnsi="Noto Sans" w:eastAsia="Noto Sans CJK JP"/>
          <w:sz w:val="18"/>
        </w:rPr>
        <w:t>une branche incorrecte peut mener à un feedback / réparation plutôt qu’à une fin immédiate du scénario.</w:t>
      </w:r>
    </w:p>
    <w:p>
      <w:pPr>
        <w:pStyle w:val="Heading1"/>
        <w:keepNext w:val="1"/>
      </w:pPr>
      <w:r>
        <w:t>25. Lecture et documents longs</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Besoin</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Règle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Paragraphes identifiables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Chaque bloc possède un id pour questions, surlignage et reprise.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Furigana / glossaire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Aide activable selon niveau et cible ; utilisation enregistrée.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Vocabulaire inconnu</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Marquable comme attendu, toléré ou cible de déduction.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Annotations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Notes utilisateur optionnelles et persistantes dans une activité longue.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Questions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Globales, locales, point de vue, intention, relation logique.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Version source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Texte / traduction / droits / date doivent être traçables.</w:t>
            </w:r>
          </w:p>
        </w:tc>
      </w:tr>
    </w:tbl>
    <w:p>
      <w:pPr>
        <w:spacing w:after="0"/>
      </w:pPr>
    </w:p>
    <w:p>
      <w:pPr>
        <w:pStyle w:val="Heading1"/>
        <w:keepNext w:val="1"/>
      </w:pPr>
      <w:r>
        <w:t>26. Audio avancé</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Aspect</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Règle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Asset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Source, durée, droits, locuteurs, dialecte / registre si pertinent.</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Segments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Timecodes permettant répétition ciblée et questions locales.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Transcription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Disponible pour correction / aide, masquée pendant certains exercices.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Vitesse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Métadonnée descriptive ; ne pas ralentir automatiquement une validation sans le signaler.</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Bruit / environnement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Optionnel et explicitement configuré.</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Multi-locuteurs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Chaque locuteur identifiable pour les tâches de point de vue / interaction.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Replay</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Nombre d’écoutes configurable et enregistré.</w:t>
            </w:r>
          </w:p>
        </w:tc>
      </w:tr>
    </w:tbl>
    <w:p>
      <w:pPr>
        <w:spacing w:after="0"/>
      </w:pPr>
    </w:p>
    <w:p>
      <w:pPr>
        <w:pStyle w:val="Heading1"/>
        <w:keepNext w:val="1"/>
      </w:pPr>
      <w:r>
        <w:t>27. Production libre et évaluation assistée par IA</w:t>
      </w:r>
    </w:p>
    <w:p>
      <w:r>
        <w:rPr>
          <w:rFonts w:ascii="Noto Sans" w:hAnsi="Noto Sans" w:eastAsia="Noto Sans CJK JP"/>
          <w:sz w:val="18"/>
        </w:rPr>
        <w:t>Les étapes avancées exigent des productions que des règles exactes ne peuvent pas juger correctement. Le moteur doit donc préparer l’IA comme évaluateur à rubrique, sans lui déléguer les règles de progression.</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Règle</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Comportement</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Rubrique figée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Critères fournis au modèle : tâche accomplie, sens, grammaire, cohérence, registre, naturel, prosodie si transcript / métadonnées.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Contexte borné</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Le modèle reçoit le scénario, les notions autorisées et le niveau attendu.</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Sortie structurée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Sous-scores, erreurs citées, feedback bref, confiance de l’évaluation.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Pas de décision opaque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Le moteur conserve la rubrique et peut expliquer quels critères ont échoué.</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Seuil de confiance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Si l’évaluation est incertaine, demander une nouvelle tentative ou basculer vers une tâche structurée.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Fallback</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C7 structuré, auto-évaluation guidée ou activité non bloquante si l’IA est indisponible.</w:t>
            </w:r>
          </w:p>
        </w:tc>
      </w:tr>
    </w:tbl>
    <w:p>
      <w:pPr>
        <w:spacing w:after="0"/>
      </w:pPr>
    </w:p>
    <w:p>
      <w:pPr>
        <w:pStyle w:val="Heading1"/>
        <w:keepNext w:val="1"/>
      </w:pPr>
      <w:r>
        <w:t>28. Saisie japonaise et IME</w:t>
      </w:r>
    </w:p>
    <w:p>
      <w:pPr>
        <w:pStyle w:val="ListBullet"/>
        <w:spacing w:after="24"/>
      </w:pPr>
      <w:r>
        <w:rPr>
          <w:rFonts w:ascii="Noto Sans" w:hAnsi="Noto Sans" w:eastAsia="Noto Sans CJK JP"/>
          <w:sz w:val="18"/>
        </w:rPr>
        <w:t>la saisie brute doit être conservée avant normalisation pour diagnostiquer les erreurs ;</w:t>
      </w:r>
    </w:p>
    <w:p>
      <w:pPr>
        <w:pStyle w:val="ListBullet"/>
        <w:spacing w:after="24"/>
      </w:pPr>
      <w:r>
        <w:rPr>
          <w:rFonts w:ascii="Noto Sans" w:hAnsi="Noto Sans" w:eastAsia="Noto Sans CJK JP"/>
          <w:sz w:val="18"/>
        </w:rPr>
        <w:t>le moteur distingue « je connais le mot » de « j’ai choisi le bon kanji » ;</w:t>
      </w:r>
    </w:p>
    <w:p>
      <w:pPr>
        <w:pStyle w:val="ListBullet"/>
        <w:spacing w:after="24"/>
      </w:pPr>
      <w:r>
        <w:rPr>
          <w:rFonts w:ascii="Noto Sans" w:hAnsi="Noto Sans" w:eastAsia="Noto Sans CJK JP"/>
          <w:sz w:val="18"/>
        </w:rPr>
        <w:t>un exercice peut accepter kana et kanji ou exiger la graphie selon sa cible ;</w:t>
      </w:r>
    </w:p>
    <w:p>
      <w:pPr>
        <w:pStyle w:val="ListBullet"/>
        <w:spacing w:after="24"/>
      </w:pPr>
      <w:r>
        <w:rPr>
          <w:rFonts w:ascii="Noto Sans" w:hAnsi="Noto Sans" w:eastAsia="Noto Sans CJK JP"/>
          <w:sz w:val="18"/>
        </w:rPr>
        <w:t>les candidats homophones peuvent être utilisés comme distracteurs dans IME_CONVERSION ;</w:t>
      </w:r>
    </w:p>
    <w:p>
      <w:pPr>
        <w:pStyle w:val="ListBullet"/>
        <w:spacing w:after="24"/>
      </w:pPr>
      <w:r>
        <w:rPr>
          <w:rFonts w:ascii="Noto Sans" w:hAnsi="Noto Sans" w:eastAsia="Noto Sans CJK JP"/>
          <w:sz w:val="18"/>
        </w:rPr>
        <w:t>les espaces pédagogiques ne doivent pas être automatiquement ajoutés à une réponse japonaise normale ;</w:t>
      </w:r>
    </w:p>
    <w:p>
      <w:pPr>
        <w:pStyle w:val="ListBullet"/>
        <w:spacing w:after="24"/>
      </w:pPr>
      <w:r>
        <w:rPr>
          <w:rFonts w:ascii="Noto Sans" w:hAnsi="Noto Sans" w:eastAsia="Noto Sans CJK JP"/>
          <w:sz w:val="18"/>
        </w:rPr>
        <w:t>les erreurs de ponctuation sont pondérées selon que la mission cible ou non l’écriture formelle.</w:t>
      </w:r>
    </w:p>
    <w:p>
      <w:pPr>
        <w:pStyle w:val="Heading1"/>
        <w:keepNext w:val="1"/>
      </w:pPr>
      <w:r>
        <w:t>29. Signaux envoyés à la maîtrise et au SRS</w:t>
      </w:r>
    </w:p>
    <w:p>
      <w:r>
        <w:rPr>
          <w:rFonts w:ascii="Noto Sans" w:hAnsi="Noto Sans" w:eastAsia="Noto Sans CJK JP"/>
          <w:sz w:val="18"/>
        </w:rPr>
        <w:t>Le moteur d’exercices ne doit pas contenir l’algorithme SRS lui-même. Il émet des signaux normalisés ; le futur service de maîtrise décide ensuite de la stabilité et de la prochaine révision.</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Signal</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Rôle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concept_id</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Notion concernée.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dimension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Lecture, sens, écoute, rappel, production, saisie, registre…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quality</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Valeur normalisée de réussite / qualité.</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source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Mission, checkpoint, révision, Mode libre, Can-do.</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difficulty</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Difficulté de l’instance.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assistance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Aides utilisées.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response_time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Diagnostic, pas forcément score.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error_codes[]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Erreurs détectées.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contextualized</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La notion a-t-elle été choisie en contexte ou seulement reconnue ?</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timestamp</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Moment de la tentative.</w:t>
            </w:r>
          </w:p>
        </w:tc>
      </w:tr>
    </w:tbl>
    <w:p>
      <w:pPr>
        <w:spacing w:after="0"/>
      </w:pPr>
    </w:p>
    <w:p>
      <w:pPr>
        <w:pStyle w:val="Heading1"/>
        <w:keepNext w:val="1"/>
      </w:pPr>
      <w:r>
        <w:t>30. Sauvegarde et reprise</w:t>
      </w:r>
    </w:p>
    <w:p>
      <w:pPr>
        <w:pStyle w:val="ListBullet"/>
        <w:spacing w:after="24"/>
      </w:pPr>
      <w:r>
        <w:rPr>
          <w:rFonts w:ascii="Noto Sans" w:hAnsi="Noto Sans" w:eastAsia="Noto Sans CJK JP"/>
          <w:sz w:val="18"/>
        </w:rPr>
        <w:t>les réponses soumises sont persistées immédiatement ;</w:t>
      </w:r>
    </w:p>
    <w:p>
      <w:pPr>
        <w:pStyle w:val="ListBullet"/>
        <w:spacing w:after="24"/>
      </w:pPr>
      <w:r>
        <w:rPr>
          <w:rFonts w:ascii="Noto Sans" w:hAnsi="Noto Sans" w:eastAsia="Noto Sans CJK JP"/>
          <w:sz w:val="18"/>
        </w:rPr>
        <w:t>les brouillons longs peuvent être autosauvegardés sans être scorés ;</w:t>
      </w:r>
    </w:p>
    <w:p>
      <w:pPr>
        <w:pStyle w:val="ListBullet"/>
        <w:spacing w:after="24"/>
      </w:pPr>
      <w:r>
        <w:rPr>
          <w:rFonts w:ascii="Noto Sans" w:hAnsi="Noto Sans" w:eastAsia="Noto Sans CJK JP"/>
          <w:sz w:val="18"/>
        </w:rPr>
        <w:t>le seed et la version du template restent attachés à la tentative ;</w:t>
      </w:r>
    </w:p>
    <w:p>
      <w:pPr>
        <w:pStyle w:val="ListBullet"/>
        <w:spacing w:after="24"/>
      </w:pPr>
      <w:r>
        <w:rPr>
          <w:rFonts w:ascii="Noto Sans" w:hAnsi="Noto Sans" w:eastAsia="Noto Sans CJK JP"/>
          <w:sz w:val="18"/>
        </w:rPr>
        <w:t>un Can-do multi-parties sauvegarde les sous-parties déjà terminées selon sa politique ;</w:t>
      </w:r>
    </w:p>
    <w:p>
      <w:pPr>
        <w:pStyle w:val="ListBullet"/>
        <w:spacing w:after="24"/>
      </w:pPr>
      <w:r>
        <w:rPr>
          <w:rFonts w:ascii="Noto Sans" w:hAnsi="Noto Sans" w:eastAsia="Noto Sans CJK JP"/>
          <w:sz w:val="18"/>
        </w:rPr>
        <w:t>quitter une tentative validante avant soumission finale ne doit pas être traité comme un échec ;</w:t>
      </w:r>
    </w:p>
    <w:p>
      <w:pPr>
        <w:pStyle w:val="ListBullet"/>
        <w:spacing w:after="24"/>
      </w:pPr>
      <w:r>
        <w:rPr>
          <w:rFonts w:ascii="Noto Sans" w:hAnsi="Noto Sans" w:eastAsia="Noto Sans CJK JP"/>
          <w:sz w:val="18"/>
        </w:rPr>
        <w:t>à la reprise, le moteur peut injecter une micro-réactivation séparée sans modifier l’instance originale.</w:t>
      </w:r>
    </w:p>
    <w:p>
      <w:pPr>
        <w:pStyle w:val="Heading1"/>
        <w:keepNext w:val="1"/>
      </w:pPr>
      <w:r>
        <w:t>31. Checkpoints et évaluations générées par blueprint</w:t>
      </w:r>
    </w:p>
    <w:p>
      <w:r>
        <w:rPr>
          <w:rFonts w:ascii="Noto Sans" w:hAnsi="Noto Sans" w:eastAsia="Noto Sans CJK JP"/>
          <w:sz w:val="18"/>
        </w:rPr>
        <w:t>Une évaluation n’est pas une liste manuelle de questions figées. Elle peut être définie par un blueprint qui impose des quotas de couverture.</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Champ blueprint</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Usage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pool</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Concepts / templates éligibles.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quota_by_dimension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Ex. 30 % écoute, 30 % lecture, 20 % rappel, 20 % discrimination.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quota_by_family</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Ex. représenter tous les groupes de kana ou toutes les familles grammaticales.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difficulty_mix</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Répartition contrôlée.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critical_targets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Concepts devant obligatoirement apparaître.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exclusion_recent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Éviter les items vus juste avant si l’objectif est une évaluation différée.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block_structure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Séparer lecture, écoute, production… et sauvegarder chaque bloc.</w:t>
            </w:r>
          </w:p>
        </w:tc>
      </w:tr>
    </w:tbl>
    <w:p>
      <w:pPr>
        <w:spacing w:after="0"/>
      </w:pPr>
    </w:p>
    <w:p>
      <w:pPr>
        <w:pStyle w:val="Heading1"/>
        <w:keepNext w:val="1"/>
      </w:pPr>
      <w:r>
        <w:t>32. Mapping des familles d’exercices par étape</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Étape</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Familles dominantes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0</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CHOICE_SINGLE, MATCH_PAIRS, COMPOSE_TOKENS, VISUAL/AUDIO_DISCRIMINATION, AUDIO_CHOICE, TEXT_INPUT_SHORT.</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1</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Ajout SENTENCE_BUILD, FILL_SLOT, SHORT_RESPONSE, IME_CONVERSION, DIALOGUE_CONTROLLED, READING/LISTENING_QA.</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2</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Ajout CONTEXT_CHOICE, INFO_EXTRACTION, DICTATION, FILL_MULTI_SLOT, premières transformations simples.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3</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TRANSFORM_FORM, PARADIGM_TABLE, ERROR_CORRECT, SHORT_WRITING, récits contrôlés.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4</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DIALOGUE_BRANCHING, REGISTER_CHOICE, SEMANTIC_SLOT_RESPONSE, choix de nuance en scénario.</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5</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IMPLICIT_MEANING, REFERENCE_RESOLUTION, SOURCE_STANCE, ROLEPLAY_OPEN, SUMMARY_STRUCTURED.</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6</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LONG_READING_ANALYSIS, LONG_LISTENING_NOTES, ARGUMENT_STRUCTURE, EMAIL_FORMAL, PRESENTATION.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7</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COMPARE_SOURCES, CORPUS_LOOKUP, DICTIONARY_TASK, MULTI_SOURCE_SYNTHESIS, PROJECT, SELF_ASSESSMENT.</w:t>
            </w:r>
          </w:p>
        </w:tc>
      </w:tr>
    </w:tbl>
    <w:p>
      <w:pPr>
        <w:spacing w:after="0"/>
      </w:pPr>
    </w:p>
    <w:p>
      <w:pPr>
        <w:pStyle w:val="Heading1"/>
        <w:keepNext w:val="1"/>
      </w:pPr>
      <w:r>
        <w:t>33. Priorité d’implémentation du moteur</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Phase</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Contenu</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P0 — MVP Étapes 0–1</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Contrat commun, seed, sauvegarde, scoring, aides, signaux SRS + CHOICE_SINGLE, MATCH_PAIRS, ORDER_ITEMS, CLASSIFY, COMPOSE_TOKENS, discriminations, AUDIO_CHOICE, TEXT_INPUT_SHORT, FILL_SLOT, SENTENCE_BUILD, CONTEXT_CHOICE simple, SHORT_RESPONSE, IME_CONVERSION, DIALOGUE_CONTROLLED, Can-do orchestré.</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P1 — Étapes 2–3</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FILL_MULTI_SLOT, TRANSFORM_FORM, PARADIGM_TABLE, DICTATION, READING_QA, LISTENING_QA, INFO_EXTRACTION, ERROR_DETECT / CORRECT, SHORT_WRITING.</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P2 — Étapes 4–5</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DIALOGUE_BRANCHING, REGISTER_CHOICE, REACTION_CHOICE, IMPLICIT_MEANING, REFERENCE_RESOLUTION, ROLEPLAY_OPEN, RECORD_COMPARE / SHADOWING.</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P3 — Étapes 6–7</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Longs documents / audios, résumés, argumentation, mails, présentations, IA rubric, corpus / dictionnaire, multi-source et projets.</w:t>
            </w:r>
          </w:p>
        </w:tc>
      </w:tr>
    </w:tbl>
    <w:p>
      <w:pPr>
        <w:spacing w:after="0"/>
      </w:pPr>
    </w:p>
    <w:tbl>
      <w:tblPr>
        <w:tblW w:type="auto" w:w="0"/>
        <w:jc w:val="center"/>
        <w:tblLook w:firstColumn="1" w:firstRow="1" w:lastColumn="0" w:lastRow="0" w:noHBand="0" w:noVBand="1" w:val="04A0"/>
      </w:tblPr>
      <w:tblGrid>
        <w:gridCol w:w="10282"/>
      </w:tblGrid>
      <w:tr>
        <w:trPr>
          <w:cantSplit w:val="1"/>
        </w:trPr>
        <w:tc>
          <w:tcPr>
            <w:tcW w:type="dxa" w:w="10282"/>
            <w:shd w:fill="EEF6EA"/>
            <w:tcMar>
              <w:top w:w="95" w:type="dxa"/>
              <w:start w:w="125" w:type="dxa"/>
              <w:bottom w:w="95" w:type="dxa"/>
              <w:end w:w="125" w:type="dxa"/>
            </w:tcMar>
          </w:tcPr>
          <w:p>
            <w:pPr>
              <w:spacing w:after="40"/>
            </w:pPr>
            <w:r>
              <w:rPr>
                <w:rFonts w:ascii="Noto Sans" w:hAnsi="Noto Sans" w:eastAsia="Noto Sans CJK JP"/>
                <w:b/>
                <w:sz w:val="19"/>
              </w:rPr>
              <w:t>Décision de développement</w:t>
            </w:r>
          </w:p>
          <w:p>
            <w:pPr>
              <w:spacing w:after="0"/>
            </w:pPr>
            <w:r>
              <w:rPr>
                <w:rFonts w:ascii="Noto Sans" w:hAnsi="Noto Sans" w:eastAsia="Noto Sans CJK JP"/>
                <w:sz w:val="18"/>
              </w:rPr>
              <w:t>Il n’est pas nécessaire d’implémenter les types P2 / P3 avant de livrer les Étapes 0–1. En revanche, le contrat de base et le modèle de données ne doivent pas empêcher leur ajout ultérieur.</w:t>
            </w:r>
          </w:p>
        </w:tc>
      </w:tr>
    </w:tbl>
    <w:p>
      <w:pPr>
        <w:spacing w:after="0"/>
      </w:pPr>
    </w:p>
    <w:p>
      <w:pPr>
        <w:pStyle w:val="Heading1"/>
        <w:keepNext w:val="1"/>
      </w:pPr>
      <w:r>
        <w:t>34. Versionnement du contenu</w:t>
      </w:r>
    </w:p>
    <w:p>
      <w:pPr>
        <w:pStyle w:val="ListBullet"/>
        <w:spacing w:after="24"/>
      </w:pPr>
      <w:r>
        <w:rPr>
          <w:rFonts w:ascii="Noto Sans" w:hAnsi="Noto Sans" w:eastAsia="Noto Sans CJK JP"/>
          <w:sz w:val="18"/>
        </w:rPr>
        <w:t>un template publié est immuable : une modification pédagogique crée une nouvelle version ;</w:t>
      </w:r>
    </w:p>
    <w:p>
      <w:pPr>
        <w:pStyle w:val="ListBullet"/>
        <w:spacing w:after="24"/>
      </w:pPr>
      <w:r>
        <w:rPr>
          <w:rFonts w:ascii="Noto Sans" w:hAnsi="Noto Sans" w:eastAsia="Noto Sans CJK JP"/>
          <w:sz w:val="18"/>
        </w:rPr>
        <w:t>une tentative référence la version exacte utilisée ;</w:t>
      </w:r>
    </w:p>
    <w:p>
      <w:pPr>
        <w:pStyle w:val="ListBullet"/>
        <w:spacing w:after="24"/>
      </w:pPr>
      <w:r>
        <w:rPr>
          <w:rFonts w:ascii="Noto Sans" w:hAnsi="Noto Sans" w:eastAsia="Noto Sans CJK JP"/>
          <w:sz w:val="18"/>
        </w:rPr>
        <w:t>les anciennes tentatives restent lisibles et ne sont pas recalculées silencieusement ;</w:t>
      </w:r>
    </w:p>
    <w:p>
      <w:pPr>
        <w:pStyle w:val="ListBullet"/>
        <w:spacing w:after="24"/>
      </w:pPr>
      <w:r>
        <w:rPr>
          <w:rFonts w:ascii="Noto Sans" w:hAnsi="Noto Sans" w:eastAsia="Noto Sans CJK JP"/>
          <w:sz w:val="18"/>
        </w:rPr>
        <w:t>un bug critique de correction peut être marqué et traité explicitement par migration / invalidation contrôlée ;</w:t>
      </w:r>
    </w:p>
    <w:p>
      <w:pPr>
        <w:pStyle w:val="ListBullet"/>
        <w:spacing w:after="24"/>
      </w:pPr>
      <w:r>
        <w:rPr>
          <w:rFonts w:ascii="Noto Sans" w:hAnsi="Noto Sans" w:eastAsia="Noto Sans CJK JP"/>
          <w:sz w:val="18"/>
        </w:rPr>
        <w:t>une mission / blueprint doit également être versionnée pour savoir quelles règles étaient actives lors d’une validation historique ;</w:t>
      </w:r>
    </w:p>
    <w:p>
      <w:pPr>
        <w:pStyle w:val="ListBullet"/>
        <w:spacing w:after="24"/>
      </w:pPr>
      <w:r>
        <w:rPr>
          <w:rFonts w:ascii="Noto Sans" w:hAnsi="Noto Sans" w:eastAsia="Noto Sans CJK JP"/>
          <w:sz w:val="18"/>
        </w:rPr>
        <w:t>les médias ont leurs propres versions / droits et ne doivent pas être remplacés silencieusement si cela change la difficulté.</w:t>
      </w:r>
    </w:p>
    <w:p>
      <w:pPr>
        <w:pStyle w:val="Heading1"/>
        <w:keepNext w:val="1"/>
      </w:pPr>
      <w:r>
        <w:t>35. Traçabilité des médias et droits</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Métadonnée</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Rôle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source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Origine du fichier / production interne.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license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Licence / autorisation.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attribution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Texte à afficher si nécessaire.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speaker_release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Autorisation du locuteur si production interne.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language_meta</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Registre, dialecte, vitesse, locuteur, qualité.</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transcript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Transcription liée, versionnée.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usage_scope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Découverte, validation, commercial, téléchargement éventuel.</w:t>
            </w:r>
          </w:p>
        </w:tc>
      </w:tr>
    </w:tbl>
    <w:p>
      <w:pPr>
        <w:spacing w:after="0"/>
      </w:pPr>
    </w:p>
    <w:p>
      <w:pPr>
        <w:pStyle w:val="Heading1"/>
        <w:keepNext w:val="1"/>
      </w:pPr>
      <w:r>
        <w:t>36. Accessibilité et équité de correction</w:t>
      </w:r>
    </w:p>
    <w:p>
      <w:pPr>
        <w:pStyle w:val="ListBullet"/>
        <w:spacing w:after="24"/>
      </w:pPr>
      <w:r>
        <w:rPr>
          <w:rFonts w:ascii="Noto Sans" w:hAnsi="Noto Sans" w:eastAsia="Noto Sans CJK JP"/>
          <w:sz w:val="18"/>
        </w:rPr>
        <w:t>toutes les commandes doivent fonctionner au clavier lorsque le type d’exercice le permet ;</w:t>
      </w:r>
    </w:p>
    <w:p>
      <w:pPr>
        <w:pStyle w:val="ListBullet"/>
        <w:spacing w:after="24"/>
      </w:pPr>
      <w:r>
        <w:rPr>
          <w:rFonts w:ascii="Noto Sans" w:hAnsi="Noto Sans" w:eastAsia="Noto Sans CJK JP"/>
          <w:sz w:val="18"/>
        </w:rPr>
        <w:t>ne jamais coder une distinction uniquement par couleur ;</w:t>
      </w:r>
    </w:p>
    <w:p>
      <w:pPr>
        <w:pStyle w:val="ListBullet"/>
        <w:spacing w:after="24"/>
      </w:pPr>
      <w:r>
        <w:rPr>
          <w:rFonts w:ascii="Noto Sans" w:hAnsi="Noto Sans" w:eastAsia="Noto Sans CJK JP"/>
          <w:sz w:val="18"/>
        </w:rPr>
        <w:t>les éléments audio possèdent des contrôles accessibles, mais une transcription révélée pendant un test d’écoute doit être enregistrée comme aide ;</w:t>
      </w:r>
    </w:p>
    <w:p>
      <w:pPr>
        <w:pStyle w:val="ListBullet"/>
        <w:spacing w:after="24"/>
      </w:pPr>
      <w:r>
        <w:rPr>
          <w:rFonts w:ascii="Noto Sans" w:hAnsi="Noto Sans" w:eastAsia="Noto Sans CJK JP"/>
          <w:sz w:val="18"/>
        </w:rPr>
        <w:t>les tailles de police et furigana doivent rester lisibles ;</w:t>
      </w:r>
    </w:p>
    <w:p>
      <w:pPr>
        <w:pStyle w:val="ListBullet"/>
        <w:spacing w:after="24"/>
      </w:pPr>
      <w:r>
        <w:rPr>
          <w:rFonts w:ascii="Noto Sans" w:hAnsi="Noto Sans" w:eastAsia="Noto Sans CJK JP"/>
          <w:sz w:val="18"/>
        </w:rPr>
        <w:t>un utilisateur peut avoir besoin de plus de temps sans être pénalisé si la vitesse n’est pas la compétence évaluée ;</w:t>
      </w:r>
    </w:p>
    <w:p>
      <w:pPr>
        <w:pStyle w:val="ListBullet"/>
        <w:spacing w:after="24"/>
      </w:pPr>
      <w:r>
        <w:rPr>
          <w:rFonts w:ascii="Noto Sans" w:hAnsi="Noto Sans" w:eastAsia="Noto Sans CJK JP"/>
          <w:sz w:val="18"/>
        </w:rPr>
        <w:t>les adaptations d’accessibilité doivent être séparées des aides pédagogiques dans les données afin de ne pas fausser l’interprétation du score.</w:t>
      </w:r>
    </w:p>
    <w:p>
      <w:pPr>
        <w:pStyle w:val="Heading1"/>
        <w:keepNext w:val="1"/>
      </w:pPr>
      <w:r>
        <w:t>37. Analytics utiles au produit et à la pédagogie</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Événement</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Usage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exercise_started / completed</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Taux d’abandon, durée réelle.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answer_submitted</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Performance par type et difficulté.</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hint_used</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Aides réellement nécessaires.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retry_started</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Difficulté / frustration.</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error_code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Confusions récurrentes par contenu.</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resume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Fréquence des missions interrompues.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can_do_passed</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Réussite fonctionnelle.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mastery_signal</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Équilibre lecture / écoute / production.</w:t>
            </w:r>
          </w:p>
        </w:tc>
      </w:tr>
    </w:tbl>
    <w:p>
      <w:pPr>
        <w:spacing w:after="0"/>
      </w:pPr>
    </w:p>
    <w:p>
      <w:pPr>
        <w:pStyle w:val="ListBullet"/>
        <w:spacing w:after="24"/>
      </w:pPr>
      <w:r>
        <w:rPr>
          <w:rFonts w:ascii="Noto Sans" w:hAnsi="Noto Sans" w:eastAsia="Noto Sans CJK JP"/>
          <w:sz w:val="18"/>
        </w:rPr>
        <w:t>Les analytics produit ne doivent pas modifier silencieusement les règles pédagogiques d’une tentative en cours.</w:t>
      </w:r>
    </w:p>
    <w:p>
      <w:pPr>
        <w:pStyle w:val="ListBullet"/>
        <w:spacing w:after="24"/>
      </w:pPr>
      <w:r>
        <w:rPr>
          <w:rFonts w:ascii="Noto Sans" w:hAnsi="Noto Sans" w:eastAsia="Noto Sans CJK JP"/>
          <w:sz w:val="18"/>
        </w:rPr>
        <w:t>Les données doivent permettre de détecter un exercice mal conçu : distracteur ambigu, taux d’échec anormal, aide systématiquement utilisée.</w:t>
      </w:r>
    </w:p>
    <w:p>
      <w:pPr>
        <w:pStyle w:val="Heading1"/>
        <w:keepNext w:val="1"/>
      </w:pPr>
      <w:r>
        <w:t>38. Contrôles de qualité automatiques avant publication</w:t>
      </w:r>
    </w:p>
    <w:p>
      <w:pPr>
        <w:pStyle w:val="ListBullet"/>
        <w:spacing w:after="24"/>
      </w:pPr>
      <w:r>
        <w:rPr>
          <w:rFonts w:ascii="Noto Sans" w:hAnsi="Noto Sans" w:eastAsia="Noto Sans CJK JP"/>
          <w:sz w:val="18"/>
        </w:rPr>
        <w:t>le template possède au moins une cible et un mode de correction ;</w:t>
      </w:r>
    </w:p>
    <w:p>
      <w:pPr>
        <w:pStyle w:val="ListBullet"/>
        <w:spacing w:after="24"/>
      </w:pPr>
      <w:r>
        <w:rPr>
          <w:rFonts w:ascii="Noto Sans" w:hAnsi="Noto Sans" w:eastAsia="Noto Sans CJK JP"/>
          <w:sz w:val="18"/>
        </w:rPr>
        <w:t>tous les assets référencés existent ;</w:t>
      </w:r>
    </w:p>
    <w:p>
      <w:pPr>
        <w:pStyle w:val="ListBullet"/>
        <w:spacing w:after="24"/>
      </w:pPr>
      <w:r>
        <w:rPr>
          <w:rFonts w:ascii="Noto Sans" w:hAnsi="Noto Sans" w:eastAsia="Noto Sans CJK JP"/>
          <w:sz w:val="18"/>
        </w:rPr>
        <w:t>les réponses correctes restent correctes après normalisation ;</w:t>
      </w:r>
    </w:p>
    <w:p>
      <w:pPr>
        <w:pStyle w:val="ListBullet"/>
        <w:spacing w:after="24"/>
      </w:pPr>
      <w:r>
        <w:rPr>
          <w:rFonts w:ascii="Noto Sans" w:hAnsi="Noto Sans" w:eastAsia="Noto Sans CJK JP"/>
          <w:sz w:val="18"/>
        </w:rPr>
        <w:t>les distracteurs sont uniques après normalisation et ne contiennent pas la bonne réponse ;</w:t>
      </w:r>
    </w:p>
    <w:p>
      <w:pPr>
        <w:pStyle w:val="ListBullet"/>
        <w:spacing w:after="24"/>
      </w:pPr>
      <w:r>
        <w:rPr>
          <w:rFonts w:ascii="Noto Sans" w:hAnsi="Noto Sans" w:eastAsia="Noto Sans CJK JP"/>
          <w:sz w:val="18"/>
        </w:rPr>
        <w:t>le nombre de choix respecte le composant UI ;</w:t>
      </w:r>
    </w:p>
    <w:p>
      <w:pPr>
        <w:pStyle w:val="ListBullet"/>
        <w:spacing w:after="24"/>
      </w:pPr>
      <w:r>
        <w:rPr>
          <w:rFonts w:ascii="Noto Sans" w:hAnsi="Noto Sans" w:eastAsia="Noto Sans CJK JP"/>
          <w:sz w:val="18"/>
        </w:rPr>
        <w:t>une instance générée peut toujours être corrigée de façon déterministe lorsque le mode l’exige ;</w:t>
      </w:r>
    </w:p>
    <w:p>
      <w:pPr>
        <w:pStyle w:val="ListBullet"/>
        <w:spacing w:after="24"/>
      </w:pPr>
      <w:r>
        <w:rPr>
          <w:rFonts w:ascii="Noto Sans" w:hAnsi="Noto Sans" w:eastAsia="Noto Sans CJK JP"/>
          <w:sz w:val="18"/>
        </w:rPr>
        <w:t>les aides révélatrices sont correctement marquées ;</w:t>
      </w:r>
    </w:p>
    <w:p>
      <w:pPr>
        <w:pStyle w:val="ListBullet"/>
        <w:spacing w:after="24"/>
      </w:pPr>
      <w:r>
        <w:rPr>
          <w:rFonts w:ascii="Noto Sans" w:hAnsi="Noto Sans" w:eastAsia="Noto Sans CJK JP"/>
          <w:sz w:val="18"/>
        </w:rPr>
        <w:t>les impacts de maîtrise ciblent des dimensions compatibles avec le concept ;</w:t>
      </w:r>
    </w:p>
    <w:p>
      <w:pPr>
        <w:pStyle w:val="ListBullet"/>
        <w:spacing w:after="24"/>
      </w:pPr>
      <w:r>
        <w:rPr>
          <w:rFonts w:ascii="Noto Sans" w:hAnsi="Noto Sans" w:eastAsia="Noto Sans CJK JP"/>
          <w:sz w:val="18"/>
        </w:rPr>
        <w:t>les notions non encore enseignées sont marquées comme contexte toléré ou exclues ;</w:t>
      </w:r>
    </w:p>
    <w:p>
      <w:pPr>
        <w:pStyle w:val="ListBullet"/>
        <w:spacing w:after="24"/>
      </w:pPr>
      <w:r>
        <w:rPr>
          <w:rFonts w:ascii="Noto Sans" w:hAnsi="Noto Sans" w:eastAsia="Noto Sans CJK JP"/>
          <w:sz w:val="18"/>
        </w:rPr>
        <w:t>les templates évaluatifs n’introduisent pas une nouvelle notion majeure surprise ;</w:t>
      </w:r>
    </w:p>
    <w:p>
      <w:pPr>
        <w:pStyle w:val="ListBullet"/>
        <w:spacing w:after="24"/>
      </w:pPr>
      <w:r>
        <w:rPr>
          <w:rFonts w:ascii="Noto Sans" w:hAnsi="Noto Sans" w:eastAsia="Noto Sans CJK JP"/>
          <w:sz w:val="18"/>
        </w:rPr>
        <w:t>les sources et droits des médias obligatoires sont renseignés.</w:t>
      </w:r>
    </w:p>
    <w:p>
      <w:pPr>
        <w:pStyle w:val="Heading1"/>
        <w:keepNext w:val="1"/>
      </w:pPr>
      <w:r>
        <w:t>39. Tests techniques d’acceptation du moteur</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val="1"/>
        </w:trPr>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Test</w:t>
            </w:r>
          </w:p>
        </w:tc>
        <w:tc>
          <w:tcPr>
            <w:tcW w:type="dxa" w:w="5141"/>
            <w:vAlign w:val="center"/>
            <w:shd w:fill="DCEAF0"/>
            <w:tcMar>
              <w:top w:w="55" w:type="dxa"/>
              <w:start w:w="75" w:type="dxa"/>
              <w:bottom w:w="55" w:type="dxa"/>
              <w:end w:w="75" w:type="dxa"/>
            </w:tcMar>
          </w:tcPr>
          <w:p>
            <w:pPr>
              <w:spacing w:after="0"/>
            </w:pPr>
            <w:r>
              <w:rPr>
                <w:rFonts w:ascii="Noto Sans" w:hAnsi="Noto Sans" w:eastAsia="Noto Sans CJK JP"/>
                <w:b/>
                <w:sz w:val="15"/>
              </w:rPr>
              <w:t>Attendu</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Reproductibilité</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Même template + version + seed → même instance.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Reprise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Quitter / rouvrir → mêmes stimuli, ordre et réponses déjà soumises.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Normalisation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Variantes autorisées acceptées ; variantes interdites rejetées.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Aides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Une réponse révélée rend correctement la tentative non validante.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Scoring</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Sous-scores et erreurs critiques produisent le résultat attendu.</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SRS</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Chaque résultat émet les bons concept_id / dimension / quality.</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Randomisation</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Nouveau seed → variante différente respectant le blueprint.</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Versionnement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Une nouvelle version n’altère pas une ancienne tentative.</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IA indisponible</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Le moteur applique le fallback prévu sans bloquer le cœur du parcours.</w:t>
            </w:r>
          </w:p>
        </w:tc>
      </w:tr>
      <w:tr>
        <w:trPr>
          <w:cantSplit w:val="1"/>
        </w:trPr>
        <w:tc>
          <w:tcPr>
            <w:tcW w:type="dxa" w:w="5141"/>
            <w:vAlign w:val="top"/>
            <w:tcMar>
              <w:top w:w="42" w:type="dxa"/>
              <w:start w:w="65" w:type="dxa"/>
              <w:bottom w:w="42" w:type="dxa"/>
              <w:end w:w="65" w:type="dxa"/>
            </w:tcMar>
          </w:tcPr>
          <w:p>
            <w:pPr>
              <w:spacing w:after="0"/>
            </w:pPr>
            <w:r>
              <w:rPr>
                <w:rFonts w:ascii="Noto Sans" w:hAnsi="Noto Sans" w:eastAsia="Noto Sans CJK JP"/>
                <w:sz w:val="14"/>
              </w:rPr>
              <w:t>Média manquant</w:t>
            </w:r>
          </w:p>
        </w:tc>
        <w:tc>
          <w:tcPr>
            <w:tcW w:type="dxa" w:w="5141"/>
            <w:vAlign w:val="top"/>
            <w:tcMar>
              <w:top w:w="42" w:type="dxa"/>
              <w:start w:w="65" w:type="dxa"/>
              <w:bottom w:w="42" w:type="dxa"/>
              <w:end w:w="65" w:type="dxa"/>
            </w:tcMar>
          </w:tcPr>
          <w:p>
            <w:pPr>
              <w:spacing w:after="0"/>
            </w:pPr>
            <w:r>
              <w:rPr>
                <w:rFonts w:ascii="Noto Sans" w:hAnsi="Noto Sans" w:eastAsia="Noto Sans CJK JP"/>
                <w:sz w:val="14"/>
              </w:rPr>
              <w:t>L’exercice n’est pas servi ou utilise un fallback explicitement autorisé.</w:t>
            </w:r>
          </w:p>
        </w:tc>
      </w:tr>
    </w:tbl>
    <w:p>
      <w:pPr>
        <w:spacing w:after="0"/>
      </w:pPr>
    </w:p>
    <w:p>
      <w:pPr>
        <w:pStyle w:val="Heading1"/>
        <w:keepNext w:val="1"/>
      </w:pPr>
      <w:r>
        <w:t>40. Ce que le catalogue ne décide pas encore</w:t>
      </w:r>
    </w:p>
    <w:p>
      <w:pPr>
        <w:pStyle w:val="ListBullet"/>
        <w:spacing w:after="24"/>
      </w:pPr>
      <w:r>
        <w:rPr>
          <w:rFonts w:ascii="Noto Sans" w:hAnsi="Noto Sans" w:eastAsia="Noto Sans CJK JP"/>
          <w:sz w:val="18"/>
        </w:rPr>
        <w:t>les tables SQL, clés étrangères et index ;</w:t>
      </w:r>
    </w:p>
    <w:p>
      <w:pPr>
        <w:pStyle w:val="ListBullet"/>
        <w:spacing w:after="24"/>
      </w:pPr>
      <w:r>
        <w:rPr>
          <w:rFonts w:ascii="Noto Sans" w:hAnsi="Noto Sans" w:eastAsia="Noto Sans CJK JP"/>
          <w:sz w:val="18"/>
        </w:rPr>
        <w:t>les classes PHP / services exacts ;</w:t>
      </w:r>
    </w:p>
    <w:p>
      <w:pPr>
        <w:pStyle w:val="ListBullet"/>
        <w:spacing w:after="24"/>
      </w:pPr>
      <w:r>
        <w:rPr>
          <w:rFonts w:ascii="Noto Sans" w:hAnsi="Noto Sans" w:eastAsia="Noto Sans CJK JP"/>
          <w:sz w:val="18"/>
        </w:rPr>
        <w:t>les endpoints REST / routes et payloads définitifs ;</w:t>
      </w:r>
    </w:p>
    <w:p>
      <w:pPr>
        <w:pStyle w:val="ListBullet"/>
        <w:spacing w:after="24"/>
      </w:pPr>
      <w:r>
        <w:rPr>
          <w:rFonts w:ascii="Noto Sans" w:hAnsi="Noto Sans" w:eastAsia="Noto Sans CJK JP"/>
          <w:sz w:val="18"/>
        </w:rPr>
        <w:t>le framework ou composant UI exact pour chaque contrôle ;</w:t>
      </w:r>
    </w:p>
    <w:p>
      <w:pPr>
        <w:pStyle w:val="ListBullet"/>
        <w:spacing w:after="24"/>
      </w:pPr>
      <w:r>
        <w:rPr>
          <w:rFonts w:ascii="Noto Sans" w:hAnsi="Noto Sans" w:eastAsia="Noto Sans CJK JP"/>
          <w:sz w:val="18"/>
        </w:rPr>
        <w:t>l’algorithme mathématique final de maîtrise / SRS ;</w:t>
      </w:r>
    </w:p>
    <w:p>
      <w:pPr>
        <w:pStyle w:val="ListBullet"/>
        <w:spacing w:after="24"/>
      </w:pPr>
      <w:r>
        <w:rPr>
          <w:rFonts w:ascii="Noto Sans" w:hAnsi="Noto Sans" w:eastAsia="Noto Sans CJK JP"/>
          <w:sz w:val="18"/>
        </w:rPr>
        <w:t>le fournisseur IA éventuel et son coût ;</w:t>
      </w:r>
    </w:p>
    <w:p>
      <w:pPr>
        <w:pStyle w:val="ListBullet"/>
        <w:spacing w:after="24"/>
      </w:pPr>
      <w:r>
        <w:rPr>
          <w:rFonts w:ascii="Noto Sans" w:hAnsi="Noto Sans" w:eastAsia="Noto Sans CJK JP"/>
          <w:sz w:val="18"/>
        </w:rPr>
        <w:t>le moteur de reconnaissance vocale ;</w:t>
      </w:r>
    </w:p>
    <w:p>
      <w:pPr>
        <w:pStyle w:val="ListBullet"/>
        <w:spacing w:after="24"/>
      </w:pPr>
      <w:r>
        <w:rPr>
          <w:rFonts w:ascii="Noto Sans" w:hAnsi="Noto Sans" w:eastAsia="Noto Sans CJK JP"/>
          <w:sz w:val="18"/>
        </w:rPr>
        <w:t>le design graphique final des activités ;</w:t>
      </w:r>
    </w:p>
    <w:p>
      <w:pPr>
        <w:pStyle w:val="ListBullet"/>
        <w:spacing w:after="24"/>
      </w:pPr>
      <w:r>
        <w:rPr>
          <w:rFonts w:ascii="Noto Sans" w:hAnsi="Noto Sans" w:eastAsia="Noto Sans CJK JP"/>
          <w:sz w:val="18"/>
        </w:rPr>
        <w:t>les listes détaillées de missions des Étapes 2 à 7.</w:t>
      </w:r>
    </w:p>
    <w:p>
      <w:pPr>
        <w:pStyle w:val="Heading1"/>
        <w:keepNext w:val="1"/>
      </w:pPr>
      <w:r>
        <w:t>41. Décisions désormais suffisamment figées pour la suite</w:t>
      </w:r>
    </w:p>
    <w:p>
      <w:r>
        <w:rPr>
          <w:rFonts w:ascii="Noto Sans" w:hAnsi="Noto Sans" w:eastAsia="Noto Sans CJK JP"/>
          <w:sz w:val="18"/>
        </w:rPr>
        <w:t>Avec ce catalogue, nous pouvons maintenant passer de la pédagogie à la conception de l’application sans coder un moteur jetable. Le système connaît les types d’entrées, les modes de correction, les résultats attendus et les extensions nécessaires jusqu’aux tâches avancées.</w:t>
      </w:r>
    </w:p>
    <w:tbl>
      <w:tblPr>
        <w:tblW w:type="auto" w:w="0"/>
        <w:jc w:val="center"/>
        <w:tblLook w:firstColumn="1" w:firstRow="1" w:lastColumn="0" w:lastRow="0" w:noHBand="0" w:noVBand="1" w:val="04A0"/>
      </w:tblPr>
      <w:tblGrid>
        <w:gridCol w:w="10282"/>
      </w:tblGrid>
      <w:tr>
        <w:trPr>
          <w:cantSplit w:val="1"/>
        </w:trPr>
        <w:tc>
          <w:tcPr>
            <w:tcW w:type="dxa" w:w="10282"/>
            <w:shd w:fill="E8F3F6"/>
            <w:tcMar>
              <w:top w:w="95" w:type="dxa"/>
              <w:start w:w="125" w:type="dxa"/>
              <w:bottom w:w="95" w:type="dxa"/>
              <w:end w:w="125" w:type="dxa"/>
            </w:tcMar>
          </w:tcPr>
          <w:p>
            <w:pPr>
              <w:spacing w:after="40"/>
            </w:pPr>
            <w:r>
              <w:rPr>
                <w:rFonts w:ascii="Noto Sans" w:hAnsi="Noto Sans" w:eastAsia="Noto Sans CJK JP"/>
                <w:b/>
                <w:sz w:val="19"/>
              </w:rPr>
              <w:t>Prochaine étape recommandée</w:t>
            </w:r>
          </w:p>
          <w:p>
            <w:pPr>
              <w:spacing w:after="0"/>
            </w:pPr>
            <w:r>
              <w:rPr>
                <w:rFonts w:ascii="Noto Sans" w:hAnsi="Noto Sans" w:eastAsia="Noto Sans CJK JP"/>
                <w:sz w:val="18"/>
              </w:rPr>
              <w:t>Créer la « Spécification fonctionnelle de l’application et des écrans » : parcours, mission, activité, révision, Mode libre, vocabulaire / kanji, statistiques et paramètres. Une fois les écrans et flux utilisateurs figés, nous pourrons construire le modèle conceptuel de données en faisant correspondre pédagogie + moteur + interface.</w:t>
            </w:r>
          </w:p>
        </w:tc>
      </w:tr>
    </w:tbl>
    <w:p>
      <w:pPr>
        <w:spacing w:after="0"/>
      </w:pPr>
    </w:p>
    <w:p>
      <w:pPr>
        <w:pStyle w:val="Heading1"/>
        <w:keepNext w:val="1"/>
      </w:pPr>
      <w:r>
        <w:t>42. Documents de référence utilisés</w:t>
      </w:r>
    </w:p>
    <w:p>
      <w:pPr>
        <w:pStyle w:val="ListBullet"/>
        <w:spacing w:after="24"/>
      </w:pPr>
      <w:r>
        <w:rPr>
          <w:rFonts w:ascii="Noto Sans" w:hAnsi="Noto Sans" w:eastAsia="Noto Sans CJK JP"/>
          <w:sz w:val="18"/>
        </w:rPr>
        <w:t>Architecture pédagogique commune des missions.</w:t>
      </w:r>
    </w:p>
    <w:p>
      <w:pPr>
        <w:pStyle w:val="ListBullet"/>
        <w:spacing w:after="24"/>
      </w:pPr>
      <w:r>
        <w:rPr>
          <w:rFonts w:ascii="Noto Sans" w:hAnsi="Noto Sans" w:eastAsia="Noto Sans CJK JP"/>
          <w:sz w:val="18"/>
        </w:rPr>
        <w:t>Spécification détaillée des missions — Étape 0.</w:t>
      </w:r>
    </w:p>
    <w:p>
      <w:pPr>
        <w:pStyle w:val="ListBullet"/>
        <w:spacing w:after="24"/>
      </w:pPr>
      <w:r>
        <w:rPr>
          <w:rFonts w:ascii="Noto Sans" w:hAnsi="Noto Sans" w:eastAsia="Noto Sans CJK JP"/>
          <w:sz w:val="18"/>
        </w:rPr>
        <w:t>Spécification détaillée des missions — Étape 1.</w:t>
      </w:r>
    </w:p>
    <w:p>
      <w:pPr>
        <w:pStyle w:val="ListBullet"/>
        <w:spacing w:after="24"/>
      </w:pPr>
      <w:r>
        <w:rPr>
          <w:rFonts w:ascii="Noto Sans" w:hAnsi="Noto Sans" w:eastAsia="Noto Sans CJK JP"/>
          <w:sz w:val="18"/>
        </w:rPr>
        <w:t>Étapes 0 à 7 corrigées, utilisées pour vérifier les besoins futurs du moteur.</w:t>
      </w:r>
    </w:p>
    <w:sectPr w:rsidR="00FC693F" w:rsidRPr="0006063C" w:rsidSect="00034616">
      <w:footerReference w:type="default" r:id="rId9"/>
      <w:headerReference w:type="default" r:id="rId10"/>
      <w:pgSz w:w="12240" w:h="15840"/>
      <w:pgMar w:top="950" w:right="979" w:bottom="950"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eastAsia="Noto Sans CJK JP"/>
        <w:color w:val="787878"/>
        <w:sz w:val="15"/>
      </w:rPr>
      <w:t>Application japonais — Catalogue technique du moteur d’exercices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CJK JP"/>
      <w:b/>
      <w:bCs/>
      <w:color w:val="19465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eastAsia="Noto Sans CJK JP"/>
      <w:b/>
      <w:bCs/>
      <w:color w:val="265A73"/>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eastAsia="Noto Sans CJK JP"/>
      <w:b/>
      <w:bCs/>
      <w:color w:val="3C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olor w:val="19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