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w:hAnsi="Noto Sans" w:eastAsia="Noto Sans CJK JP"/>
          <w:b/>
          <w:color w:val="4B5F69"/>
          <w:sz w:val="20"/>
        </w:rPr>
        <w:t>APPLICATION D’APPRENTISSAGE DU JAPONAIS</w:t>
      </w:r>
    </w:p>
    <w:p>
      <w:pPr>
        <w:pStyle w:val="Title"/>
        <w:spacing w:before="200"/>
        <w:jc w:val="center"/>
      </w:pPr>
      <w:r>
        <w:rPr>
          <w:rFonts w:ascii="Noto Sans" w:hAnsi="Noto Sans" w:eastAsia="Noto Sans CJK JP"/>
          <w:b/>
          <w:color w:val="19374B"/>
          <w:sz w:val="46"/>
        </w:rPr>
        <w:t>Spécification fonctionnelle de l’application et des écrans</w:t>
      </w:r>
    </w:p>
    <w:p>
      <w:pPr>
        <w:jc w:val="center"/>
      </w:pPr>
      <w:r>
        <w:rPr>
          <w:rFonts w:ascii="Noto Sans" w:hAnsi="Noto Sans" w:eastAsia="Noto Sans CJK JP"/>
          <w:color w:val="375564"/>
          <w:sz w:val="21"/>
        </w:rPr>
        <w:t>Parcours • Missions • Exercices • Révision • Mode libre • Vocabulaire • Kanji • Statistiques • Autonomie</w:t>
      </w:r>
    </w:p>
    <w:p/>
    <w:tbl>
      <w:tblPr>
        <w:tblW w:type="auto" w:w="0"/>
        <w:jc w:val="center"/>
        <w:tblLook w:firstColumn="1" w:firstRow="1" w:lastColumn="0" w:lastRow="0" w:noHBand="0" w:noVBand="1" w:val="04A0"/>
      </w:tblPr>
      <w:tblGrid>
        <w:gridCol w:w="10310"/>
      </w:tblGrid>
      <w:tr>
        <w:trPr>
          <w:cantSplit w:val="1"/>
        </w:trPr>
        <w:tc>
          <w:tcPr>
            <w:tcW w:type="dxa" w:w="10310"/>
            <w:shd w:fill="E8F3F6"/>
            <w:tcMar>
              <w:top w:w="95" w:type="dxa"/>
              <w:start w:w="125" w:type="dxa"/>
              <w:bottom w:w="95" w:type="dxa"/>
              <w:end w:w="125" w:type="dxa"/>
            </w:tcMar>
          </w:tcPr>
          <w:p>
            <w:pPr>
              <w:spacing w:after="40"/>
            </w:pPr>
            <w:r>
              <w:rPr>
                <w:rFonts w:ascii="Noto Sans" w:hAnsi="Noto Sans" w:eastAsia="Noto Sans CJK JP"/>
                <w:b/>
                <w:sz w:val="19"/>
              </w:rPr>
              <w:t>Rôle de ce document</w:t>
            </w:r>
          </w:p>
          <w:p>
            <w:pPr>
              <w:spacing w:after="0"/>
            </w:pPr>
            <w:r>
              <w:rPr>
                <w:rFonts w:ascii="Noto Sans" w:hAnsi="Noto Sans" w:eastAsia="Noto Sans CJK JP"/>
                <w:sz w:val="18"/>
              </w:rPr>
              <w:t>Définir ce que l’utilisateur voit, peut faire et peut reprendre dans l’application, ainsi que les responsabilités fonctionnelles de chaque écran. Cette spécification relie la pédagogie au moteur d’exercices avant la conception du modèle de données et des interfaces graphiques définitives.</w:t>
            </w:r>
          </w:p>
        </w:tc>
      </w:tr>
    </w:tbl>
    <w:p>
      <w:pPr>
        <w:spacing w:after="0"/>
      </w:pPr>
    </w:p>
    <w:p>
      <w:pPr>
        <w:jc w:val="center"/>
      </w:pPr>
      <w:r>
        <w:rPr>
          <w:rFonts w:ascii="Noto Sans" w:hAnsi="Noto Sans" w:eastAsia="Noto Sans CJK JP"/>
          <w:color w:val="5F6469"/>
          <w:sz w:val="17"/>
        </w:rPr>
        <w:t>Référence fonctionnelle — avant MCD / BDD, routes, API et maquettes visuelles finales.</w:t>
      </w:r>
    </w:p>
    <w:p>
      <w:r>
        <w:br w:type="page"/>
      </w:r>
    </w:p>
    <w:p>
      <w:pPr>
        <w:pStyle w:val="Heading1"/>
        <w:keepNext w:val="1"/>
      </w:pPr>
      <w:r>
        <w:t>1. Sources et périmètre</w:t>
      </w:r>
    </w:p>
    <w:p>
      <w:r>
        <w:rPr>
          <w:rFonts w:ascii="Noto Sans" w:hAnsi="Noto Sans" w:eastAsia="Noto Sans CJK JP"/>
          <w:sz w:val="18"/>
        </w:rPr>
        <w:t>Cette spécification applique l’architecture pédagogique commune, les spécifications détaillées des Étapes 0 et 1 et le catalogue technique du moteur d’exercices. Elle couvre le produit apprenant du premier démarrage jusqu’au Mode autonomie.</w:t>
      </w:r>
    </w:p>
    <w:p>
      <w:pPr>
        <w:pStyle w:val="ListBullet"/>
        <w:spacing w:after="24"/>
      </w:pPr>
      <w:r>
        <w:rPr>
          <w:rFonts w:ascii="Noto Sans" w:hAnsi="Noto Sans" w:eastAsia="Noto Sans CJK JP"/>
          <w:sz w:val="18"/>
        </w:rPr>
        <w:t>définir l’architecture d’information et la navigation ;</w:t>
      </w:r>
    </w:p>
    <w:p>
      <w:pPr>
        <w:pStyle w:val="ListBullet"/>
        <w:spacing w:after="24"/>
      </w:pPr>
      <w:r>
        <w:rPr>
          <w:rFonts w:ascii="Noto Sans" w:hAnsi="Noto Sans" w:eastAsia="Noto Sans CJK JP"/>
          <w:sz w:val="18"/>
        </w:rPr>
        <w:t>définir les écrans du MVP Étapes 0–1 ;</w:t>
      </w:r>
    </w:p>
    <w:p>
      <w:pPr>
        <w:pStyle w:val="ListBullet"/>
        <w:spacing w:after="24"/>
      </w:pPr>
      <w:r>
        <w:rPr>
          <w:rFonts w:ascii="Noto Sans" w:hAnsi="Noto Sans" w:eastAsia="Noto Sans CJK JP"/>
          <w:sz w:val="18"/>
        </w:rPr>
        <w:t>prévoir les écrans nécessaires aux Étapes 2–7 sans les développer immédiatement ;</w:t>
      </w:r>
    </w:p>
    <w:p>
      <w:pPr>
        <w:pStyle w:val="ListBullet"/>
        <w:spacing w:after="24"/>
      </w:pPr>
      <w:r>
        <w:rPr>
          <w:rFonts w:ascii="Noto Sans" w:hAnsi="Noto Sans" w:eastAsia="Noto Sans CJK JP"/>
          <w:sz w:val="18"/>
        </w:rPr>
        <w:t>définir les états : verrouillé, disponible, en cours, terminé, fragile, à réviser ;</w:t>
      </w:r>
    </w:p>
    <w:p>
      <w:pPr>
        <w:pStyle w:val="ListBullet"/>
        <w:spacing w:after="24"/>
      </w:pPr>
      <w:r>
        <w:rPr>
          <w:rFonts w:ascii="Noto Sans" w:hAnsi="Noto Sans" w:eastAsia="Noto Sans CJK JP"/>
          <w:sz w:val="18"/>
        </w:rPr>
        <w:t>définir les flux de sauvegarde, reprise, échec, remédiation et validation ;</w:t>
      </w:r>
    </w:p>
    <w:p>
      <w:pPr>
        <w:pStyle w:val="ListBullet"/>
        <w:spacing w:after="24"/>
      </w:pPr>
      <w:r>
        <w:rPr>
          <w:rFonts w:ascii="Noto Sans" w:hAnsi="Noto Sans" w:eastAsia="Noto Sans CJK JP"/>
          <w:sz w:val="18"/>
        </w:rPr>
        <w:t>définir les vues transversales vocabulaire, kanji, maîtrise et révision ;</w:t>
      </w:r>
    </w:p>
    <w:p>
      <w:pPr>
        <w:pStyle w:val="ListBullet"/>
        <w:spacing w:after="24"/>
      </w:pPr>
      <w:r>
        <w:rPr>
          <w:rFonts w:ascii="Noto Sans" w:hAnsi="Noto Sans" w:eastAsia="Noto Sans CJK JP"/>
          <w:sz w:val="18"/>
        </w:rPr>
        <w:t>prévoir les réglages d’aide, audio, saisie, accessibilité et manuscrit optionnel ;</w:t>
      </w:r>
    </w:p>
    <w:p>
      <w:pPr>
        <w:pStyle w:val="ListBullet"/>
        <w:spacing w:after="24"/>
      </w:pPr>
      <w:r>
        <w:rPr>
          <w:rFonts w:ascii="Noto Sans" w:hAnsi="Noto Sans" w:eastAsia="Noto Sans CJK JP"/>
          <w:sz w:val="18"/>
        </w:rPr>
        <w:t>prévoir les spécialisations et le Mode autonomie après l’Étape 7.</w:t>
      </w:r>
    </w:p>
    <w:tbl>
      <w:tblPr>
        <w:tblW w:type="auto" w:w="0"/>
        <w:jc w:val="center"/>
        <w:tblLook w:firstColumn="1" w:firstRow="1" w:lastColumn="0" w:lastRow="0" w:noHBand="0" w:noVBand="1" w:val="04A0"/>
      </w:tblPr>
      <w:tblGrid>
        <w:gridCol w:w="10310"/>
      </w:tblGrid>
      <w:tr>
        <w:trPr>
          <w:cantSplit w:val="1"/>
        </w:trPr>
        <w:tc>
          <w:tcPr>
            <w:tcW w:type="dxa" w:w="10310"/>
            <w:shd w:fill="FFF4DE"/>
            <w:tcMar>
              <w:top w:w="95" w:type="dxa"/>
              <w:start w:w="125" w:type="dxa"/>
              <w:bottom w:w="95" w:type="dxa"/>
              <w:end w:w="125" w:type="dxa"/>
            </w:tcMar>
          </w:tcPr>
          <w:p>
            <w:pPr>
              <w:spacing w:after="40"/>
            </w:pPr>
            <w:r>
              <w:rPr>
                <w:rFonts w:ascii="Noto Sans" w:hAnsi="Noto Sans" w:eastAsia="Noto Sans CJK JP"/>
                <w:b/>
                <w:sz w:val="19"/>
              </w:rPr>
              <w:t>Hors périmètre</w:t>
            </w:r>
          </w:p>
          <w:p>
            <w:pPr>
              <w:spacing w:after="0"/>
            </w:pPr>
            <w:r>
              <w:rPr>
                <w:rFonts w:ascii="Noto Sans" w:hAnsi="Noto Sans" w:eastAsia="Noto Sans CJK JP"/>
                <w:sz w:val="18"/>
              </w:rPr>
              <w:t>Ce document ne fixe pas encore les tables SQL, les endpoints, les classes PHP, les couleurs définitives, le branding, les illustrations, le prix premium ni la frontière exacte gratuit / premium.</w:t>
            </w:r>
          </w:p>
        </w:tc>
      </w:tr>
    </w:tbl>
    <w:p>
      <w:pPr>
        <w:spacing w:after="0"/>
      </w:pPr>
    </w:p>
    <w:p>
      <w:pPr>
        <w:pStyle w:val="Heading1"/>
        <w:keepNext w:val="1"/>
      </w:pPr>
      <w:r>
        <w:t>2. Principes UX non négociables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Principe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Conséquence fonctionnelle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Toujours savoir quoi faire ensuite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L’accueil propose une action principale claire : continuer, réviser ou reprendre.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Jamais punir l’oubli par un verrou</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Une maîtrise fragile génère une révision, pas une régression du parcours.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Montrer la capacité, pas seulement la matière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Les missions affichent leur Can-do comme objectif principal.</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Reprise réelle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Quitter une mission ne fait pas perdre les activités terminées.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Aides transparentes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Romaji, furigana, indice ou réponse révélée sont visibles et leur effet sur la validation est clair.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Progression et maîtrise séparées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L’utilisateur peut avoir terminé un chapitre tout en ayant des notions à revoir.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Pas de surcharge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L’écran d’exercice se concentre sur une seule action principale.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Mobile-first sans sacrifier desktop</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Tous les flux d’apprentissage restent complets sur écran étroit.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Accessibilité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Temps non punitif, clavier, contraste, tailles lisibles et audio contrôlable.</w:t>
            </w:r>
          </w:p>
        </w:tc>
      </w:tr>
    </w:tbl>
    <w:p>
      <w:pPr>
        <w:spacing w:after="0"/>
      </w:pPr>
    </w:p>
    <w:p>
      <w:pPr>
        <w:pStyle w:val="Heading1"/>
        <w:keepNext w:val="1"/>
      </w:pPr>
      <w:r>
        <w:t>3. Profils et rôles fonctionnels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Rôle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Droits principaux</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Visiteur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Voir présentation, créer un compte / se connecter. Aucun historique pédagogique persistant.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Apprenant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Accéder au parcours, missions, révisions, Mode libre, statistiques et réglages selon ses droits.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Apprenant avancé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Même rôle, avec Mode autonomie et spécialisations débloqués après l’Étape 7.</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Administrateur / éditeur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Besoin futur : gérer contenus, publications et médias. Back-office détaillé dans une spécification séparée.</w:t>
            </w:r>
          </w:p>
        </w:tc>
      </w:tr>
    </w:tbl>
    <w:p>
      <w:pPr>
        <w:spacing w:after="0"/>
      </w:pPr>
    </w:p>
    <w:p>
      <w:pPr>
        <w:pStyle w:val="Heading1"/>
        <w:keepNext w:val="1"/>
      </w:pPr>
      <w:r>
        <w:t>4. Architecture d’information globale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Rubrique principale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Accueil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Résumé du jour, reprendre, révisions dues, progression actuelle.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Parcours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Étapes 0–7 → chapitres → missions → évaluations.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File SRS, faiblesses, session personnalisée.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Mode libre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Entraînement choisi par l’utilisateur sur contenu déjà accessible.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Bibliothèque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Vocabulaire, kanji, expressions / notions connues.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Statistiques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Progression historique, maîtrise actuelle et branches fortes / faibles.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Autonomie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Après Étape 7 : objectifs, spécialisations, contenus personnels et recommandations.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Profil / réglages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Compte, audio, aides, saisie, accessibilité, préférences.</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EEF6EA"/>
            <w:tcMar>
              <w:top w:w="95" w:type="dxa"/>
              <w:start w:w="125" w:type="dxa"/>
              <w:bottom w:w="95" w:type="dxa"/>
              <w:end w:w="125" w:type="dxa"/>
            </w:tcMar>
          </w:tcPr>
          <w:p>
            <w:pPr>
              <w:spacing w:after="40"/>
            </w:pPr>
            <w:r>
              <w:rPr>
                <w:rFonts w:ascii="Noto Sans" w:hAnsi="Noto Sans" w:eastAsia="Noto Sans CJK JP"/>
                <w:b/>
                <w:sz w:val="19"/>
              </w:rPr>
              <w:t>Navigation principale recommandée</w:t>
            </w:r>
          </w:p>
          <w:p>
            <w:pPr>
              <w:spacing w:after="0"/>
            </w:pPr>
            <w:r>
              <w:rPr>
                <w:rFonts w:ascii="Noto Sans" w:hAnsi="Noto Sans" w:eastAsia="Noto Sans CJK JP"/>
                <w:sz w:val="18"/>
              </w:rPr>
              <w:t>Sur mobile : Accueil • Parcours • Révision • Bibliothèque • Plus. Sur desktop : navigation latérale équivalente avec accès direct à Mode libre, Statistiques et Réglages.</w:t>
            </w:r>
          </w:p>
        </w:tc>
      </w:tr>
    </w:tbl>
    <w:p>
      <w:pPr>
        <w:spacing w:after="0"/>
      </w:pPr>
    </w:p>
    <w:p>
      <w:pPr>
        <w:pStyle w:val="Heading1"/>
        <w:keepNext w:val="1"/>
      </w:pPr>
      <w:r>
        <w:t>5. États fonctionnels communs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État</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Affichage / sens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LOCKED</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Non accessible car prérequis structurel non validé.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AVAILABLE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Accessible et jamais commencée.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IN_PROGRESS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Commencée ; reprise disponible.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CAN_DO_READY</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Activités requises terminées ; Can-do disponible.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COMPLETED</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Mission historiquement validée.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FRAGILE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Mission terminée mais certaines notions sont actuellement fragiles.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REVIEW_DUE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Connaissances dues dans le système de révision.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OPTIONAL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Branche facultative : manuscrit, spécialisation, entraînement.</w:t>
            </w:r>
          </w:p>
        </w:tc>
      </w:tr>
    </w:tbl>
    <w:p>
      <w:pPr>
        <w:spacing w:after="0"/>
      </w:pPr>
    </w:p>
    <w:p>
      <w:pPr>
        <w:pStyle w:val="ListBullet"/>
        <w:spacing w:after="24"/>
      </w:pPr>
      <w:r>
        <w:rPr>
          <w:rFonts w:ascii="Noto Sans" w:hAnsi="Noto Sans" w:eastAsia="Noto Sans CJK JP"/>
          <w:sz w:val="18"/>
        </w:rPr>
        <w:t>COMPLETED et FRAGILE ne s’excluent pas : la progression reste acquise.</w:t>
      </w:r>
    </w:p>
    <w:p>
      <w:pPr>
        <w:pStyle w:val="ListBullet"/>
        <w:spacing w:after="24"/>
      </w:pPr>
      <w:r>
        <w:rPr>
          <w:rFonts w:ascii="Noto Sans" w:hAnsi="Noto Sans" w:eastAsia="Noto Sans CJK JP"/>
          <w:sz w:val="18"/>
        </w:rPr>
        <w:t>Un écran ne doit jamais afficher « mission échouée définitivement ».</w:t>
      </w:r>
    </w:p>
    <w:p>
      <w:pPr>
        <w:pStyle w:val="Heading1"/>
        <w:keepNext w:val="1"/>
      </w:pPr>
      <w:r>
        <w:t>6. Premier démarrage et onboarding</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Écran</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ONB-01 — Bienvenue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Promesse produit, langue de l’interface, démarrer.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ONB-02 — Niveau</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Débutant complet par défaut. Placement futur possible mais hors MVP.</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ONB-03 — Objectifs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voyage, conversation, anime, vie au Japon… informations de personnalisation non bloquantes.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ONB-04 — Rythme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Préférence indicative de durée / fréquence ; jamais contrainte.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ONB-05 — Aides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Romaji / furigana suivent le parcours ; l’utilisateur peut afficher certaines aides supplémentaires.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ONB-06 — Test audio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Volume, lecture audio, sortie son.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ONB-07 — Départ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Ouvrir Accueil avec Étape 0 prête.</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FFF4DE"/>
            <w:tcMar>
              <w:top w:w="95" w:type="dxa"/>
              <w:start w:w="125" w:type="dxa"/>
              <w:bottom w:w="95" w:type="dxa"/>
              <w:end w:w="125" w:type="dxa"/>
            </w:tcMar>
          </w:tcPr>
          <w:p>
            <w:pPr>
              <w:spacing w:after="40"/>
            </w:pPr>
            <w:r>
              <w:rPr>
                <w:rFonts w:ascii="Noto Sans" w:hAnsi="Noto Sans" w:eastAsia="Noto Sans CJK JP"/>
                <w:b/>
                <w:sz w:val="19"/>
              </w:rPr>
              <w:t>MVP</w:t>
            </w:r>
          </w:p>
          <w:p>
            <w:pPr>
              <w:spacing w:after="0"/>
            </w:pPr>
            <w:r>
              <w:rPr>
                <w:rFonts w:ascii="Noto Sans" w:hAnsi="Noto Sans" w:eastAsia="Noto Sans CJK JP"/>
                <w:sz w:val="18"/>
              </w:rPr>
              <w:t>L’onboarding doit rester court. Les objectifs personnels servent d’abord aux recommandations et statistiques ; ils ne doivent pas modifier arbitrairement le contenu obligatoire des Étapes 0–7.</w:t>
            </w:r>
          </w:p>
        </w:tc>
      </w:tr>
    </w:tbl>
    <w:p>
      <w:pPr>
        <w:spacing w:after="0"/>
      </w:pPr>
    </w:p>
    <w:p>
      <w:pPr>
        <w:pStyle w:val="Heading1"/>
        <w:keepNext w:val="1"/>
      </w:pPr>
      <w:r>
        <w:t>7. Authentification et compte</w:t>
      </w:r>
    </w:p>
    <w:p>
      <w:pPr>
        <w:pStyle w:val="ListBullet"/>
        <w:spacing w:after="24"/>
      </w:pPr>
      <w:r>
        <w:rPr>
          <w:rFonts w:ascii="Noto Sans" w:hAnsi="Noto Sans" w:eastAsia="Noto Sans CJK JP"/>
          <w:sz w:val="18"/>
        </w:rPr>
        <w:t>inscription par e-mail / mot de passe ;</w:t>
      </w:r>
    </w:p>
    <w:p>
      <w:pPr>
        <w:pStyle w:val="ListBullet"/>
        <w:spacing w:after="24"/>
      </w:pPr>
      <w:r>
        <w:rPr>
          <w:rFonts w:ascii="Noto Sans" w:hAnsi="Noto Sans" w:eastAsia="Noto Sans CJK JP"/>
          <w:sz w:val="18"/>
        </w:rPr>
        <w:t>connexion ;</w:t>
      </w:r>
    </w:p>
    <w:p>
      <w:pPr>
        <w:pStyle w:val="ListBullet"/>
        <w:spacing w:after="24"/>
      </w:pPr>
      <w:r>
        <w:rPr>
          <w:rFonts w:ascii="Noto Sans" w:hAnsi="Noto Sans" w:eastAsia="Noto Sans CJK JP"/>
          <w:sz w:val="18"/>
        </w:rPr>
        <w:t>déconnexion ;</w:t>
      </w:r>
    </w:p>
    <w:p>
      <w:pPr>
        <w:pStyle w:val="ListBullet"/>
        <w:spacing w:after="24"/>
      </w:pPr>
      <w:r>
        <w:rPr>
          <w:rFonts w:ascii="Noto Sans" w:hAnsi="Noto Sans" w:eastAsia="Noto Sans CJK JP"/>
          <w:sz w:val="18"/>
        </w:rPr>
        <w:t>mot de passe oublié / réinitialisation ;</w:t>
      </w:r>
    </w:p>
    <w:p>
      <w:pPr>
        <w:pStyle w:val="ListBullet"/>
        <w:spacing w:after="24"/>
      </w:pPr>
      <w:r>
        <w:rPr>
          <w:rFonts w:ascii="Noto Sans" w:hAnsi="Noto Sans" w:eastAsia="Noto Sans CJK JP"/>
          <w:sz w:val="18"/>
        </w:rPr>
        <w:t>confirmation éventuelle de l’adresse selon la politique produit ;</w:t>
      </w:r>
    </w:p>
    <w:p>
      <w:pPr>
        <w:pStyle w:val="ListBullet"/>
        <w:spacing w:after="24"/>
      </w:pPr>
      <w:r>
        <w:rPr>
          <w:rFonts w:ascii="Noto Sans" w:hAnsi="Noto Sans" w:eastAsia="Noto Sans CJK JP"/>
          <w:sz w:val="18"/>
        </w:rPr>
        <w:t>l’historique d’apprentissage appartient au compte connecté ;</w:t>
      </w:r>
    </w:p>
    <w:p>
      <w:pPr>
        <w:pStyle w:val="ListBullet"/>
        <w:spacing w:after="24"/>
      </w:pPr>
      <w:r>
        <w:rPr>
          <w:rFonts w:ascii="Noto Sans" w:hAnsi="Noto Sans" w:eastAsia="Noto Sans CJK JP"/>
          <w:sz w:val="18"/>
        </w:rPr>
        <w:t>si une session expire pendant une mission, préserver localement le brouillon / état et proposer la reconnexion avant synchronisation.</w:t>
      </w:r>
    </w:p>
    <w:p>
      <w:pPr>
        <w:pStyle w:val="Heading1"/>
        <w:keepNext w:val="1"/>
      </w:pPr>
      <w:r>
        <w:t>8. ACC-01 — Écran Accueil / Tableau de bord</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Contenu</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Action principale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Continuer la mission en cours, ou commencer la prochaine mission recommandée.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Nombre dû aujourd’hui + bouton « Réviser maintenant ».</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Progression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 et chapitre actuels, missions terminées / total.</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Maîtrise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Signal simple : domaines solides / à revoir, sans mélanger avec la progression.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Can-do récent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Dernière capacité validée.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Reprise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Si une mission / évaluation est en cours, la carte de reprise passe en premier.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Optionnel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Raccourci écriture manuscrite / Mode libre sans détourner du parcours principal.</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E8F3F6"/>
            <w:tcMar>
              <w:top w:w="95" w:type="dxa"/>
              <w:start w:w="125" w:type="dxa"/>
              <w:bottom w:w="95" w:type="dxa"/>
              <w:end w:w="125" w:type="dxa"/>
            </w:tcMar>
          </w:tcPr>
          <w:p>
            <w:pPr>
              <w:spacing w:after="40"/>
            </w:pPr>
            <w:r>
              <w:rPr>
                <w:rFonts w:ascii="Noto Sans" w:hAnsi="Noto Sans" w:eastAsia="Noto Sans CJK JP"/>
                <w:b/>
                <w:sz w:val="19"/>
              </w:rPr>
              <w:t>Hiérarchie des CTA</w:t>
            </w:r>
          </w:p>
          <w:p>
            <w:pPr>
              <w:spacing w:after="0"/>
            </w:pPr>
            <w:r>
              <w:rPr>
                <w:rFonts w:ascii="Noto Sans" w:hAnsi="Noto Sans" w:eastAsia="Noto Sans CJK JP"/>
                <w:sz w:val="18"/>
              </w:rPr>
              <w:t>1) Reprendre une activité en cours ; 2) continuer le parcours ; 3) réviser les notions dues ; 4) entraînement libre. Ne jamais afficher cinq actions de même importance visuelle.</w:t>
            </w:r>
          </w:p>
        </w:tc>
      </w:tr>
    </w:tbl>
    <w:p>
      <w:pPr>
        <w:spacing w:after="0"/>
      </w:pPr>
    </w:p>
    <w:p>
      <w:pPr>
        <w:pStyle w:val="Heading1"/>
        <w:keepNext w:val="1"/>
      </w:pPr>
      <w:r>
        <w:t>9. PAR-01 — Écran Parcours global</w:t>
      </w:r>
    </w:p>
    <w:p>
      <w:pPr>
        <w:pStyle w:val="ListBullet"/>
        <w:spacing w:after="24"/>
      </w:pPr>
      <w:r>
        <w:rPr>
          <w:rFonts w:ascii="Noto Sans" w:hAnsi="Noto Sans" w:eastAsia="Noto Sans CJK JP"/>
          <w:sz w:val="18"/>
        </w:rPr>
        <w:t>afficher les Étapes 0 à 7 dans l’ordre ;</w:t>
      </w:r>
    </w:p>
    <w:p>
      <w:pPr>
        <w:pStyle w:val="ListBullet"/>
        <w:spacing w:after="24"/>
      </w:pPr>
      <w:r>
        <w:rPr>
          <w:rFonts w:ascii="Noto Sans" w:hAnsi="Noto Sans" w:eastAsia="Noto Sans CJK JP"/>
          <w:sz w:val="18"/>
        </w:rPr>
        <w:t>chaque étape affiche objectif court, état, progression historique et éventuellement maîtrise actuelle agrégée ;</w:t>
      </w:r>
    </w:p>
    <w:p>
      <w:pPr>
        <w:pStyle w:val="ListBullet"/>
        <w:spacing w:after="24"/>
      </w:pPr>
      <w:r>
        <w:rPr>
          <w:rFonts w:ascii="Noto Sans" w:hAnsi="Noto Sans" w:eastAsia="Noto Sans CJK JP"/>
          <w:sz w:val="18"/>
        </w:rPr>
        <w:t>les étapes futures peuvent être visibles mais verrouillées afin de montrer la trajectoire ;</w:t>
      </w:r>
    </w:p>
    <w:p>
      <w:pPr>
        <w:pStyle w:val="ListBullet"/>
        <w:spacing w:after="24"/>
      </w:pPr>
      <w:r>
        <w:rPr>
          <w:rFonts w:ascii="Noto Sans" w:hAnsi="Noto Sans" w:eastAsia="Noto Sans CJK JP"/>
          <w:sz w:val="18"/>
        </w:rPr>
        <w:t>un verrou explique le prérequis manquant ;</w:t>
      </w:r>
    </w:p>
    <w:p>
      <w:pPr>
        <w:pStyle w:val="ListBullet"/>
        <w:spacing w:after="24"/>
      </w:pPr>
      <w:r>
        <w:rPr>
          <w:rFonts w:ascii="Noto Sans" w:hAnsi="Noto Sans" w:eastAsia="Noto Sans CJK JP"/>
          <w:sz w:val="18"/>
        </w:rPr>
        <w:t>un niveau fragile déjà terminé n’est jamais représenté comme verrouillé ;</w:t>
      </w:r>
    </w:p>
    <w:p>
      <w:pPr>
        <w:pStyle w:val="ListBullet"/>
        <w:spacing w:after="24"/>
      </w:pPr>
      <w:r>
        <w:rPr>
          <w:rFonts w:ascii="Noto Sans" w:hAnsi="Noto Sans" w:eastAsia="Noto Sans CJK JP"/>
          <w:sz w:val="18"/>
        </w:rPr>
        <w:t>après l’Étape 7, une carte supplémentaire ouvre le Mode autonomie plutôt qu’une hypothétique Étape 8.</w:t>
      </w:r>
    </w:p>
    <w:p>
      <w:pPr>
        <w:pStyle w:val="Heading1"/>
        <w:keepNext w:val="1"/>
      </w:pPr>
      <w:r>
        <w:t>10. PAR-02 — Détail d’une étape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En-tête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Titre, but final, progression, nombre de chapitres, dernière activité.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Carte chapitre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Titre fonctionnel, missions, checkpoint, état.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Branche transversale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Indicateurs vocabulaire / kanji / écoute… si utiles, sans créer de faux sous-parcours séparés.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Évaluation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Visible comme jalon distinct.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Optionnel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Écriture manuscrite ou modules électifs signalés clairement.</w:t>
            </w:r>
          </w:p>
        </w:tc>
      </w:tr>
    </w:tbl>
    <w:p>
      <w:pPr>
        <w:spacing w:after="0"/>
      </w:pPr>
    </w:p>
    <w:p>
      <w:pPr>
        <w:pStyle w:val="Heading1"/>
        <w:keepNext w:val="1"/>
      </w:pPr>
      <w:r>
        <w:t>11. PAR-03 — Détail d’un chapitre</w:t>
      </w:r>
    </w:p>
    <w:p>
      <w:pPr>
        <w:pStyle w:val="ListBullet"/>
        <w:spacing w:after="24"/>
      </w:pPr>
      <w:r>
        <w:rPr>
          <w:rFonts w:ascii="Noto Sans" w:hAnsi="Noto Sans" w:eastAsia="Noto Sans CJK JP"/>
          <w:sz w:val="18"/>
        </w:rPr>
        <w:t>liste des missions dans l’ordre pédagogique ;</w:t>
      </w:r>
    </w:p>
    <w:p>
      <w:pPr>
        <w:pStyle w:val="ListBullet"/>
        <w:spacing w:after="24"/>
      </w:pPr>
      <w:r>
        <w:rPr>
          <w:rFonts w:ascii="Noto Sans" w:hAnsi="Noto Sans" w:eastAsia="Noto Sans CJK JP"/>
          <w:sz w:val="18"/>
        </w:rPr>
        <w:t>chaque mission affiche son Can-do, durée indicative, état et éventuelle reprise ;</w:t>
      </w:r>
    </w:p>
    <w:p>
      <w:pPr>
        <w:pStyle w:val="ListBullet"/>
        <w:spacing w:after="24"/>
      </w:pPr>
      <w:r>
        <w:rPr>
          <w:rFonts w:ascii="Noto Sans" w:hAnsi="Noto Sans" w:eastAsia="Noto Sans CJK JP"/>
          <w:sz w:val="18"/>
        </w:rPr>
        <w:t>un checkpoint est présenté comme vérification de stabilité, pas comme nouvelle leçon ;</w:t>
      </w:r>
    </w:p>
    <w:p>
      <w:pPr>
        <w:pStyle w:val="ListBullet"/>
        <w:spacing w:after="24"/>
      </w:pPr>
      <w:r>
        <w:rPr>
          <w:rFonts w:ascii="Noto Sans" w:hAnsi="Noto Sans" w:eastAsia="Noto Sans CJK JP"/>
          <w:sz w:val="18"/>
        </w:rPr>
        <w:t>les notions fragiles peuvent déclencher un bouton « Révision conseillée avant de continuer » sans bloquer l’accès ;</w:t>
      </w:r>
    </w:p>
    <w:p>
      <w:pPr>
        <w:pStyle w:val="ListBullet"/>
        <w:spacing w:after="24"/>
      </w:pPr>
      <w:r>
        <w:rPr>
          <w:rFonts w:ascii="Noto Sans" w:hAnsi="Noto Sans" w:eastAsia="Noto Sans CJK JP"/>
          <w:sz w:val="18"/>
        </w:rPr>
        <w:t>les missions verrouillées indiquent quel jalon historique manque.</w:t>
      </w:r>
    </w:p>
    <w:p>
      <w:pPr>
        <w:pStyle w:val="Heading1"/>
        <w:keepNext w:val="1"/>
      </w:pPr>
      <w:r>
        <w:t>12. MIS-01 — Fiche mission avant démarrage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Can-do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 À la fin, je peux… » en première position.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Contexte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Pourquoi cette capacité est utile.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Durée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Estimation indicative, jamais minuteur.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Nouveautés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Petit résumé : mots, structure, audio, kanji.</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Révisions incluses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Indiquer qu’une courte réactivation sera intégrée.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Aides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Romaji / furigana / audio selon le niveau.</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CTA</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Commencer / Reprendre.</w:t>
            </w:r>
          </w:p>
        </w:tc>
      </w:tr>
    </w:tbl>
    <w:p>
      <w:pPr>
        <w:spacing w:after="0"/>
      </w:pPr>
    </w:p>
    <w:p>
      <w:pPr>
        <w:pStyle w:val="ListBullet"/>
        <w:spacing w:after="24"/>
      </w:pPr>
      <w:r>
        <w:rPr>
          <w:rFonts w:ascii="Noto Sans" w:hAnsi="Noto Sans" w:eastAsia="Noto Sans CJK JP"/>
          <w:sz w:val="18"/>
        </w:rPr>
        <w:t>Ne pas afficher une longue liste technique de grammaire comme écran principal.</w:t>
      </w:r>
    </w:p>
    <w:p>
      <w:pPr>
        <w:pStyle w:val="ListBullet"/>
        <w:spacing w:after="24"/>
      </w:pPr>
      <w:r>
        <w:rPr>
          <w:rFonts w:ascii="Noto Sans" w:hAnsi="Noto Sans" w:eastAsia="Noto Sans CJK JP"/>
          <w:sz w:val="18"/>
        </w:rPr>
        <w:t>Un utilisateur avancé peut ouvrir un panneau « Détails pédagogiques » si souhaité.</w:t>
      </w:r>
    </w:p>
    <w:p>
      <w:pPr>
        <w:pStyle w:val="Heading1"/>
        <w:keepNext w:val="1"/>
      </w:pPr>
      <w:r>
        <w:t>13. RUN-01 — Coquille commune d’une mission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Top bar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Retour contrôlé, titre court, progression dans la mission, bouton pause / quitter.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Zone centrale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Composant d’activité fourni par le moteur.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Aides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Bouton / menu discret regroupant les aides autorisées.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Audio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Contrôles à proximité du stimulus, accessibles clavier / tactile.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Action primaire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Vérifier / Continuer / Enregistrer selon l’exercice.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Feedback</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Après soumission : résultat, correction ciblée, bouton suivant.</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EEF6EA"/>
            <w:tcMar>
              <w:top w:w="95" w:type="dxa"/>
              <w:start w:w="125" w:type="dxa"/>
              <w:bottom w:w="95" w:type="dxa"/>
              <w:end w:w="125" w:type="dxa"/>
            </w:tcMar>
          </w:tcPr>
          <w:p>
            <w:pPr>
              <w:spacing w:after="40"/>
            </w:pPr>
            <w:r>
              <w:rPr>
                <w:rFonts w:ascii="Noto Sans" w:hAnsi="Noto Sans" w:eastAsia="Noto Sans CJK JP"/>
                <w:b/>
                <w:sz w:val="19"/>
              </w:rPr>
              <w:t>Quitter une mission</w:t>
            </w:r>
          </w:p>
          <w:p>
            <w:pPr>
              <w:spacing w:after="0"/>
            </w:pPr>
            <w:r>
              <w:rPr>
                <w:rFonts w:ascii="Noto Sans" w:hAnsi="Noto Sans" w:eastAsia="Noto Sans CJK JP"/>
                <w:sz w:val="18"/>
              </w:rPr>
              <w:t>Le bouton retour ne doit pas faire peur. Afficher « Votre progression est enregistrée » lorsque l’activité courante est sauvegardable. Une tentative de Can-do non soumise peut être quittée sans être comptée comme échec.</w:t>
            </w:r>
          </w:p>
        </w:tc>
      </w:tr>
    </w:tbl>
    <w:p>
      <w:pPr>
        <w:spacing w:after="0"/>
      </w:pPr>
    </w:p>
    <w:p>
      <w:pPr>
        <w:pStyle w:val="Heading1"/>
        <w:keepNext w:val="1"/>
      </w:pPr>
      <w:r>
        <w:t>14. RUN-02 — Écran d’activité / exercice</w:t>
      </w:r>
    </w:p>
    <w:p>
      <w:pPr>
        <w:pStyle w:val="ListBullet"/>
        <w:spacing w:after="24"/>
      </w:pPr>
      <w:r>
        <w:rPr>
          <w:rFonts w:ascii="Noto Sans" w:hAnsi="Noto Sans" w:eastAsia="Noto Sans CJK JP"/>
          <w:sz w:val="18"/>
        </w:rPr>
        <w:t>une seule consigne principale visible à la fois ;</w:t>
      </w:r>
    </w:p>
    <w:p>
      <w:pPr>
        <w:pStyle w:val="ListBullet"/>
        <w:spacing w:after="24"/>
      </w:pPr>
      <w:r>
        <w:rPr>
          <w:rFonts w:ascii="Noto Sans" w:hAnsi="Noto Sans" w:eastAsia="Noto Sans CJK JP"/>
          <w:sz w:val="18"/>
        </w:rPr>
        <w:t>stimulus au-dessus de la réponse : texte, audio, image, dialogue ou document ;</w:t>
      </w:r>
    </w:p>
    <w:p>
      <w:pPr>
        <w:pStyle w:val="ListBullet"/>
        <w:spacing w:after="24"/>
      </w:pPr>
      <w:r>
        <w:rPr>
          <w:rFonts w:ascii="Noto Sans" w:hAnsi="Noto Sans" w:eastAsia="Noto Sans CJK JP"/>
          <w:sz w:val="18"/>
        </w:rPr>
        <w:t>le composant de réponse dépend du type du catalogue technique ;</w:t>
      </w:r>
    </w:p>
    <w:p>
      <w:pPr>
        <w:pStyle w:val="ListBullet"/>
        <w:spacing w:after="24"/>
      </w:pPr>
      <w:r>
        <w:rPr>
          <w:rFonts w:ascii="Noto Sans" w:hAnsi="Noto Sans" w:eastAsia="Noto Sans CJK JP"/>
          <w:sz w:val="18"/>
        </w:rPr>
        <w:t>le bouton Vérifier reste inactif tant que la réponse minimale n’est pas fournie ;</w:t>
      </w:r>
    </w:p>
    <w:p>
      <w:pPr>
        <w:pStyle w:val="ListBullet"/>
        <w:spacing w:after="24"/>
      </w:pPr>
      <w:r>
        <w:rPr>
          <w:rFonts w:ascii="Noto Sans" w:hAnsi="Noto Sans" w:eastAsia="Noto Sans CJK JP"/>
          <w:sz w:val="18"/>
        </w:rPr>
        <w:t>les aides utilisées sont mémorisées ;</w:t>
      </w:r>
    </w:p>
    <w:p>
      <w:pPr>
        <w:pStyle w:val="ListBullet"/>
        <w:spacing w:after="24"/>
      </w:pPr>
      <w:r>
        <w:rPr>
          <w:rFonts w:ascii="Noto Sans" w:hAnsi="Noto Sans" w:eastAsia="Noto Sans CJK JP"/>
          <w:sz w:val="18"/>
        </w:rPr>
        <w:t>la réponse brute est conservée avant normalisation lorsque le type le nécessite ;</w:t>
      </w:r>
    </w:p>
    <w:p>
      <w:pPr>
        <w:pStyle w:val="ListBullet"/>
        <w:spacing w:after="24"/>
      </w:pPr>
      <w:r>
        <w:rPr>
          <w:rFonts w:ascii="Noto Sans" w:hAnsi="Noto Sans" w:eastAsia="Noto Sans CJK JP"/>
          <w:sz w:val="18"/>
        </w:rPr>
        <w:t>sur mobile, éviter qu’un clavier virtuel masque la consigne ou le bouton de validation.</w:t>
      </w:r>
    </w:p>
    <w:p>
      <w:pPr>
        <w:pStyle w:val="Heading1"/>
        <w:keepNext w:val="1"/>
      </w:pPr>
      <w:r>
        <w:t>15. RUN-03 — Feedback après réponse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État</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Feedback</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Correct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Confirmer brièvement, éventuellement rappeler la nuance utile.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Partiellement correct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Montrer ce qui est bon puis la correction ciblée.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Incorrect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Expliquer l’erreur liée à la cible, sans cours interminable.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Erreur critique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Expliquer pourquoi la tâche communicative n’est pas accomplie.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Réponse alternative valide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Accepter et, si utile, expliquer la différence de registre / nuance.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Aide révélatrice utilisée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Indiquer que l’activité est comprise mais que la tentative n’est pas validante.</w:t>
            </w:r>
          </w:p>
        </w:tc>
      </w:tr>
    </w:tbl>
    <w:p>
      <w:pPr>
        <w:spacing w:after="0"/>
      </w:pPr>
    </w:p>
    <w:p>
      <w:pPr>
        <w:pStyle w:val="Heading1"/>
        <w:keepNext w:val="1"/>
      </w:pPr>
      <w:r>
        <w:t>16. RUN-04 — Remédiation ciblée</w:t>
      </w:r>
    </w:p>
    <w:p>
      <w:pPr>
        <w:pStyle w:val="ListBullet"/>
        <w:spacing w:after="24"/>
      </w:pPr>
      <w:r>
        <w:rPr>
          <w:rFonts w:ascii="Noto Sans" w:hAnsi="Noto Sans" w:eastAsia="Noto Sans CJK JP"/>
          <w:sz w:val="18"/>
        </w:rPr>
        <w:t>après une erreur isolée : feedback puis continuer ;</w:t>
      </w:r>
    </w:p>
    <w:p>
      <w:pPr>
        <w:pStyle w:val="ListBullet"/>
        <w:spacing w:after="24"/>
      </w:pPr>
      <w:r>
        <w:rPr>
          <w:rFonts w:ascii="Noto Sans" w:hAnsi="Noto Sans" w:eastAsia="Noto Sans CJK JP"/>
          <w:sz w:val="18"/>
        </w:rPr>
        <w:t>après confusion répétée : mini-exercice contrastif ;</w:t>
      </w:r>
    </w:p>
    <w:p>
      <w:pPr>
        <w:pStyle w:val="ListBullet"/>
        <w:spacing w:after="24"/>
      </w:pPr>
      <w:r>
        <w:rPr>
          <w:rFonts w:ascii="Noto Sans" w:hAnsi="Noto Sans" w:eastAsia="Noto Sans CJK JP"/>
          <w:sz w:val="18"/>
        </w:rPr>
        <w:t>après faiblesse importante : proposer 1 à 3 activités supplémentaires avant le Can-do ;</w:t>
      </w:r>
    </w:p>
    <w:p>
      <w:pPr>
        <w:pStyle w:val="ListBullet"/>
        <w:spacing w:after="24"/>
      </w:pPr>
      <w:r>
        <w:rPr>
          <w:rFonts w:ascii="Noto Sans" w:hAnsi="Noto Sans" w:eastAsia="Noto Sans CJK JP"/>
          <w:sz w:val="18"/>
        </w:rPr>
        <w:t>la remédiation ne doit pas créer une boucle sans fin ;</w:t>
      </w:r>
    </w:p>
    <w:p>
      <w:pPr>
        <w:pStyle w:val="ListBullet"/>
        <w:spacing w:after="24"/>
      </w:pPr>
      <w:r>
        <w:rPr>
          <w:rFonts w:ascii="Noto Sans" w:hAnsi="Noto Sans" w:eastAsia="Noto Sans CJK JP"/>
          <w:sz w:val="18"/>
        </w:rPr>
        <w:t>le moteur peut proposer « revoir l’explication » ou « réessayer » ;</w:t>
      </w:r>
    </w:p>
    <w:p>
      <w:pPr>
        <w:pStyle w:val="ListBullet"/>
        <w:spacing w:after="24"/>
      </w:pPr>
      <w:r>
        <w:rPr>
          <w:rFonts w:ascii="Noto Sans" w:hAnsi="Noto Sans" w:eastAsia="Noto Sans CJK JP"/>
          <w:sz w:val="18"/>
        </w:rPr>
        <w:t>une remédiation réussie met à jour la maîtrise mais n’efface pas l’erreur historique.</w:t>
      </w:r>
    </w:p>
    <w:p>
      <w:pPr>
        <w:pStyle w:val="Heading1"/>
        <w:keepNext w:val="1"/>
      </w:pPr>
      <w:r>
        <w:t>17. CAN-01 — Écran Can-do de mission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Introduction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Rappeler la situation réelle et les critères principaux.</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Mode validant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Moins d’aides ; aides révélatrices clairement signalées.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Sous-tâches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Une ou plusieurs activités orchestrées.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Progression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Afficher les sous-tâches, pas le détail du barème pendant la tentative.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Résultat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Tâche accomplie, score, dimensions, points à revoir.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Échec</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Remédiation + nouvelle tentative sans refaire toute la mission.</w:t>
            </w:r>
          </w:p>
        </w:tc>
      </w:tr>
    </w:tbl>
    <w:p>
      <w:pPr>
        <w:spacing w:after="0"/>
      </w:pPr>
    </w:p>
    <w:p>
      <w:pPr>
        <w:pStyle w:val="Heading1"/>
        <w:keepNext w:val="1"/>
      </w:pPr>
      <w:r>
        <w:t>18. RES-01 — Résultat de mission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Can-do validé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Oui / non, formulation humaine.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Score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Visible mais secondaire par rapport à la capacité.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Compétences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écoute, rappel, production… seulement celles réellement évaluées.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Nouveautés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Mots / kanji / structures ajoutés au référentiel utilisateur.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À revoir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Notions fragiles ou erreurs importantes.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Suite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Mission suivante, révision, ou retour chapitre.</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FFF4DE"/>
            <w:tcMar>
              <w:top w:w="95" w:type="dxa"/>
              <w:start w:w="125" w:type="dxa"/>
              <w:bottom w:w="95" w:type="dxa"/>
              <w:end w:w="125" w:type="dxa"/>
            </w:tcMar>
          </w:tcPr>
          <w:p>
            <w:pPr>
              <w:spacing w:after="40"/>
            </w:pPr>
            <w:r>
              <w:rPr>
                <w:rFonts w:ascii="Noto Sans" w:hAnsi="Noto Sans" w:eastAsia="Noto Sans CJK JP"/>
                <w:b/>
                <w:sz w:val="19"/>
              </w:rPr>
              <w:t>Pas de « 72 % = vous connaissez 72 % du japonais »</w:t>
            </w:r>
          </w:p>
          <w:p>
            <w:pPr>
              <w:spacing w:after="0"/>
            </w:pPr>
            <w:r>
              <w:rPr>
                <w:rFonts w:ascii="Noto Sans" w:hAnsi="Noto Sans" w:eastAsia="Noto Sans CJK JP"/>
                <w:sz w:val="18"/>
              </w:rPr>
              <w:t>Les pourcentages sont locaux à une activité ou une dimension. Les statistiques globales doivent distinguer progression historique, couverture et maîtrise actuelle.</w:t>
            </w:r>
          </w:p>
        </w:tc>
      </w:tr>
    </w:tbl>
    <w:p>
      <w:pPr>
        <w:spacing w:after="0"/>
      </w:pPr>
    </w:p>
    <w:p>
      <w:pPr>
        <w:pStyle w:val="Heading1"/>
        <w:keepNext w:val="1"/>
      </w:pPr>
      <w:r>
        <w:t>19. CHK-01 — Checkpoint de chapitre</w:t>
      </w:r>
    </w:p>
    <w:p>
      <w:pPr>
        <w:pStyle w:val="ListBullet"/>
        <w:spacing w:after="24"/>
      </w:pPr>
      <w:r>
        <w:rPr>
          <w:rFonts w:ascii="Noto Sans" w:hAnsi="Noto Sans" w:eastAsia="Noto Sans CJK JP"/>
          <w:sz w:val="18"/>
        </w:rPr>
        <w:t>présentation distincte d’une mission normale ;</w:t>
      </w:r>
    </w:p>
    <w:p>
      <w:pPr>
        <w:pStyle w:val="ListBullet"/>
        <w:spacing w:after="24"/>
      </w:pPr>
      <w:r>
        <w:rPr>
          <w:rFonts w:ascii="Noto Sans" w:hAnsi="Noto Sans" w:eastAsia="Noto Sans CJK JP"/>
          <w:sz w:val="18"/>
        </w:rPr>
        <w:t>aucune nouvelle notion ;</w:t>
      </w:r>
    </w:p>
    <w:p>
      <w:pPr>
        <w:pStyle w:val="ListBullet"/>
        <w:spacing w:after="24"/>
      </w:pPr>
      <w:r>
        <w:rPr>
          <w:rFonts w:ascii="Noto Sans" w:hAnsi="Noto Sans" w:eastAsia="Noto Sans CJK JP"/>
          <w:sz w:val="18"/>
        </w:rPr>
        <w:t>plusieurs formats d’exercice selon blueprint de couverture ;</w:t>
      </w:r>
    </w:p>
    <w:p>
      <w:pPr>
        <w:pStyle w:val="ListBullet"/>
        <w:spacing w:after="24"/>
      </w:pPr>
      <w:r>
        <w:rPr>
          <w:rFonts w:ascii="Noto Sans" w:hAnsi="Noto Sans" w:eastAsia="Noto Sans CJK JP"/>
          <w:sz w:val="18"/>
        </w:rPr>
        <w:t>blocs sauvegardables pour les évaluations longues ;</w:t>
      </w:r>
    </w:p>
    <w:p>
      <w:pPr>
        <w:pStyle w:val="ListBullet"/>
        <w:spacing w:after="24"/>
      </w:pPr>
      <w:r>
        <w:rPr>
          <w:rFonts w:ascii="Noto Sans" w:hAnsi="Noto Sans" w:eastAsia="Noto Sans CJK JP"/>
          <w:sz w:val="18"/>
        </w:rPr>
        <w:t>un bloc déjà validé reste acquis si les règles pédagogiques le prévoient ;</w:t>
      </w:r>
    </w:p>
    <w:p>
      <w:pPr>
        <w:pStyle w:val="ListBullet"/>
        <w:spacing w:after="24"/>
      </w:pPr>
      <w:r>
        <w:rPr>
          <w:rFonts w:ascii="Noto Sans" w:hAnsi="Noto Sans" w:eastAsia="Noto Sans CJK JP"/>
          <w:sz w:val="18"/>
        </w:rPr>
        <w:t>résultat détaillé par compétence + remédiation ciblée.</w:t>
      </w:r>
    </w:p>
    <w:p>
      <w:pPr>
        <w:pStyle w:val="Heading1"/>
        <w:keepNext w:val="1"/>
      </w:pPr>
      <w:r>
        <w:t>20. EVA-01 — Évaluation d’étape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Niveau</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Forme d’évaluation attendue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 0</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Blocs déterministes à 100 % selon spécification.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 1</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 vocabulaire, écoute, structures, mini-situations avec seuils fonctionnels.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Étapes 2–3</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Construction / transformations + récit ou explication courte.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Étapes 4–5</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Scénarios, choix de nuance, interaction plus longue.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 6</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Texte / audio / discussion / écrit formel.</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Étape 7</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Projet multi-sources, production, interaction et auto-évaluation.</w:t>
            </w:r>
          </w:p>
        </w:tc>
      </w:tr>
    </w:tbl>
    <w:p>
      <w:pPr>
        <w:spacing w:after="0"/>
      </w:pPr>
    </w:p>
    <w:p>
      <w:pPr>
        <w:pStyle w:val="Heading1"/>
        <w:keepNext w:val="1"/>
      </w:pPr>
      <w:r>
        <w:t>21. REV-01 — Accueil Révision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Dues aujourd’hui</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Nombre de notions / dimensions arrivées à échéance.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Session recommandée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Bouton unique générant un mix équilibré.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Faiblesses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Ex. écoute faible, kanji fragiles, rappels actifs en retard.</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Filtres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Vocabulaire, kana, kanji, grammaire, écoute… selon contenu accessible.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Historique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Sessions récentes et tendance, sans culpabilisation.</w:t>
            </w:r>
          </w:p>
        </w:tc>
      </w:tr>
    </w:tbl>
    <w:p>
      <w:pPr>
        <w:spacing w:after="0"/>
      </w:pPr>
    </w:p>
    <w:p>
      <w:pPr>
        <w:pStyle w:val="Heading1"/>
        <w:keepNext w:val="1"/>
      </w:pPr>
      <w:r>
        <w:t>22. REV-02 — Session de révision</w:t>
      </w:r>
    </w:p>
    <w:p>
      <w:pPr>
        <w:pStyle w:val="ListBullet"/>
        <w:spacing w:after="24"/>
      </w:pPr>
      <w:r>
        <w:rPr>
          <w:rFonts w:ascii="Noto Sans" w:hAnsi="Noto Sans" w:eastAsia="Noto Sans CJK JP"/>
          <w:sz w:val="18"/>
        </w:rPr>
        <w:t>utiliser la même coquille RUN-01 que les missions ;</w:t>
      </w:r>
    </w:p>
    <w:p>
      <w:pPr>
        <w:pStyle w:val="ListBullet"/>
        <w:spacing w:after="24"/>
      </w:pPr>
      <w:r>
        <w:rPr>
          <w:rFonts w:ascii="Noto Sans" w:hAnsi="Noto Sans" w:eastAsia="Noto Sans CJK JP"/>
          <w:sz w:val="18"/>
        </w:rPr>
        <w:t>mélanger plusieurs notions et dimensions selon la file SRS ;</w:t>
      </w:r>
    </w:p>
    <w:p>
      <w:pPr>
        <w:pStyle w:val="ListBullet"/>
        <w:spacing w:after="24"/>
      </w:pPr>
      <w:r>
        <w:rPr>
          <w:rFonts w:ascii="Noto Sans" w:hAnsi="Noto Sans" w:eastAsia="Noto Sans CJK JP"/>
          <w:sz w:val="18"/>
        </w:rPr>
        <w:t>montrer la source de la révision seulement si utile (« oublié dans mission 1C-05 ») ;</w:t>
      </w:r>
    </w:p>
    <w:p>
      <w:pPr>
        <w:pStyle w:val="ListBullet"/>
        <w:spacing w:after="24"/>
      </w:pPr>
      <w:r>
        <w:rPr>
          <w:rFonts w:ascii="Noto Sans" w:hAnsi="Noto Sans" w:eastAsia="Noto Sans CJK JP"/>
          <w:sz w:val="18"/>
        </w:rPr>
        <w:t>ne pas exiger de terminer toute la file du jour ;</w:t>
      </w:r>
    </w:p>
    <w:p>
      <w:pPr>
        <w:pStyle w:val="ListBullet"/>
        <w:spacing w:after="24"/>
      </w:pPr>
      <w:r>
        <w:rPr>
          <w:rFonts w:ascii="Noto Sans" w:hAnsi="Noto Sans" w:eastAsia="Noto Sans CJK JP"/>
          <w:sz w:val="18"/>
        </w:rPr>
        <w:t>à la fin, montrer ce qui s’est renforcé et les notions restant dues.</w:t>
      </w:r>
    </w:p>
    <w:p>
      <w:pPr>
        <w:pStyle w:val="Heading1"/>
        <w:keepNext w:val="1"/>
      </w:pPr>
      <w:r>
        <w:t>23. LIB-01 — Mode libre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Choisir le contenu</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Groupes kana, mots, kanji, structures ou thèmes déjà accessibles.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Choisir la compétence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Reconnaissance, audio, rappel, saisie…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Difficulté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Normal / difficile / erreurs fréquentes.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Taille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Courte, standard ou nombre d’items.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Démarrer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Créer une session hors progression guidée.</w:t>
            </w:r>
          </w:p>
        </w:tc>
      </w:tr>
    </w:tbl>
    <w:p>
      <w:pPr>
        <w:spacing w:after="0"/>
      </w:pPr>
    </w:p>
    <w:p>
      <w:pPr>
        <w:pStyle w:val="ListBullet"/>
        <w:spacing w:after="24"/>
      </w:pPr>
      <w:r>
        <w:rPr>
          <w:rFonts w:ascii="Noto Sans" w:hAnsi="Noto Sans" w:eastAsia="Noto Sans CJK JP"/>
          <w:sz w:val="18"/>
        </w:rPr>
        <w:t>Les résultats fiables peuvent alimenter la maîtrise.</w:t>
      </w:r>
    </w:p>
    <w:p>
      <w:pPr>
        <w:pStyle w:val="ListBullet"/>
        <w:spacing w:after="24"/>
      </w:pPr>
      <w:r>
        <w:rPr>
          <w:rFonts w:ascii="Noto Sans" w:hAnsi="Noto Sans" w:eastAsia="Noto Sans CJK JP"/>
          <w:sz w:val="18"/>
        </w:rPr>
        <w:t>Le Mode libre ne valide pas automatiquement un Can-do guidé non terminé.</w:t>
      </w:r>
    </w:p>
    <w:p>
      <w:pPr>
        <w:pStyle w:val="Heading1"/>
        <w:keepNext w:val="1"/>
      </w:pPr>
      <w:r>
        <w:t>24. BIB-01 — Bibliothèque de vocabulaire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Recherche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Kana, kanji, traduction / sens.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Filtres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 thème, actif / passif, fragile / solide, favoris éventuels.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Carte mot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Graphies, lecture, sens appris, audio, statut pédagogique.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Maîtrise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sens, écoute, rappel, production selon les dimensions applicables.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Origine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Première mission rencontrée + missions de réutilisation.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Réviser ce mot / lancer une mini-session filtrée.</w:t>
            </w:r>
          </w:p>
        </w:tc>
      </w:tr>
    </w:tbl>
    <w:p>
      <w:pPr>
        <w:spacing w:after="0"/>
      </w:pPr>
    </w:p>
    <w:p>
      <w:pPr>
        <w:pStyle w:val="Heading1"/>
        <w:keepNext w:val="1"/>
      </w:pPr>
      <w:r>
        <w:t>25. BIB-02 — Fiche vocabulaire</w:t>
      </w:r>
    </w:p>
    <w:p>
      <w:pPr>
        <w:pStyle w:val="ListBullet"/>
        <w:spacing w:after="24"/>
      </w:pPr>
      <w:r>
        <w:rPr>
          <w:rFonts w:ascii="Noto Sans" w:hAnsi="Noto Sans" w:eastAsia="Noto Sans CJK JP"/>
          <w:sz w:val="18"/>
        </w:rPr>
        <w:t>graphie principale et variantes pertinentes ;</w:t>
      </w:r>
    </w:p>
    <w:p>
      <w:pPr>
        <w:pStyle w:val="ListBullet"/>
        <w:spacing w:after="24"/>
      </w:pPr>
      <w:r>
        <w:rPr>
          <w:rFonts w:ascii="Noto Sans" w:hAnsi="Noto Sans" w:eastAsia="Noto Sans CJK JP"/>
          <w:sz w:val="18"/>
        </w:rPr>
        <w:t>lecture en kana ;</w:t>
      </w:r>
    </w:p>
    <w:p>
      <w:pPr>
        <w:pStyle w:val="ListBullet"/>
        <w:spacing w:after="24"/>
      </w:pPr>
      <w:r>
        <w:rPr>
          <w:rFonts w:ascii="Noto Sans" w:hAnsi="Noto Sans" w:eastAsia="Noto Sans CJK JP"/>
          <w:sz w:val="18"/>
        </w:rPr>
        <w:t>sens réellement enseignés à ce stade, pas l’intégralité du dictionnaire ;</w:t>
      </w:r>
    </w:p>
    <w:p>
      <w:pPr>
        <w:pStyle w:val="ListBullet"/>
        <w:spacing w:after="24"/>
      </w:pPr>
      <w:r>
        <w:rPr>
          <w:rFonts w:ascii="Noto Sans" w:hAnsi="Noto Sans" w:eastAsia="Noto Sans CJK JP"/>
          <w:sz w:val="18"/>
        </w:rPr>
        <w:t>audio ;</w:t>
      </w:r>
    </w:p>
    <w:p>
      <w:pPr>
        <w:pStyle w:val="ListBullet"/>
        <w:spacing w:after="24"/>
      </w:pPr>
      <w:r>
        <w:rPr>
          <w:rFonts w:ascii="Noto Sans" w:hAnsi="Noto Sans" w:eastAsia="Noto Sans CJK JP"/>
          <w:sz w:val="18"/>
        </w:rPr>
        <w:t>exemples déjà débloqués ;</w:t>
      </w:r>
    </w:p>
    <w:p>
      <w:pPr>
        <w:pStyle w:val="ListBullet"/>
        <w:spacing w:after="24"/>
      </w:pPr>
      <w:r>
        <w:rPr>
          <w:rFonts w:ascii="Noto Sans" w:hAnsi="Noto Sans" w:eastAsia="Noto Sans CJK JP"/>
          <w:sz w:val="18"/>
        </w:rPr>
        <w:t>kanji liés ;</w:t>
      </w:r>
    </w:p>
    <w:p>
      <w:pPr>
        <w:pStyle w:val="ListBullet"/>
        <w:spacing w:after="24"/>
      </w:pPr>
      <w:r>
        <w:rPr>
          <w:rFonts w:ascii="Noto Sans" w:hAnsi="Noto Sans" w:eastAsia="Noto Sans CJK JP"/>
          <w:sz w:val="18"/>
        </w:rPr>
        <w:t>statut actif / passif par objectif si nécessaire ;</w:t>
      </w:r>
    </w:p>
    <w:p>
      <w:pPr>
        <w:pStyle w:val="ListBullet"/>
        <w:spacing w:after="24"/>
      </w:pPr>
      <w:r>
        <w:rPr>
          <w:rFonts w:ascii="Noto Sans" w:hAnsi="Noto Sans" w:eastAsia="Noto Sans CJK JP"/>
          <w:sz w:val="18"/>
        </w:rPr>
        <w:t>dimensions de maîtrise actuelles ;</w:t>
      </w:r>
    </w:p>
    <w:p>
      <w:pPr>
        <w:pStyle w:val="ListBullet"/>
        <w:spacing w:after="24"/>
      </w:pPr>
      <w:r>
        <w:rPr>
          <w:rFonts w:ascii="Noto Sans" w:hAnsi="Noto Sans" w:eastAsia="Noto Sans CJK JP"/>
          <w:sz w:val="18"/>
        </w:rPr>
        <w:t>prochaine révision indicative ;</w:t>
      </w:r>
    </w:p>
    <w:p>
      <w:pPr>
        <w:pStyle w:val="ListBullet"/>
        <w:spacing w:after="24"/>
      </w:pPr>
      <w:r>
        <w:rPr>
          <w:rFonts w:ascii="Noto Sans" w:hAnsi="Noto Sans" w:eastAsia="Noto Sans CJK JP"/>
          <w:sz w:val="18"/>
        </w:rPr>
        <w:t>notes personnelles futures possibles en Mode autonomie.</w:t>
      </w:r>
    </w:p>
    <w:p>
      <w:pPr>
        <w:pStyle w:val="Heading1"/>
        <w:keepNext w:val="1"/>
      </w:pPr>
      <w:r>
        <w:t>26. BIB-03 — Bibliothèque de kanji</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Liste / recherche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Caractère, lecture connue, mot connu.</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Filtres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 maîtrisé / fragile, fréquence pédagogique.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Fiche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Caractère, mots dans lesquels il a été appris, lectures réellement rencontrées.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Saisie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Exercices kana → kanji / choix IME.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Manuscrit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Lien optionnel vers la branche écriture.</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EEF6EA"/>
            <w:tcMar>
              <w:top w:w="95" w:type="dxa"/>
              <w:start w:w="125" w:type="dxa"/>
              <w:bottom w:w="95" w:type="dxa"/>
              <w:end w:w="125" w:type="dxa"/>
            </w:tcMar>
          </w:tcPr>
          <w:p>
            <w:pPr>
              <w:spacing w:after="40"/>
            </w:pPr>
            <w:r>
              <w:rPr>
                <w:rFonts w:ascii="Noto Sans" w:hAnsi="Noto Sans" w:eastAsia="Noto Sans CJK JP"/>
                <w:b/>
                <w:sz w:val="19"/>
              </w:rPr>
              <w:t>Pas de dictionnaire exhaustif prématuré</w:t>
            </w:r>
          </w:p>
          <w:p>
            <w:pPr>
              <w:spacing w:after="0"/>
            </w:pPr>
            <w:r>
              <w:rPr>
                <w:rFonts w:ascii="Noto Sans" w:hAnsi="Noto Sans" w:eastAsia="Noto Sans CJK JP"/>
                <w:sz w:val="18"/>
              </w:rPr>
              <w:t>La fiche kanji doit d’abord refléter les lectures et mots effectivement enseignés. Les informations encyclopédiques complètes peuvent être ajoutées plus tard sans modifier la maîtrise pédagogique.</w:t>
            </w:r>
          </w:p>
        </w:tc>
      </w:tr>
    </w:tbl>
    <w:p>
      <w:pPr>
        <w:spacing w:after="0"/>
      </w:pPr>
    </w:p>
    <w:p>
      <w:pPr>
        <w:pStyle w:val="Heading1"/>
        <w:keepNext w:val="1"/>
      </w:pPr>
      <w:r>
        <w:t>27. WRT-01 — Écriture manuscrite optionnelle</w:t>
      </w:r>
    </w:p>
    <w:p>
      <w:pPr>
        <w:pStyle w:val="ListBullet"/>
        <w:spacing w:after="24"/>
      </w:pPr>
      <w:r>
        <w:rPr>
          <w:rFonts w:ascii="Noto Sans" w:hAnsi="Noto Sans" w:eastAsia="Noto Sans CJK JP"/>
          <w:sz w:val="18"/>
        </w:rPr>
        <w:t>accessible depuis l’Étape 0 et les fiches kana / kanji ;</w:t>
      </w:r>
    </w:p>
    <w:p>
      <w:pPr>
        <w:pStyle w:val="ListBullet"/>
        <w:spacing w:after="24"/>
      </w:pPr>
      <w:r>
        <w:rPr>
          <w:rFonts w:ascii="Noto Sans" w:hAnsi="Noto Sans" w:eastAsia="Noto Sans CJK JP"/>
          <w:sz w:val="18"/>
        </w:rPr>
        <w:t>sélection par groupe ou caractère ;</w:t>
      </w:r>
    </w:p>
    <w:p>
      <w:pPr>
        <w:pStyle w:val="ListBullet"/>
        <w:spacing w:after="24"/>
      </w:pPr>
      <w:r>
        <w:rPr>
          <w:rFonts w:ascii="Noto Sans" w:hAnsi="Noto Sans" w:eastAsia="Noto Sans CJK JP"/>
          <w:sz w:val="18"/>
        </w:rPr>
        <w:t>progression : observer → tracer → copier → écrire sans modèle ;</w:t>
      </w:r>
    </w:p>
    <w:p>
      <w:pPr>
        <w:pStyle w:val="ListBullet"/>
        <w:spacing w:after="24"/>
      </w:pPr>
      <w:r>
        <w:rPr>
          <w:rFonts w:ascii="Noto Sans" w:hAnsi="Noto Sans" w:eastAsia="Noto Sans CJK JP"/>
          <w:sz w:val="18"/>
        </w:rPr>
        <w:t>au MVP, auto-évaluation / comparaison visuelle possible ;</w:t>
      </w:r>
    </w:p>
    <w:p>
      <w:pPr>
        <w:pStyle w:val="ListBullet"/>
        <w:spacing w:after="24"/>
      </w:pPr>
      <w:r>
        <w:rPr>
          <w:rFonts w:ascii="Noto Sans" w:hAnsi="Noto Sans" w:eastAsia="Noto Sans CJK JP"/>
          <w:sz w:val="18"/>
        </w:rPr>
        <w:t>une future reconnaissance de tracé peut enrichir mais ne doit pas être requise pour le parcours ;</w:t>
      </w:r>
    </w:p>
    <w:p>
      <w:pPr>
        <w:pStyle w:val="ListBullet"/>
        <w:spacing w:after="24"/>
      </w:pPr>
      <w:r>
        <w:rPr>
          <w:rFonts w:ascii="Noto Sans" w:hAnsi="Noto Sans" w:eastAsia="Noto Sans CJK JP"/>
          <w:sz w:val="18"/>
        </w:rPr>
        <w:t>badges séparés possibles sans incidence sur les étapes obligatoires.</w:t>
      </w:r>
    </w:p>
    <w:p>
      <w:pPr>
        <w:pStyle w:val="Heading1"/>
        <w:keepNext w:val="1"/>
      </w:pPr>
      <w:r>
        <w:t>28. AUD-01 — Entraînement oral / prosodie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Modèle audio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normale, répétable.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Consigne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Répéter, shadowing ou répondre.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Enregistrement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Bouton enregistrer / écouter / refaire.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Comparaison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Lecture modèle puis enregistrement utilisateur.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Feedback MVP</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Auto-évaluation guidée ; pas de faux score automatique.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Futur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Transcription / analyse de prononciation et rubrique IA si suffisamment fiable.</w:t>
            </w:r>
          </w:p>
        </w:tc>
      </w:tr>
    </w:tbl>
    <w:p>
      <w:pPr>
        <w:spacing w:after="0"/>
      </w:pPr>
    </w:p>
    <w:p>
      <w:pPr>
        <w:pStyle w:val="Heading1"/>
        <w:keepNext w:val="1"/>
      </w:pPr>
      <w:r>
        <w:t>29. STA-01 — Statistiques et maîtrise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Progression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Étapes / chapitres / missions historiquement terminés.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Maîtrise actuelle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Branches ou dimensions fortes / fragiles.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Dues, stabilité, évolution sur période.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Can-do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Capacités validées, avec date de première validation.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Vocabulaire / kanji</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Couverture active / passive et état actuel.</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Temps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Temps d’étude comme information, jamais objectif punitif.</w:t>
            </w:r>
          </w:p>
        </w:tc>
      </w:tr>
    </w:tbl>
    <w:p>
      <w:pPr>
        <w:spacing w:after="0"/>
      </w:pPr>
    </w:p>
    <w:p>
      <w:pPr>
        <w:pStyle w:val="ListBullet"/>
        <w:spacing w:after="24"/>
      </w:pPr>
      <w:r>
        <w:rPr>
          <w:rFonts w:ascii="Noto Sans" w:hAnsi="Noto Sans" w:eastAsia="Noto Sans CJK JP"/>
          <w:sz w:val="18"/>
        </w:rPr>
        <w:t>Ne pas condenser tout le profil en un unique niveau numérique.</w:t>
      </w:r>
    </w:p>
    <w:p>
      <w:pPr>
        <w:pStyle w:val="ListBullet"/>
        <w:spacing w:after="24"/>
      </w:pPr>
      <w:r>
        <w:rPr>
          <w:rFonts w:ascii="Noto Sans" w:hAnsi="Noto Sans" w:eastAsia="Noto Sans CJK JP"/>
          <w:sz w:val="18"/>
        </w:rPr>
        <w:t>À haut niveau, les statistiques doivent montrer les domaines forts / faibles et objectifs personnels.</w:t>
      </w:r>
    </w:p>
    <w:p>
      <w:pPr>
        <w:pStyle w:val="Heading1"/>
        <w:keepNext w:val="1"/>
      </w:pPr>
      <w:r>
        <w:t>30. SET-01 — Réglages pédagogiques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Réglage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Romaji</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Suivre automatiquement le parcours / afficher davantage comme aide.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Furigana</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Automatique adaptatif / afficher plus souvent.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Traductions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Aide française activable selon les limites du niveau.</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Audio</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Volume, autoplay, nombre de répétitions en apprentissage.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Saisie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Conseils IME, clavier visuel pour certains exercices.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Prononciation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Auto-enregistrement activé / désactivé.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Durée préférée d’une session, sans supprimer les cartes dues.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Accessibilité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Taille texte, contraste, réduction des animations, raccourcis clavier.</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FFF4DE"/>
            <w:tcMar>
              <w:top w:w="95" w:type="dxa"/>
              <w:start w:w="125" w:type="dxa"/>
              <w:bottom w:w="95" w:type="dxa"/>
              <w:end w:w="125" w:type="dxa"/>
            </w:tcMar>
          </w:tcPr>
          <w:p>
            <w:pPr>
              <w:spacing w:after="40"/>
            </w:pPr>
            <w:r>
              <w:rPr>
                <w:rFonts w:ascii="Noto Sans" w:hAnsi="Noto Sans" w:eastAsia="Noto Sans CJK JP"/>
                <w:b/>
                <w:sz w:val="19"/>
              </w:rPr>
              <w:t>Garde-fou</w:t>
            </w:r>
          </w:p>
          <w:p>
            <w:pPr>
              <w:spacing w:after="0"/>
            </w:pPr>
            <w:r>
              <w:rPr>
                <w:rFonts w:ascii="Noto Sans" w:hAnsi="Noto Sans" w:eastAsia="Noto Sans CJK JP"/>
                <w:sz w:val="18"/>
              </w:rPr>
              <w:t>Un réglage utilisateur peut augmenter l’aide en apprentissage, mais il ne doit pas transformer silencieusement une tentative validante. Le Can-do indique toujours les aides autorisées pour sa validation.</w:t>
            </w:r>
          </w:p>
        </w:tc>
      </w:tr>
    </w:tbl>
    <w:p>
      <w:pPr>
        <w:spacing w:after="0"/>
      </w:pPr>
    </w:p>
    <w:p>
      <w:pPr>
        <w:pStyle w:val="Heading1"/>
        <w:keepNext w:val="1"/>
      </w:pPr>
      <w:r>
        <w:t>31. AUT-01 — Mode autonomie après l’Étape 7</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Objectifs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Choisir domaines et compétences prioritaires.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Spécialisations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Business, informatique, vie au Japon, littérature, etc.</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Faiblesses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Recommandations basées sur maîtrise réelle.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Contenus personnels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Listes de vocabulaire / ressources ajoutées par l’utilisateur à terme.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Recommandations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Activités guidées par objectif, lacune et contenu disponible.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 globale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Les mots / kanji de spécialisation utilisent le même SRS.</w:t>
            </w:r>
          </w:p>
        </w:tc>
      </w:tr>
    </w:tbl>
    <w:p>
      <w:pPr>
        <w:spacing w:after="0"/>
      </w:pPr>
    </w:p>
    <w:p>
      <w:pPr>
        <w:pStyle w:val="Heading1"/>
        <w:keepNext w:val="1"/>
      </w:pPr>
      <w:r>
        <w:t>32. AUT-02 — Écran d’une spécialisation</w:t>
      </w:r>
    </w:p>
    <w:p>
      <w:pPr>
        <w:pStyle w:val="ListBullet"/>
        <w:spacing w:after="24"/>
      </w:pPr>
      <w:r>
        <w:rPr>
          <w:rFonts w:ascii="Noto Sans" w:hAnsi="Noto Sans" w:eastAsia="Noto Sans CJK JP"/>
          <w:sz w:val="18"/>
        </w:rPr>
        <w:t>objectif de la branche ;</w:t>
      </w:r>
    </w:p>
    <w:p>
      <w:pPr>
        <w:pStyle w:val="ListBullet"/>
        <w:spacing w:after="24"/>
      </w:pPr>
      <w:r>
        <w:rPr>
          <w:rFonts w:ascii="Noto Sans" w:hAnsi="Noto Sans" w:eastAsia="Noto Sans CJK JP"/>
          <w:sz w:val="18"/>
        </w:rPr>
        <w:t>prérequis recommandés ;</w:t>
      </w:r>
    </w:p>
    <w:p>
      <w:pPr>
        <w:pStyle w:val="ListBullet"/>
        <w:spacing w:after="24"/>
      </w:pPr>
      <w:r>
        <w:rPr>
          <w:rFonts w:ascii="Noto Sans" w:hAnsi="Noto Sans" w:eastAsia="Noto Sans CJK JP"/>
          <w:sz w:val="18"/>
        </w:rPr>
        <w:t>modules / missions de spécialité ;</w:t>
      </w:r>
    </w:p>
    <w:p>
      <w:pPr>
        <w:pStyle w:val="ListBullet"/>
        <w:spacing w:after="24"/>
      </w:pPr>
      <w:r>
        <w:rPr>
          <w:rFonts w:ascii="Noto Sans" w:hAnsi="Noto Sans" w:eastAsia="Noto Sans CJK JP"/>
          <w:sz w:val="18"/>
        </w:rPr>
        <w:t>vocabulaire et kanji spécifiques ;</w:t>
      </w:r>
    </w:p>
    <w:p>
      <w:pPr>
        <w:pStyle w:val="ListBullet"/>
        <w:spacing w:after="24"/>
      </w:pPr>
      <w:r>
        <w:rPr>
          <w:rFonts w:ascii="Noto Sans" w:hAnsi="Noto Sans" w:eastAsia="Noto Sans CJK JP"/>
          <w:sz w:val="18"/>
        </w:rPr>
        <w:t>contenus authentiques ;</w:t>
      </w:r>
    </w:p>
    <w:p>
      <w:pPr>
        <w:pStyle w:val="ListBullet"/>
        <w:spacing w:after="24"/>
      </w:pPr>
      <w:r>
        <w:rPr>
          <w:rFonts w:ascii="Noto Sans" w:hAnsi="Noto Sans" w:eastAsia="Noto Sans CJK JP"/>
          <w:sz w:val="18"/>
        </w:rPr>
        <w:t>progression indépendante du tronc commun déjà terminé ;</w:t>
      </w:r>
    </w:p>
    <w:p>
      <w:pPr>
        <w:pStyle w:val="ListBullet"/>
        <w:spacing w:after="24"/>
      </w:pPr>
      <w:r>
        <w:rPr>
          <w:rFonts w:ascii="Noto Sans" w:hAnsi="Noto Sans" w:eastAsia="Noto Sans CJK JP"/>
          <w:sz w:val="18"/>
        </w:rPr>
        <w:t>possibilité d’avoir plusieurs spécialisations commencées sans devoir toutes les maîtriser.</w:t>
      </w:r>
    </w:p>
    <w:p>
      <w:pPr>
        <w:pStyle w:val="Heading1"/>
        <w:keepNext w:val="1"/>
      </w:pPr>
      <w:r>
        <w:t>33. PROJ-01 — Projet avancé multi-sources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Zone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Fonction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Sujet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Choisi ou imposé.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Sources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Deux textes ou plus + audio selon projet.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Notes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Zone persistante de prise de notes.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Vocabulaire inconnu</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Marquer / rechercher / ajouter à une liste personnelle.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Livrable écrit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Synthèse / argumentation avec autosauvegarde.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Livrable oral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Présentation / enregistrement.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Auto-évaluation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Difficultés, forces, plan de progression.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Évaluation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Rubrique structurée / IA facultative selon disponibilité.</w:t>
            </w:r>
          </w:p>
        </w:tc>
      </w:tr>
    </w:tbl>
    <w:p>
      <w:pPr>
        <w:spacing w:after="0"/>
      </w:pPr>
    </w:p>
    <w:p>
      <w:pPr>
        <w:pStyle w:val="Heading1"/>
        <w:keepNext w:val="1"/>
      </w:pPr>
      <w:r>
        <w:t>34. ENT-01 — Droits, gratuit / premium et paywall</w:t>
      </w:r>
    </w:p>
    <w:p>
      <w:r>
        <w:rPr>
          <w:rFonts w:ascii="Noto Sans" w:hAnsi="Noto Sans" w:eastAsia="Noto Sans CJK JP"/>
          <w:sz w:val="18"/>
        </w:rPr>
        <w:t>La frontière commerciale n’est pas encore fixée. L’interface doit néanmoins utiliser un système de droits afin qu’un écran ou une fonctionnalité puisse être libre, premium, d’essai ou indisponible sans dupliquer sa logique.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État d’accès</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Sens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FREE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Accessible.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PREMIUM</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Accessible avec abonnement.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TRIAL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Accessible temporairement / découverte.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LOCKED_PROGRESS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Verrou pédagogique, différent du paywall.</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COMING_SOON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Contenu non publié.</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FFF4DE"/>
            <w:tcMar>
              <w:top w:w="95" w:type="dxa"/>
              <w:start w:w="125" w:type="dxa"/>
              <w:bottom w:w="95" w:type="dxa"/>
              <w:end w:w="125" w:type="dxa"/>
            </w:tcMar>
          </w:tcPr>
          <w:p>
            <w:pPr>
              <w:spacing w:after="40"/>
            </w:pPr>
            <w:r>
              <w:rPr>
                <w:rFonts w:ascii="Noto Sans" w:hAnsi="Noto Sans" w:eastAsia="Noto Sans CJK JP"/>
                <w:b/>
                <w:sz w:val="19"/>
              </w:rPr>
              <w:t>Important</w:t>
            </w:r>
          </w:p>
          <w:p>
            <w:pPr>
              <w:spacing w:after="0"/>
            </w:pPr>
            <w:r>
              <w:rPr>
                <w:rFonts w:ascii="Noto Sans" w:hAnsi="Noto Sans" w:eastAsia="Noto Sans CJK JP"/>
                <w:sz w:val="18"/>
              </w:rPr>
              <w:t>Ne jamais utiliser la même icône ou le même message pour un verrou pédagogique et un verrou commercial. L’utilisateur doit comprendre s’il lui manque une compétence ou un droit d’accès.</w:t>
            </w:r>
          </w:p>
        </w:tc>
      </w:tr>
    </w:tbl>
    <w:p>
      <w:pPr>
        <w:spacing w:after="0"/>
      </w:pPr>
    </w:p>
    <w:p>
      <w:pPr>
        <w:pStyle w:val="Heading1"/>
        <w:keepNext w:val="1"/>
      </w:pPr>
      <w:r>
        <w:t>35. États vides, chargement et erreurs</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État</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Comportement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Chargement</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Skeleton / indicateur ; ne pas perdre une réponse déjà saisie.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Pas de révision due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Message positif + Mode libre / continuer le parcours.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Aucun mot dans filtre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Expliquer et proposer retirer les filtres.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Audio indisponible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Ne pas servir un exercice où l’audio est indispensable ; fallback seulement si autorisé.</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Erreur réseau</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Conserver brouillon / tentative locale si possible, puis réessayer.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Session expirée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Reconnexion sans perdre l’état courant.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Contenu retiré</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Ne pas casser l’historique ; afficher que l’ancienne activité n’est plus disponible.</w:t>
            </w:r>
          </w:p>
        </w:tc>
      </w:tr>
    </w:tbl>
    <w:p>
      <w:pPr>
        <w:spacing w:after="0"/>
      </w:pPr>
    </w:p>
    <w:p>
      <w:pPr>
        <w:pStyle w:val="Heading1"/>
        <w:keepNext w:val="1"/>
      </w:pPr>
      <w:r>
        <w:t>36. Navigation, retour et historique</w:t>
      </w:r>
    </w:p>
    <w:p>
      <w:pPr>
        <w:pStyle w:val="ListBullet"/>
        <w:spacing w:after="24"/>
      </w:pPr>
      <w:r>
        <w:rPr>
          <w:rFonts w:ascii="Noto Sans" w:hAnsi="Noto Sans" w:eastAsia="Noto Sans CJK JP"/>
          <w:sz w:val="18"/>
        </w:rPr>
        <w:t>le bouton navigateur Retour ne doit pas soumettre ou échouer une réponse ;</w:t>
      </w:r>
    </w:p>
    <w:p>
      <w:pPr>
        <w:pStyle w:val="ListBullet"/>
        <w:spacing w:after="24"/>
      </w:pPr>
      <w:r>
        <w:rPr>
          <w:rFonts w:ascii="Noto Sans" w:hAnsi="Noto Sans" w:eastAsia="Noto Sans CJK JP"/>
          <w:sz w:val="18"/>
        </w:rPr>
        <w:t>une mission en cours peut être quittée avec sauvegarde ;</w:t>
      </w:r>
    </w:p>
    <w:p>
      <w:pPr>
        <w:pStyle w:val="ListBullet"/>
        <w:spacing w:after="24"/>
      </w:pPr>
      <w:r>
        <w:rPr>
          <w:rFonts w:ascii="Noto Sans" w:hAnsi="Noto Sans" w:eastAsia="Noto Sans CJK JP"/>
          <w:sz w:val="18"/>
        </w:rPr>
        <w:t>une évaluation en bloc explique clairement ce qui est déjà validé ;</w:t>
      </w:r>
    </w:p>
    <w:p>
      <w:pPr>
        <w:pStyle w:val="ListBullet"/>
        <w:spacing w:after="24"/>
      </w:pPr>
      <w:r>
        <w:rPr>
          <w:rFonts w:ascii="Noto Sans" w:hAnsi="Noto Sans" w:eastAsia="Noto Sans CJK JP"/>
          <w:sz w:val="18"/>
        </w:rPr>
        <w:t>un utilisateur peut consulter d’anciennes missions terminées sans perdre leur statut ;</w:t>
      </w:r>
    </w:p>
    <w:p>
      <w:pPr>
        <w:pStyle w:val="ListBullet"/>
        <w:spacing w:after="24"/>
      </w:pPr>
      <w:r>
        <w:rPr>
          <w:rFonts w:ascii="Noto Sans" w:hAnsi="Noto Sans" w:eastAsia="Noto Sans CJK JP"/>
          <w:sz w:val="18"/>
        </w:rPr>
        <w:t>refaire une mission peut alimenter la maîtrise mais ne crée pas une seconde « validation historique » ;</w:t>
      </w:r>
    </w:p>
    <w:p>
      <w:pPr>
        <w:pStyle w:val="ListBullet"/>
        <w:spacing w:after="24"/>
      </w:pPr>
      <w:r>
        <w:rPr>
          <w:rFonts w:ascii="Noto Sans" w:hAnsi="Noto Sans" w:eastAsia="Noto Sans CJK JP"/>
          <w:sz w:val="18"/>
        </w:rPr>
        <w:t>un deep link vers une mission verrouillée redirige vers son écran d’explication du prérequis.</w:t>
      </w:r>
    </w:p>
    <w:p>
      <w:pPr>
        <w:pStyle w:val="Heading1"/>
        <w:keepNext w:val="1"/>
      </w:pPr>
      <w:r>
        <w:t>37. Responsive et accessibilité</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Contexte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Exigence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Mobile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Une colonne, CTA fixe si nécessaire, clavier / audio sans masquage du contenu.</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Tablette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Une ou deux colonnes ; documents / notes possibles côte à côte.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Desktop</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Navigation latérale, contenu central, panneaux secondaires possibles.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Clavier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Tabulation logique, validation sans souris.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Lecteur d’écran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Labels explicites, ordre sémantique, alternatives textuelles.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Couleur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Jamais seule porteuse du résultat correct / incorrect.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Temps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Pas de limite sauf tâche explicitement chronométrée dans le futur.</w:t>
            </w:r>
          </w:p>
        </w:tc>
      </w:tr>
    </w:tbl>
    <w:p>
      <w:pPr>
        <w:spacing w:after="0"/>
      </w:pPr>
    </w:p>
    <w:p>
      <w:pPr>
        <w:pStyle w:val="Heading1"/>
        <w:keepNext w:val="1"/>
      </w:pPr>
      <w:r>
        <w:t>38. Notifications et rappels — périmètre fonctionnel</w:t>
      </w:r>
    </w:p>
    <w:p>
      <w:pPr>
        <w:pStyle w:val="ListBullet"/>
        <w:spacing w:after="24"/>
      </w:pPr>
      <w:r>
        <w:rPr>
          <w:rFonts w:ascii="Noto Sans" w:hAnsi="Noto Sans" w:eastAsia="Noto Sans CJK JP"/>
          <w:sz w:val="18"/>
        </w:rPr>
        <w:t>non nécessaires au MVP initial ;</w:t>
      </w:r>
    </w:p>
    <w:p>
      <w:pPr>
        <w:pStyle w:val="ListBullet"/>
        <w:spacing w:after="24"/>
      </w:pPr>
      <w:r>
        <w:rPr>
          <w:rFonts w:ascii="Noto Sans" w:hAnsi="Noto Sans" w:eastAsia="Noto Sans CJK JP"/>
          <w:sz w:val="18"/>
        </w:rPr>
        <w:t>le produit doit néanmoins pouvoir afficher un compteur interne de révisions dues ;</w:t>
      </w:r>
    </w:p>
    <w:p>
      <w:pPr>
        <w:pStyle w:val="ListBullet"/>
        <w:spacing w:after="24"/>
      </w:pPr>
      <w:r>
        <w:rPr>
          <w:rFonts w:ascii="Noto Sans" w:hAnsi="Noto Sans" w:eastAsia="Noto Sans CJK JP"/>
          <w:sz w:val="18"/>
        </w:rPr>
        <w:t>si des notifications sont ajoutées plus tard, elles doivent être configurables et non culpabilisantes ;</w:t>
      </w:r>
    </w:p>
    <w:p>
      <w:pPr>
        <w:pStyle w:val="ListBullet"/>
        <w:spacing w:after="24"/>
      </w:pPr>
      <w:r>
        <w:rPr>
          <w:rFonts w:ascii="Noto Sans" w:hAnsi="Noto Sans" w:eastAsia="Noto Sans CJK JP"/>
          <w:sz w:val="18"/>
        </w:rPr>
        <w:t>ne jamais notifier « vous allez perdre votre progression » puisque les missions ne sont pas reverrouillées.</w:t>
      </w:r>
    </w:p>
    <w:p>
      <w:pPr>
        <w:pStyle w:val="Heading1"/>
        <w:keepNext w:val="1"/>
      </w:pPr>
      <w:r>
        <w:t>39. Catalogue des écrans et priorité d’implémentation</w:t>
      </w:r>
    </w:p>
    <w:tbl>
      <w:tblPr>
        <w:tblStyle w:val="TableGrid"/>
        <w:tblW w:type="auto" w:w="0"/>
        <w:jc w:val="center"/>
        <w:tblLayout w:type="autofit"/>
        <w:tblLook w:firstColumn="1" w:firstRow="1" w:lastColumn="0" w:lastRow="0" w:noHBand="0" w:noVBand="1" w:val="04A0"/>
      </w:tblPr>
      <w:tblGrid>
        <w:gridCol w:w="3437"/>
        <w:gridCol w:w="3437"/>
        <w:gridCol w:w="3437"/>
      </w:tblGrid>
      <w:tr>
        <w:trPr>
          <w:tblHeader w:val="true"/>
          <w:cantSplit w:val="1"/>
        </w:trPr>
        <w:tc>
          <w:tcPr>
            <w:tcW w:type="dxa" w:w="3437"/>
            <w:vAlign w:val="center"/>
            <w:shd w:fill="DCEAF0"/>
            <w:tcMar>
              <w:top w:w="55" w:type="dxa"/>
              <w:start w:w="75" w:type="dxa"/>
              <w:bottom w:w="55" w:type="dxa"/>
              <w:end w:w="75" w:type="dxa"/>
            </w:tcMar>
          </w:tcPr>
          <w:p>
            <w:pPr>
              <w:spacing w:after="0"/>
            </w:pPr>
            <w:r>
              <w:rPr>
                <w:rFonts w:ascii="Noto Sans" w:hAnsi="Noto Sans" w:eastAsia="Noto Sans CJK JP"/>
                <w:b/>
                <w:sz w:val="15"/>
              </w:rPr>
              <w:t>Priorité</w:t>
            </w:r>
          </w:p>
        </w:tc>
        <w:tc>
          <w:tcPr>
            <w:tcW w:type="dxa" w:w="3437"/>
            <w:vAlign w:val="center"/>
            <w:shd w:fill="DCEAF0"/>
            <w:tcMar>
              <w:top w:w="55" w:type="dxa"/>
              <w:start w:w="75" w:type="dxa"/>
              <w:bottom w:w="55" w:type="dxa"/>
              <w:end w:w="75" w:type="dxa"/>
            </w:tcMar>
          </w:tcPr>
          <w:p>
            <w:pPr>
              <w:spacing w:after="0"/>
            </w:pPr>
            <w:r>
              <w:rPr>
                <w:rFonts w:ascii="Noto Sans" w:hAnsi="Noto Sans" w:eastAsia="Noto Sans CJK JP"/>
                <w:b/>
                <w:sz w:val="15"/>
              </w:rPr>
              <w:t>ID</w:t>
            </w:r>
          </w:p>
        </w:tc>
        <w:tc>
          <w:tcPr>
            <w:tcW w:type="dxa" w:w="3437"/>
            <w:vAlign w:val="center"/>
            <w:shd w:fill="DCEAF0"/>
            <w:tcMar>
              <w:top w:w="55" w:type="dxa"/>
              <w:start w:w="75" w:type="dxa"/>
              <w:bottom w:w="55" w:type="dxa"/>
              <w:end w:w="75" w:type="dxa"/>
            </w:tcMar>
          </w:tcPr>
          <w:p>
            <w:pPr>
              <w:spacing w:after="0"/>
            </w:pPr>
            <w:r>
              <w:rPr>
                <w:rFonts w:ascii="Noto Sans" w:hAnsi="Noto Sans" w:eastAsia="Noto Sans CJK JP"/>
                <w:b/>
                <w:sz w:val="15"/>
              </w:rPr>
              <w:t>Écran / fonction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AUTH</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Connexion / inscription / récupération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ONB</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Onboarding minimal</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ACC-01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Accueil</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PAR-01/02/03</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Parcours, étape, chapitre</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MIS-01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Fiche mission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RUN-01/02/03/04</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Runner, exercice, feedback, remédiation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CAN-01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Can-do</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RES-01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Résultat mission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CHK-01 / EVA-01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Checkpoints / évaluations</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REV-01/02</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Révision + session</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LIB-01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Mode libre Étapes 0–1</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BIB-01/02/03</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Vocabulaire / fiche mot / kanji</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P0</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SET-01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Réglages essentiels</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STA-01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Statistiques détaillées</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WRT-01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Écriture manuscrite</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AUD-01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Auto-enregistrement / prosodie</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P2</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Dialogues branchés</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UI Étapes 4–5</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P3</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AUT-01/02</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Autonomie / spécialisations</w:t>
            </w:r>
          </w:p>
        </w:tc>
      </w:tr>
      <w:tr>
        <w:trPr>
          <w:cantSplit w:val="1"/>
        </w:trPr>
        <w:tc>
          <w:tcPr>
            <w:tcW w:type="dxa" w:w="3437"/>
            <w:vAlign w:val="top"/>
            <w:tcMar>
              <w:top w:w="40" w:type="dxa"/>
              <w:start w:w="62" w:type="dxa"/>
              <w:bottom w:w="40" w:type="dxa"/>
              <w:end w:w="62" w:type="dxa"/>
            </w:tcMar>
          </w:tcPr>
          <w:p>
            <w:pPr>
              <w:spacing w:after="0"/>
            </w:pPr>
            <w:r>
              <w:rPr>
                <w:rFonts w:ascii="Noto Sans" w:hAnsi="Noto Sans" w:eastAsia="Noto Sans CJK JP"/>
                <w:sz w:val="13"/>
              </w:rPr>
              <w:t>P3</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PROJ-01</w:t>
            </w:r>
          </w:p>
        </w:tc>
        <w:tc>
          <w:tcPr>
            <w:tcW w:type="dxa" w:w="3437"/>
            <w:vAlign w:val="top"/>
            <w:tcMar>
              <w:top w:w="40" w:type="dxa"/>
              <w:start w:w="62" w:type="dxa"/>
              <w:bottom w:w="40" w:type="dxa"/>
              <w:end w:w="62" w:type="dxa"/>
            </w:tcMar>
          </w:tcPr>
          <w:p>
            <w:pPr>
              <w:spacing w:after="0"/>
            </w:pPr>
            <w:r>
              <w:rPr>
                <w:rFonts w:ascii="Noto Sans" w:hAnsi="Noto Sans" w:eastAsia="Noto Sans CJK JP"/>
                <w:sz w:val="13"/>
              </w:rPr>
              <w:t>Projet multi-sources</w:t>
            </w:r>
          </w:p>
        </w:tc>
      </w:tr>
    </w:tbl>
    <w:p>
      <w:pPr>
        <w:spacing w:after="0"/>
      </w:pPr>
    </w:p>
    <w:p>
      <w:pPr>
        <w:pStyle w:val="Heading1"/>
        <w:keepNext w:val="1"/>
      </w:pPr>
      <w:r>
        <w:t>40. Parcours utilisateur MVP — première session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Ordre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Flux</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1</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Inscription / connexion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2</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Onboarding court</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3</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Accueil → « Commencer l’Étape 0 »</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4</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Parcours → mission 0A-01</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5</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Fiche mission → Commencer</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6</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Activités → feedback / remédiation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7</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Can-do à 100 % pour Étape 0</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8</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Résultat → prochaine mission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9</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Retour ultérieur → Accueil propose Reprendre ou Réviser</w:t>
            </w:r>
          </w:p>
        </w:tc>
      </w:tr>
    </w:tbl>
    <w:p>
      <w:pPr>
        <w:spacing w:after="0"/>
      </w:pPr>
    </w:p>
    <w:p>
      <w:pPr>
        <w:pStyle w:val="Heading1"/>
        <w:keepNext w:val="1"/>
      </w:pPr>
      <w:r>
        <w:t>41. Parcours utilisateur MVP — reprise après interruption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Ordre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Flux</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1</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Utilisateur quitte pendant une mission après une activité terminée.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2</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Accueil affiche « Reprendre 0B-03 » comme action principale.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3</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La fiche mission indique le pourcentage d’activités terminées.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4</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Si interruption longue, micro-réactivation optionnelle.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5</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Runner reprend au dernier point de sauvegarde.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6</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Aucune réponse validée n’est perdue.</w:t>
            </w:r>
          </w:p>
        </w:tc>
      </w:tr>
    </w:tbl>
    <w:p>
      <w:pPr>
        <w:spacing w:after="0"/>
      </w:pPr>
    </w:p>
    <w:p>
      <w:pPr>
        <w:pStyle w:val="Heading1"/>
        <w:keepNext w:val="1"/>
      </w:pPr>
      <w:r>
        <w:t>42. Parcours utilisateur — notion oubliée après mission terminée</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Ordre</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Flux</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1</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Le SRS détecte une faiblesse sur une dimension.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2</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La mission historique reste COMPLETED.</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3</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Accueil / Révision indique des éléments dus.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4</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Une session de révision cible la faiblesse.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5</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La maîtrise remonte ; aucun chapitre n’a été reverrouillé.</w:t>
            </w:r>
          </w:p>
        </w:tc>
      </w:tr>
    </w:tbl>
    <w:p>
      <w:pPr>
        <w:spacing w:after="0"/>
      </w:pPr>
    </w:p>
    <w:p>
      <w:pPr>
        <w:pStyle w:val="Heading1"/>
        <w:keepNext w:val="1"/>
      </w:pPr>
      <w:r>
        <w:t>43. Données fonctionnelles requises par écran</w:t>
      </w:r>
    </w:p>
    <w:tbl>
      <w:tblPr>
        <w:tblStyle w:val="TableGrid"/>
        <w:tblW w:type="auto" w:w="0"/>
        <w:jc w:val="center"/>
        <w:tblLayout w:type="autofit"/>
        <w:tblLook w:firstColumn="1" w:firstRow="1" w:lastColumn="0" w:lastRow="0" w:noHBand="0" w:noVBand="1" w:val="04A0"/>
      </w:tblPr>
      <w:tblGrid>
        <w:gridCol w:w="5155"/>
        <w:gridCol w:w="5155"/>
      </w:tblGrid>
      <w:tr>
        <w:trPr>
          <w:tblHeader w:val="true"/>
          <w:cantSplit w:val="1"/>
        </w:trPr>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Écran</w:t>
            </w:r>
          </w:p>
        </w:tc>
        <w:tc>
          <w:tcPr>
            <w:tcW w:type="dxa" w:w="5155"/>
            <w:vAlign w:val="center"/>
            <w:shd w:fill="DCEAF0"/>
            <w:tcMar>
              <w:top w:w="55" w:type="dxa"/>
              <w:start w:w="75" w:type="dxa"/>
              <w:bottom w:w="55" w:type="dxa"/>
              <w:end w:w="75" w:type="dxa"/>
            </w:tcMar>
          </w:tcPr>
          <w:p>
            <w:pPr>
              <w:spacing w:after="0"/>
            </w:pPr>
            <w:r>
              <w:rPr>
                <w:rFonts w:ascii="Noto Sans" w:hAnsi="Noto Sans" w:eastAsia="Noto Sans CJK JP"/>
                <w:b/>
                <w:sz w:val="15"/>
              </w:rPr>
              <w:t>Données nécessaires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Accueil</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mission recommandée, reprise, révisions dues, étape courante, dernier Can-do.</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Parcours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étapes / chapitres / missions, états, prérequis, progression.</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Mission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Can-do, activités, état sauvegardé, aides, contenus cibles.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Runner</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instance d’exercice, tentative, réponse, feedback, médias.</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Révision</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file SRS, filtres, dimensions, session générée.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Bibliothèque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concepts débloqués, graphies, sens, audio, maîtrise.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Statistiques</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validations historiques + agrégats de maîtrise.</w:t>
            </w:r>
          </w:p>
        </w:tc>
      </w:tr>
      <w:tr>
        <w:trPr>
          <w:cantSplit w:val="1"/>
        </w:trPr>
        <w:tc>
          <w:tcPr>
            <w:tcW w:type="dxa" w:w="5155"/>
            <w:vAlign w:val="top"/>
            <w:tcMar>
              <w:top w:w="40" w:type="dxa"/>
              <w:start w:w="62" w:type="dxa"/>
              <w:bottom w:w="40" w:type="dxa"/>
              <w:end w:w="62" w:type="dxa"/>
            </w:tcMar>
          </w:tcPr>
          <w:p>
            <w:pPr>
              <w:spacing w:after="0"/>
            </w:pPr>
            <w:r>
              <w:rPr>
                <w:rFonts w:ascii="Noto Sans" w:hAnsi="Noto Sans" w:eastAsia="Noto Sans CJK JP"/>
                <w:sz w:val="14"/>
              </w:rPr>
              <w:t>Autonomie</w:t>
            </w:r>
          </w:p>
        </w:tc>
        <w:tc>
          <w:tcPr>
            <w:tcW w:type="dxa" w:w="5155"/>
            <w:vAlign w:val="top"/>
            <w:tcMar>
              <w:top w:w="40" w:type="dxa"/>
              <w:start w:w="62" w:type="dxa"/>
              <w:bottom w:w="40" w:type="dxa"/>
              <w:end w:w="62" w:type="dxa"/>
            </w:tcMar>
          </w:tcPr>
          <w:p>
            <w:pPr>
              <w:spacing w:after="0"/>
            </w:pPr>
            <w:r>
              <w:rPr>
                <w:rFonts w:ascii="Noto Sans" w:hAnsi="Noto Sans" w:eastAsia="Noto Sans CJK JP"/>
                <w:sz w:val="14"/>
              </w:rPr>
              <w:t>objectifs, spécialisations, contenus personnels, recommandations.</w:t>
            </w:r>
          </w:p>
        </w:tc>
      </w:tr>
    </w:tbl>
    <w:p>
      <w:pPr>
        <w:spacing w:after="0"/>
      </w:pPr>
    </w:p>
    <w:tbl>
      <w:tblPr>
        <w:tblW w:type="auto" w:w="0"/>
        <w:jc w:val="center"/>
        <w:tblLook w:firstColumn="1" w:firstRow="1" w:lastColumn="0" w:lastRow="0" w:noHBand="0" w:noVBand="1" w:val="04A0"/>
      </w:tblPr>
      <w:tblGrid>
        <w:gridCol w:w="10310"/>
      </w:tblGrid>
      <w:tr>
        <w:trPr>
          <w:cantSplit w:val="1"/>
        </w:trPr>
        <w:tc>
          <w:tcPr>
            <w:tcW w:type="dxa" w:w="10310"/>
            <w:shd w:fill="E8F3F6"/>
            <w:tcMar>
              <w:top w:w="95" w:type="dxa"/>
              <w:start w:w="125" w:type="dxa"/>
              <w:bottom w:w="95" w:type="dxa"/>
              <w:end w:w="125" w:type="dxa"/>
            </w:tcMar>
          </w:tcPr>
          <w:p>
            <w:pPr>
              <w:spacing w:after="40"/>
            </w:pPr>
            <w:r>
              <w:rPr>
                <w:rFonts w:ascii="Noto Sans" w:hAnsi="Noto Sans" w:eastAsia="Noto Sans CJK JP"/>
                <w:b/>
                <w:sz w:val="19"/>
              </w:rPr>
              <w:t>Conséquence pour le futur MCD</w:t>
            </w:r>
          </w:p>
          <w:p>
            <w:pPr>
              <w:spacing w:after="0"/>
            </w:pPr>
            <w:r>
              <w:rPr>
                <w:rFonts w:ascii="Noto Sans" w:hAnsi="Noto Sans" w:eastAsia="Noto Sans CJK JP"/>
                <w:sz w:val="18"/>
              </w:rPr>
              <w:t>Le futur modèle de données devra représenter à la fois la structure éditoriale du parcours, les concepts réutilisables, les exercices versionnés, les tentatives, les validations historiques et la maîtrise actuelle. Cette spécification donne désormais les besoins fonctionnels à traduire en entités.</w:t>
            </w:r>
          </w:p>
        </w:tc>
      </w:tr>
    </w:tbl>
    <w:p>
      <w:pPr>
        <w:spacing w:after="0"/>
      </w:pPr>
    </w:p>
    <w:p>
      <w:pPr>
        <w:pStyle w:val="Heading1"/>
        <w:keepNext w:val="1"/>
      </w:pPr>
      <w:r>
        <w:t>44. Critères d’acceptation du MVP fonctionnel</w:t>
      </w:r>
    </w:p>
    <w:p>
      <w:pPr>
        <w:pStyle w:val="ListBullet"/>
        <w:spacing w:after="24"/>
      </w:pPr>
      <w:r>
        <w:rPr>
          <w:rFonts w:ascii="Noto Sans" w:hAnsi="Noto Sans" w:eastAsia="Noto Sans CJK JP"/>
          <w:sz w:val="18"/>
        </w:rPr>
        <w:t>un utilisateur neuf peut créer un compte et démarrer l’Étape 0 ;</w:t>
      </w:r>
    </w:p>
    <w:p>
      <w:pPr>
        <w:pStyle w:val="ListBullet"/>
        <w:spacing w:after="24"/>
      </w:pPr>
      <w:r>
        <w:rPr>
          <w:rFonts w:ascii="Noto Sans" w:hAnsi="Noto Sans" w:eastAsia="Noto Sans CJK JP"/>
          <w:sz w:val="18"/>
        </w:rPr>
        <w:t>le parcours affiche correctement missions disponibles, verrouillées, en cours et terminées ;</w:t>
      </w:r>
    </w:p>
    <w:p>
      <w:pPr>
        <w:pStyle w:val="ListBullet"/>
        <w:spacing w:after="24"/>
      </w:pPr>
      <w:r>
        <w:rPr>
          <w:rFonts w:ascii="Noto Sans" w:hAnsi="Noto Sans" w:eastAsia="Noto Sans CJK JP"/>
          <w:sz w:val="18"/>
        </w:rPr>
        <w:t>une mission peut être quittée et reprise sans perdre les activités terminées ;</w:t>
      </w:r>
    </w:p>
    <w:p>
      <w:pPr>
        <w:pStyle w:val="ListBullet"/>
        <w:spacing w:after="24"/>
      </w:pPr>
      <w:r>
        <w:rPr>
          <w:rFonts w:ascii="Noto Sans" w:hAnsi="Noto Sans" w:eastAsia="Noto Sans CJK JP"/>
          <w:sz w:val="18"/>
        </w:rPr>
        <w:t>les types P0 du moteur s’affichent dans une coquille commune ;</w:t>
      </w:r>
    </w:p>
    <w:p>
      <w:pPr>
        <w:pStyle w:val="ListBullet"/>
        <w:spacing w:after="24"/>
      </w:pPr>
      <w:r>
        <w:rPr>
          <w:rFonts w:ascii="Noto Sans" w:hAnsi="Noto Sans" w:eastAsia="Noto Sans CJK JP"/>
          <w:sz w:val="18"/>
        </w:rPr>
        <w:t>les aides sont enregistrées et affectent correctement le caractère validant d’une tentative ;</w:t>
      </w:r>
    </w:p>
    <w:p>
      <w:pPr>
        <w:pStyle w:val="ListBullet"/>
        <w:spacing w:after="24"/>
      </w:pPr>
      <w:r>
        <w:rPr>
          <w:rFonts w:ascii="Noto Sans" w:hAnsi="Noto Sans" w:eastAsia="Noto Sans CJK JP"/>
          <w:sz w:val="18"/>
        </w:rPr>
        <w:t>les Can-do valident les missions selon les règles de l’Étape 0 ou 1 ;</w:t>
      </w:r>
    </w:p>
    <w:p>
      <w:pPr>
        <w:pStyle w:val="ListBullet"/>
        <w:spacing w:after="24"/>
      </w:pPr>
      <w:r>
        <w:rPr>
          <w:rFonts w:ascii="Noto Sans" w:hAnsi="Noto Sans" w:eastAsia="Noto Sans CJK JP"/>
          <w:sz w:val="18"/>
        </w:rPr>
        <w:t>une mission terminée ne se reverrouille jamais après oubli ;</w:t>
      </w:r>
    </w:p>
    <w:p>
      <w:pPr>
        <w:pStyle w:val="ListBullet"/>
        <w:spacing w:after="24"/>
      </w:pPr>
      <w:r>
        <w:rPr>
          <w:rFonts w:ascii="Noto Sans" w:hAnsi="Noto Sans" w:eastAsia="Noto Sans CJK JP"/>
          <w:sz w:val="18"/>
        </w:rPr>
        <w:t>une session de révision peut être générée depuis les notions dues ;</w:t>
      </w:r>
    </w:p>
    <w:p>
      <w:pPr>
        <w:pStyle w:val="ListBullet"/>
        <w:spacing w:after="24"/>
      </w:pPr>
      <w:r>
        <w:rPr>
          <w:rFonts w:ascii="Noto Sans" w:hAnsi="Noto Sans" w:eastAsia="Noto Sans CJK JP"/>
          <w:sz w:val="18"/>
        </w:rPr>
        <w:t>le Mode libre fonctionne sur le contenu déjà débloqué ;</w:t>
      </w:r>
    </w:p>
    <w:p>
      <w:pPr>
        <w:pStyle w:val="ListBullet"/>
        <w:spacing w:after="24"/>
      </w:pPr>
      <w:r>
        <w:rPr>
          <w:rFonts w:ascii="Noto Sans" w:hAnsi="Noto Sans" w:eastAsia="Noto Sans CJK JP"/>
          <w:sz w:val="18"/>
        </w:rPr>
        <w:t>les bibliothèques vocabulaire / kanji reflètent le contenu réellement appris ;</w:t>
      </w:r>
    </w:p>
    <w:p>
      <w:pPr>
        <w:pStyle w:val="ListBullet"/>
        <w:spacing w:after="24"/>
      </w:pPr>
      <w:r>
        <w:rPr>
          <w:rFonts w:ascii="Noto Sans" w:hAnsi="Noto Sans" w:eastAsia="Noto Sans CJK JP"/>
          <w:sz w:val="18"/>
        </w:rPr>
        <w:t>la progression historique et la maîtrise actuelle sont affichées comme informations distinctes ;</w:t>
      </w:r>
    </w:p>
    <w:p>
      <w:pPr>
        <w:pStyle w:val="ListBullet"/>
        <w:spacing w:after="24"/>
      </w:pPr>
      <w:r>
        <w:rPr>
          <w:rFonts w:ascii="Noto Sans" w:hAnsi="Noto Sans" w:eastAsia="Noto Sans CJK JP"/>
          <w:sz w:val="18"/>
        </w:rPr>
        <w:t>les évaluations en plusieurs blocs conservent les blocs déjà réussis ;</w:t>
      </w:r>
    </w:p>
    <w:p>
      <w:pPr>
        <w:pStyle w:val="ListBullet"/>
        <w:spacing w:after="24"/>
      </w:pPr>
      <w:r>
        <w:rPr>
          <w:rFonts w:ascii="Noto Sans" w:hAnsi="Noto Sans" w:eastAsia="Noto Sans CJK JP"/>
          <w:sz w:val="18"/>
        </w:rPr>
        <w:t>les écrans fonctionnent sur mobile et desktop ;</w:t>
      </w:r>
    </w:p>
    <w:p>
      <w:pPr>
        <w:pStyle w:val="ListBullet"/>
        <w:spacing w:after="24"/>
      </w:pPr>
      <w:r>
        <w:rPr>
          <w:rFonts w:ascii="Noto Sans" w:hAnsi="Noto Sans" w:eastAsia="Noto Sans CJK JP"/>
          <w:sz w:val="18"/>
        </w:rPr>
        <w:t>une erreur réseau ou expiration de session ne doit pas perdre un brouillon important.</w:t>
      </w:r>
    </w:p>
    <w:p>
      <w:pPr>
        <w:pStyle w:val="Heading1"/>
        <w:keepNext w:val="1"/>
      </w:pPr>
      <w:r>
        <w:t>45. Ce que cette spécification laisse volontairement ouvert</w:t>
      </w:r>
    </w:p>
    <w:p>
      <w:pPr>
        <w:pStyle w:val="ListBullet"/>
        <w:spacing w:after="24"/>
      </w:pPr>
      <w:r>
        <w:rPr>
          <w:rFonts w:ascii="Noto Sans" w:hAnsi="Noto Sans" w:eastAsia="Noto Sans CJK JP"/>
          <w:sz w:val="18"/>
        </w:rPr>
        <w:t>la charte graphique finale et les maquettes pixel-perfect ;</w:t>
      </w:r>
    </w:p>
    <w:p>
      <w:pPr>
        <w:pStyle w:val="ListBullet"/>
        <w:spacing w:after="24"/>
      </w:pPr>
      <w:r>
        <w:rPr>
          <w:rFonts w:ascii="Noto Sans" w:hAnsi="Noto Sans" w:eastAsia="Noto Sans CJK JP"/>
          <w:sz w:val="18"/>
        </w:rPr>
        <w:t>l’algorithme SRS exact ;</w:t>
      </w:r>
    </w:p>
    <w:p>
      <w:pPr>
        <w:pStyle w:val="ListBullet"/>
        <w:spacing w:after="24"/>
      </w:pPr>
      <w:r>
        <w:rPr>
          <w:rFonts w:ascii="Noto Sans" w:hAnsi="Noto Sans" w:eastAsia="Noto Sans CJK JP"/>
          <w:sz w:val="18"/>
        </w:rPr>
        <w:t>la structure SQL ;</w:t>
      </w:r>
    </w:p>
    <w:p>
      <w:pPr>
        <w:pStyle w:val="ListBullet"/>
        <w:spacing w:after="24"/>
      </w:pPr>
      <w:r>
        <w:rPr>
          <w:rFonts w:ascii="Noto Sans" w:hAnsi="Noto Sans" w:eastAsia="Noto Sans CJK JP"/>
          <w:sz w:val="18"/>
        </w:rPr>
        <w:t>les routes et contrôleurs PHP ;</w:t>
      </w:r>
    </w:p>
    <w:p>
      <w:pPr>
        <w:pStyle w:val="ListBullet"/>
        <w:spacing w:after="24"/>
      </w:pPr>
      <w:r>
        <w:rPr>
          <w:rFonts w:ascii="Noto Sans" w:hAnsi="Noto Sans" w:eastAsia="Noto Sans CJK JP"/>
          <w:sz w:val="18"/>
        </w:rPr>
        <w:t>le système précis de cache / synchronisation locale ;</w:t>
      </w:r>
    </w:p>
    <w:p>
      <w:pPr>
        <w:pStyle w:val="ListBullet"/>
        <w:spacing w:after="24"/>
      </w:pPr>
      <w:r>
        <w:rPr>
          <w:rFonts w:ascii="Noto Sans" w:hAnsi="Noto Sans" w:eastAsia="Noto Sans CJK JP"/>
          <w:sz w:val="18"/>
        </w:rPr>
        <w:t>la frontière commercialement optimale entre gratuit et premium ;</w:t>
      </w:r>
    </w:p>
    <w:p>
      <w:pPr>
        <w:pStyle w:val="ListBullet"/>
        <w:spacing w:after="24"/>
      </w:pPr>
      <w:r>
        <w:rPr>
          <w:rFonts w:ascii="Noto Sans" w:hAnsi="Noto Sans" w:eastAsia="Noto Sans CJK JP"/>
          <w:sz w:val="18"/>
        </w:rPr>
        <w:t>les notifications push / e-mail ;</w:t>
      </w:r>
    </w:p>
    <w:p>
      <w:pPr>
        <w:pStyle w:val="ListBullet"/>
        <w:spacing w:after="24"/>
      </w:pPr>
      <w:r>
        <w:rPr>
          <w:rFonts w:ascii="Noto Sans" w:hAnsi="Noto Sans" w:eastAsia="Noto Sans CJK JP"/>
          <w:sz w:val="18"/>
        </w:rPr>
        <w:t>la reconnaissance vocale ;</w:t>
      </w:r>
    </w:p>
    <w:p>
      <w:pPr>
        <w:pStyle w:val="ListBullet"/>
        <w:spacing w:after="24"/>
      </w:pPr>
      <w:r>
        <w:rPr>
          <w:rFonts w:ascii="Noto Sans" w:hAnsi="Noto Sans" w:eastAsia="Noto Sans CJK JP"/>
          <w:sz w:val="18"/>
        </w:rPr>
        <w:t>les fonctionnalités sociales / amis / classement, qui ne sont pas nécessaires à la pédagogie actuelle.</w:t>
      </w:r>
    </w:p>
    <w:p>
      <w:pPr>
        <w:pStyle w:val="Heading1"/>
        <w:keepNext w:val="1"/>
      </w:pPr>
      <w:r>
        <w:t>46. Prochaine étape recommandée</w:t>
      </w:r>
    </w:p>
    <w:p>
      <w:r>
        <w:rPr>
          <w:rFonts w:ascii="Noto Sans" w:hAnsi="Noto Sans" w:eastAsia="Noto Sans CJK JP"/>
          <w:sz w:val="18"/>
        </w:rPr>
        <w:t>La pédagogie, le moteur d’exercices et les flux d’écrans sont maintenant suffisamment définis pour concevoir le modèle de données. La prochaine étape recommandée est donc le « Modèle conceptuel de données pédagogique et fonctionnel » : entités, relations, responsabilités et cardinalités, avant de traduire ce modèle en MariaDB / SQL.</w:t>
      </w:r>
    </w:p>
    <w:tbl>
      <w:tblPr>
        <w:tblW w:type="auto" w:w="0"/>
        <w:jc w:val="center"/>
        <w:tblLook w:firstColumn="1" w:firstRow="1" w:lastColumn="0" w:lastRow="0" w:noHBand="0" w:noVBand="1" w:val="04A0"/>
      </w:tblPr>
      <w:tblGrid>
        <w:gridCol w:w="10310"/>
      </w:tblGrid>
      <w:tr>
        <w:trPr>
          <w:cantSplit w:val="1"/>
        </w:trPr>
        <w:tc>
          <w:tcPr>
            <w:tcW w:type="dxa" w:w="10310"/>
            <w:shd w:fill="EEF6EA"/>
            <w:tcMar>
              <w:top w:w="95" w:type="dxa"/>
              <w:start w:w="125" w:type="dxa"/>
              <w:bottom w:w="95" w:type="dxa"/>
              <w:end w:w="125" w:type="dxa"/>
            </w:tcMar>
          </w:tcPr>
          <w:p>
            <w:pPr>
              <w:spacing w:after="40"/>
            </w:pPr>
            <w:r>
              <w:rPr>
                <w:rFonts w:ascii="Noto Sans" w:hAnsi="Noto Sans" w:eastAsia="Noto Sans CJK JP"/>
                <w:b/>
                <w:sz w:val="19"/>
              </w:rPr>
              <w:t>Ordre de travail proposé</w:t>
            </w:r>
          </w:p>
          <w:p>
            <w:pPr>
              <w:spacing w:after="0"/>
            </w:pPr>
            <w:r>
              <w:rPr>
                <w:rFonts w:ascii="Noto Sans" w:hAnsi="Noto Sans" w:eastAsia="Noto Sans CJK JP"/>
                <w:sz w:val="18"/>
              </w:rPr>
              <w:t>1) valider cette spécification fonctionnelle ; 2) créer le MCD ; 3) définir migrations / schéma SQL ; 4) définir services PHP et contrats front ; 5) construire le MVP Étapes 0–1 ; 6) tester le moteur avant d’industrialiser les missions 2–7.</w:t>
            </w:r>
          </w:p>
        </w:tc>
      </w:tr>
    </w:tbl>
    <w:p>
      <w:pPr>
        <w:spacing w:after="0"/>
      </w:pPr>
    </w:p>
    <w:p>
      <w:pPr>
        <w:pStyle w:val="Heading1"/>
        <w:keepNext w:val="1"/>
      </w:pPr>
      <w:r>
        <w:t>47. Documents de référence</w:t>
      </w:r>
    </w:p>
    <w:p>
      <w:pPr>
        <w:pStyle w:val="ListBullet"/>
        <w:spacing w:after="24"/>
      </w:pPr>
      <w:r>
        <w:rPr>
          <w:rFonts w:ascii="Noto Sans" w:hAnsi="Noto Sans" w:eastAsia="Noto Sans CJK JP"/>
          <w:sz w:val="18"/>
        </w:rPr>
        <w:t>Architecture pédagogique commune des missions.</w:t>
      </w:r>
    </w:p>
    <w:p>
      <w:pPr>
        <w:pStyle w:val="ListBullet"/>
        <w:spacing w:after="24"/>
      </w:pPr>
      <w:r>
        <w:rPr>
          <w:rFonts w:ascii="Noto Sans" w:hAnsi="Noto Sans" w:eastAsia="Noto Sans CJK JP"/>
          <w:sz w:val="18"/>
        </w:rPr>
        <w:t>Spécification détaillée des missions — Étape 0.</w:t>
      </w:r>
    </w:p>
    <w:p>
      <w:pPr>
        <w:pStyle w:val="ListBullet"/>
        <w:spacing w:after="24"/>
      </w:pPr>
      <w:r>
        <w:rPr>
          <w:rFonts w:ascii="Noto Sans" w:hAnsi="Noto Sans" w:eastAsia="Noto Sans CJK JP"/>
          <w:sz w:val="18"/>
        </w:rPr>
        <w:t>Spécification détaillée des missions — Étape 1.</w:t>
      </w:r>
    </w:p>
    <w:p>
      <w:pPr>
        <w:pStyle w:val="ListBullet"/>
        <w:spacing w:after="24"/>
      </w:pPr>
      <w:r>
        <w:rPr>
          <w:rFonts w:ascii="Noto Sans" w:hAnsi="Noto Sans" w:eastAsia="Noto Sans CJK JP"/>
          <w:sz w:val="18"/>
        </w:rPr>
        <w:t>Catalogue technique du moteur d’exercices.</w:t>
      </w:r>
    </w:p>
    <w:p>
      <w:pPr>
        <w:pStyle w:val="ListBullet"/>
        <w:spacing w:after="24"/>
      </w:pPr>
      <w:r>
        <w:rPr>
          <w:rFonts w:ascii="Noto Sans" w:hAnsi="Noto Sans" w:eastAsia="Noto Sans CJK JP"/>
          <w:sz w:val="18"/>
        </w:rPr>
        <w:t>Étapes 0 à 7 corrigées, utilisées pour vérifier les besoins d’évolution jusqu’au Mode autonomie.</w:t>
      </w:r>
    </w:p>
    <w:sectPr w:rsidR="00FC693F" w:rsidRPr="0006063C" w:rsidSect="00034616">
      <w:footerReference w:type="default" r:id="rId9"/>
      <w:headerReference w:type="default" r:id="rId10"/>
      <w:pgSz w:w="12240" w:h="15840"/>
      <w:pgMar w:top="922" w:right="965" w:bottom="922"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4"/>
      </w:rPr>
      <w:t>Application japonais — Spécification fonctionnelle de l’application et des écrans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