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Noto Sans" w:hAnsi="Noto Sans" w:eastAsia="Noto Sans CJK JP"/>
          <w:b/>
          <w:color w:val="50646E"/>
          <w:sz w:val="22"/>
        </w:rPr>
        <w:t>APPRENTISSAGE DU JAPONAIS</w:t>
      </w:r>
    </w:p>
    <w:p>
      <w:pPr>
        <w:pStyle w:val="Title"/>
        <w:jc w:val="center"/>
      </w:pPr>
      <w:r>
        <w:rPr>
          <w:rFonts w:ascii="Noto Sans" w:hAnsi="Noto Sans" w:eastAsia="Noto Sans CJK JP"/>
          <w:b/>
          <w:color w:val="19374B"/>
          <w:sz w:val="48"/>
        </w:rPr>
        <w:t>Étape 6 — Japonais avancé général</w:t>
      </w:r>
    </w:p>
    <w:p>
      <w:pPr>
        <w:jc w:val="center"/>
      </w:pPr>
      <w:r>
        <w:rPr>
          <w:rFonts w:ascii="Noto Sans" w:hAnsi="Noto Sans" w:eastAsia="Noto Sans CJK JP"/>
          <w:color w:val="375564"/>
          <w:sz w:val="22"/>
        </w:rPr>
        <w:t>Nuances • Argumentation • Écrit formel • Keigo • Presse • Exposés • Registres professionnels</w:t>
      </w:r>
    </w:p>
    <w:p/>
    <w:tbl>
      <w:tblPr>
        <w:tblW w:type="auto" w:w="0"/>
        <w:jc w:val="center"/>
        <w:tblLook w:firstColumn="1" w:firstRow="1" w:lastColumn="0" w:lastRow="0" w:noHBand="0" w:noVBand="1" w:val="04A0"/>
      </w:tblPr>
      <w:tblGrid>
        <w:gridCol w:w="10224"/>
      </w:tblGrid>
      <w:tr>
        <w:trPr>
          <w:cantSplit/>
        </w:trPr>
        <w:tc>
          <w:tcPr>
            <w:tcW w:type="dxa" w:w="10224"/>
            <w:shd w:fill="E8F3F6"/>
            <w:tcMar>
              <w:top w:w="105" w:type="dxa"/>
              <w:start w:w="135" w:type="dxa"/>
              <w:bottom w:w="105" w:type="dxa"/>
              <w:end w:w="135" w:type="dxa"/>
            </w:tcMar>
          </w:tcPr>
          <w:p>
            <w:r/>
            <w:r>
              <w:rPr>
                <w:rFonts w:ascii="Noto Sans" w:hAnsi="Noto Sans" w:eastAsia="Noto Sans CJK JP"/>
                <w:b/>
                <w:sz w:val="20"/>
              </w:rPr>
              <w:t>But de cette étape</w:t>
            </w:r>
          </w:p>
          <w:p>
            <w:r>
              <w:rPr>
                <w:rFonts w:ascii="Noto Sans" w:hAnsi="Noto Sans" w:eastAsia="Noto Sans CJK JP"/>
                <w:sz w:val="19"/>
              </w:rPr>
              <w:t>À la fin de l’étape 6, l’utilisateur peut comprendre et produire un japonais complexe dans une grande variété de situations générales. Il sait structurer une argumentation, comparer finement des nuances déjà connues, comprendre des textes d’information ou d’opinion, adapter son registre à une situation professionnelle, utiliser les bases systématiques du keigo, suivre des contenus oraux longs à vitesse naturelle et maintenir une prosodie suffisamment claire et stable dans un discours prolongé.</w:t>
            </w:r>
          </w:p>
        </w:tc>
      </w:tr>
    </w:tbl>
    <w:p>
      <w:pPr>
        <w:spacing w:after="0"/>
      </w:pPr>
    </w:p>
    <w:p>
      <w:pPr>
        <w:jc w:val="center"/>
      </w:pPr>
      <w:r>
        <w:rPr>
          <w:rFonts w:ascii="Noto Sans" w:hAnsi="Noto Sans" w:eastAsia="Noto Sans CJK JP"/>
          <w:color w:val="5A6469"/>
          <w:sz w:val="18"/>
        </w:rPr>
        <w:t>Version de cadrage pédagogique — destinée a servir de référence avant le découpage en missions.</w:t>
      </w:r>
      <w:r>
        <w:br w:type="page"/>
      </w:r>
    </w:p>
    <w:p>
      <w:r/>
    </w:p>
    <w:p>
      <w:pPr>
        <w:pStyle w:val="Heading1"/>
      </w:pPr>
      <w:r>
        <w:t>1. Position de l'étape 6 dans le parcours global</w:t>
      </w:r>
    </w:p>
    <w:p>
      <w:r>
        <w:rPr>
          <w:rFonts w:ascii="Noto Sans" w:hAnsi="Noto Sans" w:eastAsia="Noto Sans CJK JP"/>
          <w:sz w:val="20"/>
        </w:rPr>
        <w:t>L'étape 5 a appris à comprendre le japonais intermédiaire naturel : contractions, implicite, interaction, passif / causatif, modalité et registres conversationnels. L'étape 6 change encore d'échelle. Le but est maintenant de comprendre des raisonnements complets, des textes plus formels, des informations abstraites et des relations sociales plus exigeantes.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Avant</w:t>
            </w:r>
          </w:p>
        </w:tc>
        <w:tc>
          <w:tcPr>
            <w:tcW w:type="dxa" w:w="3408"/>
            <w:shd w:fill="DCEAF0"/>
            <w:tcMar>
              <w:top w:w="65" w:type="dxa"/>
              <w:start w:w="90" w:type="dxa"/>
              <w:bottom w:w="65" w:type="dxa"/>
              <w:end w:w="90" w:type="dxa"/>
            </w:tcMar>
          </w:tcPr>
          <w:p>
            <w:r>
              <w:rPr>
                <w:rFonts w:ascii="Noto Sans" w:hAnsi="Noto Sans" w:eastAsia="Noto Sans CJK JP"/>
                <w:b/>
                <w:sz w:val="17"/>
              </w:rPr>
              <w:t>Étape 6</w:t>
            </w:r>
          </w:p>
        </w:tc>
        <w:tc>
          <w:tcPr>
            <w:tcW w:type="dxa" w:w="3408"/>
            <w:shd w:fill="DCEAF0"/>
            <w:tcMar>
              <w:top w:w="65" w:type="dxa"/>
              <w:start w:w="90" w:type="dxa"/>
              <w:bottom w:w="65" w:type="dxa"/>
              <w:end w:w="90" w:type="dxa"/>
            </w:tcMar>
          </w:tcPr>
          <w:p>
            <w:r>
              <w:rPr>
                <w:rFonts w:ascii="Noto Sans" w:hAnsi="Noto Sans" w:eastAsia="Noto Sans CJK JP"/>
                <w:b/>
                <w:sz w:val="17"/>
              </w:rPr>
              <w:t>Après</w:t>
            </w:r>
          </w:p>
        </w:tc>
      </w:tr>
      <w:tr>
        <w:trPr>
          <w:cantSplit/>
        </w:trPr>
        <w:tc>
          <w:tcPr>
            <w:tcW w:type="dxa" w:w="3408"/>
            <w:tcMar>
              <w:top w:w="50" w:type="dxa"/>
              <w:start w:w="75" w:type="dxa"/>
              <w:bottom w:w="50" w:type="dxa"/>
              <w:end w:w="75" w:type="dxa"/>
            </w:tcMar>
          </w:tcPr>
          <w:p>
            <w:r>
              <w:rPr>
                <w:rFonts w:ascii="Noto Sans" w:hAnsi="Noto Sans" w:eastAsia="Noto Sans CJK JP"/>
                <w:sz w:val="16"/>
              </w:rPr>
              <w:t>Conversation naturelle sur sujets familiers</w:t>
            </w:r>
          </w:p>
        </w:tc>
        <w:tc>
          <w:tcPr>
            <w:tcW w:type="dxa" w:w="3408"/>
            <w:tcMar>
              <w:top w:w="50" w:type="dxa"/>
              <w:start w:w="75" w:type="dxa"/>
              <w:bottom w:w="50" w:type="dxa"/>
              <w:end w:w="75" w:type="dxa"/>
            </w:tcMar>
          </w:tcPr>
          <w:p>
            <w:r>
              <w:rPr>
                <w:rFonts w:ascii="Noto Sans" w:hAnsi="Noto Sans" w:eastAsia="Noto Sans CJK JP"/>
                <w:sz w:val="16"/>
              </w:rPr>
              <w:t>Discussion argumentée sur de nombreux sujets</w:t>
            </w:r>
          </w:p>
        </w:tc>
        <w:tc>
          <w:tcPr>
            <w:tcW w:type="dxa" w:w="3408"/>
            <w:tcMar>
              <w:top w:w="50" w:type="dxa"/>
              <w:start w:w="75" w:type="dxa"/>
              <w:bottom w:w="50" w:type="dxa"/>
              <w:end w:w="75" w:type="dxa"/>
            </w:tcMar>
          </w:tcPr>
          <w:p>
            <w:r>
              <w:rPr>
                <w:rFonts w:ascii="Noto Sans" w:hAnsi="Noto Sans" w:eastAsia="Noto Sans CJK JP"/>
                <w:sz w:val="16"/>
              </w:rPr>
              <w:t>Autonomie quasi complète et spécialisation</w:t>
            </w:r>
          </w:p>
        </w:tc>
      </w:tr>
      <w:tr>
        <w:trPr>
          <w:cantSplit/>
        </w:trPr>
        <w:tc>
          <w:tcPr>
            <w:tcW w:type="dxa" w:w="3408"/>
            <w:tcMar>
              <w:top w:w="50" w:type="dxa"/>
              <w:start w:w="75" w:type="dxa"/>
              <w:bottom w:w="50" w:type="dxa"/>
              <w:end w:w="75" w:type="dxa"/>
            </w:tcMar>
          </w:tcPr>
          <w:p>
            <w:r>
              <w:rPr>
                <w:rFonts w:ascii="Noto Sans" w:hAnsi="Noto Sans" w:eastAsia="Noto Sans CJK JP"/>
                <w:sz w:val="16"/>
              </w:rPr>
              <w:t>Textes intermédiaires</w:t>
            </w:r>
          </w:p>
        </w:tc>
        <w:tc>
          <w:tcPr>
            <w:tcW w:type="dxa" w:w="3408"/>
            <w:tcMar>
              <w:top w:w="50" w:type="dxa"/>
              <w:start w:w="75" w:type="dxa"/>
              <w:bottom w:w="50" w:type="dxa"/>
              <w:end w:w="75" w:type="dxa"/>
            </w:tcMar>
          </w:tcPr>
          <w:p>
            <w:r>
              <w:rPr>
                <w:rFonts w:ascii="Noto Sans" w:hAnsi="Noto Sans" w:eastAsia="Noto Sans CJK JP"/>
                <w:sz w:val="16"/>
              </w:rPr>
              <w:t>Articles, commentaires, rapports, essais accessibles</w:t>
            </w:r>
          </w:p>
        </w:tc>
        <w:tc>
          <w:tcPr>
            <w:tcW w:type="dxa" w:w="3408"/>
            <w:tcMar>
              <w:top w:w="50" w:type="dxa"/>
              <w:start w:w="75" w:type="dxa"/>
              <w:bottom w:w="50" w:type="dxa"/>
              <w:end w:w="75" w:type="dxa"/>
            </w:tcMar>
          </w:tcPr>
          <w:p>
            <w:r>
              <w:rPr>
                <w:rFonts w:ascii="Noto Sans" w:hAnsi="Noto Sans" w:eastAsia="Noto Sans CJK JP"/>
                <w:sz w:val="16"/>
              </w:rPr>
              <w:t>Textes littéraires, académiques et spécialisés complexes</w:t>
            </w:r>
          </w:p>
        </w:tc>
      </w:tr>
      <w:tr>
        <w:trPr>
          <w:cantSplit/>
        </w:trPr>
        <w:tc>
          <w:tcPr>
            <w:tcW w:type="dxa" w:w="3408"/>
            <w:tcMar>
              <w:top w:w="50" w:type="dxa"/>
              <w:start w:w="75" w:type="dxa"/>
              <w:bottom w:w="50" w:type="dxa"/>
              <w:end w:w="75" w:type="dxa"/>
            </w:tcMar>
          </w:tcPr>
          <w:p>
            <w:r>
              <w:rPr>
                <w:rFonts w:ascii="Noto Sans" w:hAnsi="Noto Sans" w:eastAsia="Noto Sans CJK JP"/>
                <w:sz w:val="16"/>
              </w:rPr>
              <w:t>Politesse contextuelle</w:t>
            </w:r>
          </w:p>
        </w:tc>
        <w:tc>
          <w:tcPr>
            <w:tcW w:type="dxa" w:w="3408"/>
            <w:tcMar>
              <w:top w:w="50" w:type="dxa"/>
              <w:start w:w="75" w:type="dxa"/>
              <w:bottom w:w="50" w:type="dxa"/>
              <w:end w:w="75" w:type="dxa"/>
            </w:tcMar>
          </w:tcPr>
          <w:p>
            <w:r>
              <w:rPr>
                <w:rFonts w:ascii="Noto Sans" w:hAnsi="Noto Sans" w:eastAsia="Noto Sans CJK JP"/>
                <w:sz w:val="16"/>
              </w:rPr>
              <w:t>Keigo structuré et registre professionnel</w:t>
            </w:r>
          </w:p>
        </w:tc>
        <w:tc>
          <w:tcPr>
            <w:tcW w:type="dxa" w:w="3408"/>
            <w:tcMar>
              <w:top w:w="50" w:type="dxa"/>
              <w:start w:w="75" w:type="dxa"/>
              <w:bottom w:w="50" w:type="dxa"/>
              <w:end w:w="75" w:type="dxa"/>
            </w:tcMar>
          </w:tcPr>
          <w:p>
            <w:r>
              <w:rPr>
                <w:rFonts w:ascii="Noto Sans" w:hAnsi="Noto Sans" w:eastAsia="Noto Sans CJK JP"/>
                <w:sz w:val="16"/>
              </w:rPr>
              <w:t>Nuances fines, conventions spécialisées</w:t>
            </w:r>
          </w:p>
        </w:tc>
      </w:tr>
      <w:tr>
        <w:trPr>
          <w:cantSplit/>
        </w:trPr>
        <w:tc>
          <w:tcPr>
            <w:tcW w:type="dxa" w:w="3408"/>
            <w:tcMar>
              <w:top w:w="50" w:type="dxa"/>
              <w:start w:w="75" w:type="dxa"/>
              <w:bottom w:w="50" w:type="dxa"/>
              <w:end w:w="75" w:type="dxa"/>
            </w:tcMar>
          </w:tcPr>
          <w:p>
            <w:r>
              <w:rPr>
                <w:rFonts w:ascii="Noto Sans" w:hAnsi="Noto Sans" w:eastAsia="Noto Sans CJK JP"/>
                <w:sz w:val="16"/>
              </w:rPr>
              <w:t>Nuances grammaticales intermédiaires</w:t>
            </w:r>
          </w:p>
        </w:tc>
        <w:tc>
          <w:tcPr>
            <w:tcW w:type="dxa" w:w="3408"/>
            <w:tcMar>
              <w:top w:w="50" w:type="dxa"/>
              <w:start w:w="75" w:type="dxa"/>
              <w:bottom w:w="50" w:type="dxa"/>
              <w:end w:w="75" w:type="dxa"/>
            </w:tcMar>
          </w:tcPr>
          <w:p>
            <w:r>
              <w:rPr>
                <w:rFonts w:ascii="Noto Sans" w:hAnsi="Noto Sans" w:eastAsia="Noto Sans CJK JP"/>
                <w:sz w:val="16"/>
              </w:rPr>
              <w:t>Organisation logique, concession, modalité avancée</w:t>
            </w:r>
          </w:p>
        </w:tc>
        <w:tc>
          <w:tcPr>
            <w:tcW w:type="dxa" w:w="3408"/>
            <w:tcMar>
              <w:top w:w="50" w:type="dxa"/>
              <w:start w:w="75" w:type="dxa"/>
              <w:bottom w:w="50" w:type="dxa"/>
              <w:end w:w="75" w:type="dxa"/>
            </w:tcMar>
          </w:tcPr>
          <w:p>
            <w:r>
              <w:rPr>
                <w:rFonts w:ascii="Noto Sans" w:hAnsi="Noto Sans" w:eastAsia="Noto Sans CJK JP"/>
                <w:sz w:val="16"/>
              </w:rPr>
              <w:t>Style, rhétorique et implicite de haut niveau</w:t>
            </w:r>
          </w:p>
        </w:tc>
      </w:tr>
    </w:tbl>
    <w:p>
      <w:pPr>
        <w:pStyle w:val="Heading1"/>
      </w:pPr>
      <w:r>
        <w:t>2. Prérequis</w:t>
      </w:r>
    </w:p>
    <w:p>
      <w:pPr>
        <w:pStyle w:val="ListBullet"/>
        <w:spacing w:after="40"/>
      </w:pPr>
      <w:r>
        <w:rPr>
          <w:rFonts w:ascii="Noto Sans" w:hAnsi="Noto Sans" w:eastAsia="Noto Sans CJK JP"/>
          <w:sz w:val="19"/>
        </w:rPr>
        <w:t>avoir validé l'étape 5 ;</w:t>
      </w:r>
    </w:p>
    <w:p>
      <w:pPr>
        <w:pStyle w:val="ListBullet"/>
        <w:spacing w:after="40"/>
      </w:pPr>
      <w:r>
        <w:rPr>
          <w:rFonts w:ascii="Noto Sans" w:hAnsi="Noto Sans" w:eastAsia="Noto Sans CJK JP"/>
          <w:sz w:val="19"/>
        </w:rPr>
        <w:t>comprendre le japonais parlé à vitesse naturelle sur des sujets familiers ;</w:t>
      </w:r>
    </w:p>
    <w:p>
      <w:pPr>
        <w:pStyle w:val="ListBullet"/>
        <w:spacing w:after="40"/>
      </w:pPr>
      <w:r>
        <w:rPr>
          <w:rFonts w:ascii="Noto Sans" w:hAnsi="Noto Sans" w:eastAsia="Noto Sans CJK JP"/>
          <w:sz w:val="19"/>
        </w:rPr>
        <w:t>gérer le passif, causatif et causatif-passif dans les usages principaux ;</w:t>
      </w:r>
    </w:p>
    <w:p>
      <w:pPr>
        <w:pStyle w:val="ListBullet"/>
        <w:spacing w:after="40"/>
      </w:pPr>
      <w:r>
        <w:rPr>
          <w:rFonts w:ascii="Noto Sans" w:hAnsi="Noto Sans" w:eastAsia="Noto Sans CJK JP"/>
          <w:sz w:val="19"/>
        </w:rPr>
        <w:t>comprendre les contractions conversationnelles fréquentes et les ellipses ;</w:t>
      </w:r>
    </w:p>
    <w:p>
      <w:pPr>
        <w:pStyle w:val="ListBullet"/>
        <w:spacing w:after="40"/>
      </w:pPr>
      <w:r>
        <w:rPr>
          <w:rFonts w:ascii="Noto Sans" w:hAnsi="Noto Sans" w:eastAsia="Noto Sans CJK JP"/>
          <w:sz w:val="19"/>
        </w:rPr>
        <w:t>participer à une conversation en utilisant aizuchi, reformulation et refus indirect ;</w:t>
      </w:r>
    </w:p>
    <w:p>
      <w:pPr>
        <w:pStyle w:val="ListBullet"/>
        <w:spacing w:after="40"/>
      </w:pPr>
      <w:r>
        <w:rPr>
          <w:rFonts w:ascii="Noto Sans" w:hAnsi="Noto Sans" w:eastAsia="Noto Sans CJK JP"/>
          <w:sz w:val="19"/>
        </w:rPr>
        <w:t>maîtriser les usages quotidiens de はず, わけ et べき, et reconnaître les principales nuances de らしい, よう, そう et に違いない ;</w:t>
      </w:r>
    </w:p>
    <w:p>
      <w:pPr>
        <w:pStyle w:val="ListBullet"/>
        <w:spacing w:after="40"/>
      </w:pPr>
      <w:r>
        <w:rPr>
          <w:rFonts w:ascii="Noto Sans" w:hAnsi="Noto Sans" w:eastAsia="Noto Sans CJK JP"/>
          <w:sz w:val="19"/>
        </w:rPr>
        <w:t>lire des textes courts à moyens sans dépendance systématique aux furigana ;</w:t>
      </w:r>
    </w:p>
    <w:p>
      <w:pPr>
        <w:pStyle w:val="ListBullet"/>
        <w:spacing w:after="40"/>
      </w:pPr>
      <w:r>
        <w:rPr>
          <w:rFonts w:ascii="Noto Sans" w:hAnsi="Noto Sans" w:eastAsia="Noto Sans CJK JP"/>
          <w:sz w:val="19"/>
        </w:rPr>
        <w:t>rédiger un paragraphe cohérent exprimant une opinion et des raisons.</w:t>
      </w:r>
    </w:p>
    <w:p>
      <w:pPr>
        <w:pStyle w:val="Heading1"/>
      </w:pPr>
      <w:r>
        <w:t>3. Objectifs de sortie</w:t>
      </w:r>
    </w:p>
    <w:p>
      <w:r>
        <w:rPr>
          <w:rFonts w:ascii="Noto Sans" w:hAnsi="Noto Sans" w:eastAsia="Noto Sans CJK JP"/>
          <w:sz w:val="20"/>
        </w:rPr>
        <w:t>Pour valider l'étape 6, l'utilisateur doit être capable de :</w:t>
      </w:r>
    </w:p>
    <w:p>
      <w:pPr>
        <w:pStyle w:val="ListBullet"/>
        <w:spacing w:after="40"/>
      </w:pPr>
      <w:r>
        <w:rPr>
          <w:rFonts w:ascii="Noto Sans" w:hAnsi="Noto Sans" w:eastAsia="Noto Sans CJK JP"/>
          <w:sz w:val="19"/>
        </w:rPr>
        <w:t>organisér un discours ou un texte avec introduction, développement, opposition, justification et conclusion ;</w:t>
      </w:r>
    </w:p>
    <w:p>
      <w:pPr>
        <w:pStyle w:val="ListBullet"/>
        <w:spacing w:after="40"/>
      </w:pPr>
      <w:r>
        <w:rPr>
          <w:rFonts w:ascii="Noto Sans" w:hAnsi="Noto Sans" w:eastAsia="Noto Sans CJK JP"/>
          <w:sz w:val="19"/>
        </w:rPr>
        <w:t>exprimer avec précision certitude, déduction, obligation, limitation, concession et évaluation, en tenant compte du registre et de la force argumentative ;</w:t>
      </w:r>
    </w:p>
    <w:p>
      <w:pPr>
        <w:pStyle w:val="ListBullet"/>
        <w:spacing w:after="40"/>
      </w:pPr>
      <w:r>
        <w:rPr>
          <w:rFonts w:ascii="Noto Sans" w:hAnsi="Noto Sans" w:eastAsia="Noto Sans CJK JP"/>
          <w:sz w:val="19"/>
        </w:rPr>
        <w:t>comparer des structures déjà connues selon nuance, registre, force, restriction d’emploi et effet discursif, au lieu de simplement les traduire ;</w:t>
      </w:r>
    </w:p>
    <w:p>
      <w:pPr>
        <w:pStyle w:val="ListBullet"/>
        <w:spacing w:after="40"/>
      </w:pPr>
      <w:r>
        <w:rPr>
          <w:rFonts w:ascii="Noto Sans" w:hAnsi="Noto Sans" w:eastAsia="Noto Sans CJK JP"/>
          <w:sz w:val="19"/>
        </w:rPr>
        <w:t>utiliser ～に違いない de façon productive comme forme de forte déduction et le distinguer de はず, らしい, ようだ et autres formes voisines ;</w:t>
      </w:r>
    </w:p>
    <w:p>
      <w:pPr>
        <w:pStyle w:val="ListBullet"/>
        <w:spacing w:after="40"/>
      </w:pPr>
      <w:r>
        <w:rPr>
          <w:rFonts w:ascii="Noto Sans" w:hAnsi="Noto Sans" w:eastAsia="Noto Sans CJK JP"/>
          <w:sz w:val="19"/>
        </w:rPr>
        <w:t>comprendre les usages institutionnels de ～ことになっている / ～ようになっている sans réapprendre les usages quotidiens de ～ことにする / ～ことになる déjà étudiés ;</w:t>
      </w:r>
    </w:p>
    <w:p>
      <w:pPr>
        <w:pStyle w:val="ListBullet"/>
        <w:spacing w:after="40"/>
      </w:pPr>
      <w:r>
        <w:rPr>
          <w:rFonts w:ascii="Noto Sans" w:hAnsi="Noto Sans" w:eastAsia="Noto Sans CJK JP"/>
          <w:sz w:val="19"/>
        </w:rPr>
        <w:t>produire une présentation longue avec rythme, pauses, focalisation et intonation suffisamment naturels pour rester facilement intelligible ;</w:t>
      </w:r>
    </w:p>
    <w:p>
      <w:pPr>
        <w:pStyle w:val="ListBullet"/>
        <w:spacing w:after="40"/>
      </w:pPr>
      <w:r>
        <w:rPr>
          <w:rFonts w:ascii="Noto Sans" w:hAnsi="Noto Sans" w:eastAsia="Noto Sans CJK JP"/>
          <w:sz w:val="19"/>
        </w:rPr>
        <w:t>comprendre les grands connecteurs de l'écrit formel et de l'argumentation ;</w:t>
      </w:r>
    </w:p>
    <w:p>
      <w:pPr>
        <w:pStyle w:val="ListBullet"/>
        <w:spacing w:after="40"/>
      </w:pPr>
      <w:r>
        <w:rPr>
          <w:rFonts w:ascii="Noto Sans" w:hAnsi="Noto Sans" w:eastAsia="Noto Sans CJK JP"/>
          <w:sz w:val="19"/>
        </w:rPr>
        <w:t>lire un article ou commentaire général et identifier thèse, arguments, exemples et position de l'auteur ;</w:t>
      </w:r>
    </w:p>
    <w:p>
      <w:pPr>
        <w:pStyle w:val="ListBullet"/>
        <w:spacing w:after="40"/>
      </w:pPr>
      <w:r>
        <w:rPr>
          <w:rFonts w:ascii="Noto Sans" w:hAnsi="Noto Sans" w:eastAsia="Noto Sans CJK JP"/>
          <w:sz w:val="19"/>
        </w:rPr>
        <w:t>suivre une présentation, un reportage, un entretien ou une discussion longue à vitesse naturelle ;</w:t>
      </w:r>
    </w:p>
    <w:p>
      <w:pPr>
        <w:pStyle w:val="ListBullet"/>
        <w:spacing w:after="40"/>
      </w:pPr>
      <w:r>
        <w:rPr>
          <w:rFonts w:ascii="Noto Sans" w:hAnsi="Noto Sans" w:eastAsia="Noto Sans CJK JP"/>
          <w:sz w:val="19"/>
        </w:rPr>
        <w:t>résumer un contenu oral ou écrit avec ses propres mots ;</w:t>
      </w:r>
    </w:p>
    <w:p>
      <w:pPr>
        <w:pStyle w:val="ListBullet"/>
        <w:spacing w:after="40"/>
      </w:pPr>
      <w:r>
        <w:rPr>
          <w:rFonts w:ascii="Noto Sans" w:hAnsi="Noto Sans" w:eastAsia="Noto Sans CJK JP"/>
          <w:sz w:val="19"/>
        </w:rPr>
        <w:t>défendre une opinion, nuancer son accord ou son désaccord et répondre à un contre-argument ;</w:t>
      </w:r>
    </w:p>
    <w:p>
      <w:pPr>
        <w:pStyle w:val="ListBullet"/>
        <w:spacing w:after="40"/>
      </w:pPr>
      <w:r>
        <w:rPr>
          <w:rFonts w:ascii="Noto Sans" w:hAnsi="Noto Sans" w:eastAsia="Noto Sans CJK JP"/>
          <w:sz w:val="19"/>
        </w:rPr>
        <w:t>utiliser les trois grands domaines du keigo : teineigo, sonkeigo et kenjogo ;</w:t>
      </w:r>
    </w:p>
    <w:p>
      <w:pPr>
        <w:pStyle w:val="ListBullet"/>
        <w:spacing w:after="40"/>
      </w:pPr>
      <w:r>
        <w:rPr>
          <w:rFonts w:ascii="Noto Sans" w:hAnsi="Noto Sans" w:eastAsia="Noto Sans CJK JP"/>
          <w:sz w:val="19"/>
        </w:rPr>
        <w:t>choisir un registre adapté à un client, un supérieur, un collègue, une connaissance ou un proche ;</w:t>
      </w:r>
    </w:p>
    <w:p>
      <w:pPr>
        <w:pStyle w:val="ListBullet"/>
        <w:spacing w:after="40"/>
      </w:pPr>
      <w:r>
        <w:rPr>
          <w:rFonts w:ascii="Noto Sans" w:hAnsi="Noto Sans" w:eastAsia="Noto Sans CJK JP"/>
          <w:sz w:val="19"/>
        </w:rPr>
        <w:t>rédiger un mail professionnel simple, une demande formelle, un compte rendu court ou un texte argumentatif ;</w:t>
      </w:r>
    </w:p>
    <w:p>
      <w:pPr>
        <w:pStyle w:val="ListBullet"/>
        <w:spacing w:after="40"/>
      </w:pPr>
      <w:r>
        <w:rPr>
          <w:rFonts w:ascii="Noto Sans" w:hAnsi="Noto Sans" w:eastAsia="Noto Sans CJK JP"/>
          <w:sz w:val="19"/>
        </w:rPr>
        <w:t>comprendre les conventions de l'écrit en style です / ます et en style だ / である ;</w:t>
      </w:r>
    </w:p>
    <w:p>
      <w:pPr>
        <w:pStyle w:val="ListBullet"/>
        <w:spacing w:after="40"/>
      </w:pPr>
      <w:r>
        <w:rPr>
          <w:rFonts w:ascii="Noto Sans" w:hAnsi="Noto Sans" w:eastAsia="Noto Sans CJK JP"/>
          <w:sz w:val="19"/>
        </w:rPr>
        <w:t>développer un vocabulaire abstrait, des collocations et des familles lexicales ;</w:t>
      </w:r>
    </w:p>
    <w:p>
      <w:pPr>
        <w:pStyle w:val="ListBullet"/>
        <w:spacing w:after="40"/>
      </w:pPr>
      <w:r>
        <w:rPr>
          <w:rFonts w:ascii="Noto Sans" w:hAnsi="Noto Sans" w:eastAsia="Noto Sans CJK JP"/>
          <w:sz w:val="19"/>
        </w:rPr>
        <w:t>comprendre des mots inconnus en utilisant contexte, morphologie, kanji et reformulation ;</w:t>
      </w:r>
    </w:p>
    <w:p>
      <w:pPr>
        <w:pStyle w:val="ListBullet"/>
        <w:spacing w:after="40"/>
      </w:pPr>
      <w:r>
        <w:rPr>
          <w:rFonts w:ascii="Noto Sans" w:hAnsi="Noto Sans" w:eastAsia="Noto Sans CJK JP"/>
          <w:sz w:val="19"/>
        </w:rPr>
        <w:t>lire une densité de kanji proche de textes authentiques généraux avec une aide de plus en plus rare.</w:t>
      </w:r>
    </w:p>
    <w:p>
      <w:pPr>
        <w:pStyle w:val="Heading1"/>
      </w:pPr>
      <w:r>
        <w:t>4. Principe pédagogique : apprendre par fonction communicative</w:t>
      </w:r>
    </w:p>
    <w:p>
      <w:r>
        <w:rPr>
          <w:rFonts w:ascii="Noto Sans" w:hAnsi="Noto Sans" w:eastAsia="Noto Sans CJK JP"/>
          <w:sz w:val="20"/>
        </w:rPr>
        <w:t>À ce niveau, il serait inefficace de faire une mission par structure grammaticale. Plusieurs formes expriment par exemple la concession, la cause ou la certitude. Les missions devront donc partir de l'intention : « présenter une objection », « limiter une affirmation », « expliquer une évolution », puis comparer les outils disponibles.</w:t>
      </w:r>
    </w:p>
    <w:tbl>
      <w:tblPr>
        <w:tblW w:type="auto" w:w="0"/>
        <w:jc w:val="center"/>
        <w:tblLook w:firstColumn="1" w:firstRow="1" w:lastColumn="0" w:lastRow="0" w:noHBand="0" w:noVBand="1" w:val="04A0"/>
      </w:tblPr>
      <w:tblGrid>
        <w:gridCol w:w="10224"/>
      </w:tblGrid>
      <w:tr>
        <w:trPr>
          <w:cantSplit/>
        </w:trPr>
        <w:tc>
          <w:tcPr>
            <w:tcW w:type="dxa" w:w="10224"/>
            <w:shd w:fill="FFF4DE"/>
            <w:tcMar>
              <w:top w:w="105" w:type="dxa"/>
              <w:start w:w="135" w:type="dxa"/>
              <w:bottom w:w="105" w:type="dxa"/>
              <w:end w:w="135" w:type="dxa"/>
            </w:tcMar>
          </w:tcPr>
          <w:p>
            <w:pPr>
              <w:spacing w:after="60"/>
            </w:pPr>
            <w:r>
              <w:rPr>
                <w:rFonts w:ascii="Noto Sans" w:hAnsi="Noto Sans" w:eastAsia="Noto Sans CJK JP"/>
                <w:b/>
                <w:sz w:val="20"/>
              </w:rPr>
              <w:t>Exemple</w:t>
            </w:r>
          </w:p>
          <w:p>
            <w:pPr>
              <w:spacing w:after="0"/>
            </w:pPr>
            <w:r>
              <w:rPr>
                <w:rFonts w:ascii="Noto Sans" w:hAnsi="Noto Sans" w:eastAsia="Noto Sans CJK JP"/>
                <w:sz w:val="19"/>
              </w:rPr>
              <w:t>Pour exprimer une concession, l'utilisateur peut rencontrer のに, ても, ものの, にもかかわらず, とはいえ ou ながらも. L'objectif n'est plus de connaître leur traduction, mais de savoir lequel convient à une conversation, a un article ou a un texte formel.</w:t>
            </w:r>
          </w:p>
        </w:tc>
      </w:tr>
    </w:tbl>
    <w:p>
      <w:pPr>
        <w:spacing w:after="0"/>
      </w:pPr>
    </w:p>
    <w:p>
      <w:pPr>
        <w:pStyle w:val="Heading1"/>
      </w:pPr>
      <w:r>
        <w:rPr>
          <w:rFonts w:ascii="Noto Sans" w:hAnsi="Noto Sans" w:eastAsia="Noto Sans CJK JP"/>
          <w:sz w:val="28"/>
        </w:rPr>
        <w:t>5. Bloc A — Modalité avancée : comparaison, registre et force argumentative</w:t>
      </w:r>
    </w:p>
    <w:p>
      <w:r>
        <w:rPr>
          <w:rFonts w:ascii="Noto Sans" w:hAnsi="Noto Sans" w:eastAsia="Noto Sans CJK JP"/>
          <w:sz w:val="20"/>
        </w:rPr>
        <w:t>Les formes はず, わけ et べき ont déjà été apprises à l’étape 5 dans leurs usages quotidiens. Ici, elles ne sont PAS réenseignées comme de nouvelles règles. L’objectif est de les comparer finement, d’identifier leurs restrictions, leur registre et leur force argumentative, et d’ajouter la maîtrise productive de に違いない ainsi que certains emplois avancés de ものだ.</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
              <w:rPr>
                <w:rFonts w:ascii="Noto Sans" w:hAnsi="Noto Sans" w:eastAsia="Noto Sans CJK JP"/>
                <w:b/>
                <w:sz w:val="16"/>
              </w:rPr>
              <w:t>Structure</w:t>
            </w:r>
          </w:p>
        </w:tc>
        <w:tc>
          <w:tcPr>
            <w:tcW w:type="dxa" w:w="3408"/>
            <w:shd w:fill="DCEAF0"/>
            <w:tcMar>
              <w:top w:w="65" w:type="dxa"/>
              <w:start w:w="90" w:type="dxa"/>
              <w:bottom w:w="65" w:type="dxa"/>
              <w:end w:w="90" w:type="dxa"/>
            </w:tcMar>
          </w:tcPr>
          <w:p>
            <w:r/>
            <w:r>
              <w:rPr>
                <w:rFonts w:ascii="Noto Sans" w:hAnsi="Noto Sans" w:eastAsia="Noto Sans CJK JP"/>
                <w:b/>
                <w:sz w:val="16"/>
              </w:rPr>
              <w:t>Statut avant l’étape 6</w:t>
            </w:r>
          </w:p>
        </w:tc>
        <w:tc>
          <w:tcPr>
            <w:tcW w:type="dxa" w:w="3408"/>
            <w:shd w:fill="DCEAF0"/>
            <w:tcMar>
              <w:top w:w="65" w:type="dxa"/>
              <w:start w:w="90" w:type="dxa"/>
              <w:bottom w:w="65" w:type="dxa"/>
              <w:end w:w="90" w:type="dxa"/>
            </w:tcMar>
          </w:tcPr>
          <w:p>
            <w:r/>
            <w:r>
              <w:rPr>
                <w:rFonts w:ascii="Noto Sans" w:hAnsi="Noto Sans" w:eastAsia="Noto Sans CJK JP"/>
                <w:b/>
                <w:sz w:val="16"/>
              </w:rPr>
              <w:t>Travail avancé à l’étape 6</w:t>
            </w:r>
          </w:p>
        </w:tc>
      </w:tr>
      <w:tr>
        <w:trPr>
          <w:cantSplit/>
        </w:trPr>
        <w:tc>
          <w:tcPr>
            <w:tcW w:type="dxa" w:w="3408"/>
            <w:tcMar>
              <w:top w:w="50" w:type="dxa"/>
              <w:start w:w="75" w:type="dxa"/>
              <w:bottom w:w="50" w:type="dxa"/>
              <w:end w:w="75" w:type="dxa"/>
            </w:tcMar>
          </w:tcPr>
          <w:p>
            <w:r/>
            <w:r>
              <w:rPr>
                <w:rFonts w:ascii="Noto Sans" w:hAnsi="Noto Sans" w:eastAsia="Noto Sans CJK JP"/>
                <w:b w:val="0"/>
                <w:sz w:val="15"/>
              </w:rPr>
              <w:t>～はずだ / ～はずがない</w:t>
            </w:r>
          </w:p>
        </w:tc>
        <w:tc>
          <w:tcPr>
            <w:tcW w:type="dxa" w:w="3408"/>
            <w:tcMar>
              <w:top w:w="50" w:type="dxa"/>
              <w:start w:w="75" w:type="dxa"/>
              <w:bottom w:w="50" w:type="dxa"/>
              <w:end w:w="75" w:type="dxa"/>
            </w:tcMar>
          </w:tcPr>
          <w:p>
            <w:r/>
            <w:r>
              <w:rPr>
                <w:rFonts w:ascii="Noto Sans" w:hAnsi="Noto Sans" w:eastAsia="Noto Sans CJK JP"/>
                <w:b w:val="0"/>
                <w:sz w:val="15"/>
              </w:rPr>
              <w:t>déjà productif en usage quotidien</w:t>
            </w:r>
          </w:p>
        </w:tc>
        <w:tc>
          <w:tcPr>
            <w:tcW w:type="dxa" w:w="3408"/>
            <w:tcMar>
              <w:top w:w="50" w:type="dxa"/>
              <w:start w:w="75" w:type="dxa"/>
              <w:bottom w:w="50" w:type="dxa"/>
              <w:end w:w="75" w:type="dxa"/>
            </w:tcMar>
          </w:tcPr>
          <w:p>
            <w:r/>
            <w:r>
              <w:rPr>
                <w:rFonts w:ascii="Noto Sans" w:hAnsi="Noto Sans" w:eastAsia="Noto Sans CJK JP"/>
                <w:b w:val="0"/>
                <w:sz w:val="15"/>
              </w:rPr>
              <w:t>comparaison avec déduction, preuve, attente logique et registre ; restrictions et reformulation</w:t>
            </w:r>
          </w:p>
        </w:tc>
      </w:tr>
      <w:tr>
        <w:trPr>
          <w:cantSplit/>
        </w:trPr>
        <w:tc>
          <w:tcPr>
            <w:tcW w:type="dxa" w:w="3408"/>
            <w:tcMar>
              <w:top w:w="50" w:type="dxa"/>
              <w:start w:w="75" w:type="dxa"/>
              <w:bottom w:w="50" w:type="dxa"/>
              <w:end w:w="75" w:type="dxa"/>
            </w:tcMar>
          </w:tcPr>
          <w:p>
            <w:r/>
            <w:r>
              <w:rPr>
                <w:rFonts w:ascii="Noto Sans" w:hAnsi="Noto Sans" w:eastAsia="Noto Sans CJK JP"/>
                <w:b w:val="0"/>
                <w:sz w:val="15"/>
              </w:rPr>
              <w:t>～わけだ</w:t>
            </w:r>
          </w:p>
        </w:tc>
        <w:tc>
          <w:tcPr>
            <w:tcW w:type="dxa" w:w="3408"/>
            <w:tcMar>
              <w:top w:w="50" w:type="dxa"/>
              <w:start w:w="75" w:type="dxa"/>
              <w:bottom w:w="50" w:type="dxa"/>
              <w:end w:w="75" w:type="dxa"/>
            </w:tcMar>
          </w:tcPr>
          <w:p>
            <w:r/>
            <w:r>
              <w:rPr>
                <w:rFonts w:ascii="Noto Sans" w:hAnsi="Noto Sans" w:eastAsia="Noto Sans CJK JP"/>
                <w:b w:val="0"/>
                <w:sz w:val="15"/>
              </w:rPr>
              <w:t>déjà compris / produit</w:t>
            </w:r>
          </w:p>
        </w:tc>
        <w:tc>
          <w:tcPr>
            <w:tcW w:type="dxa" w:w="3408"/>
            <w:tcMar>
              <w:top w:w="50" w:type="dxa"/>
              <w:start w:w="75" w:type="dxa"/>
              <w:bottom w:w="50" w:type="dxa"/>
              <w:end w:w="75" w:type="dxa"/>
            </w:tcMar>
          </w:tcPr>
          <w:p>
            <w:r/>
            <w:r>
              <w:rPr>
                <w:rFonts w:ascii="Noto Sans" w:hAnsi="Noto Sans" w:eastAsia="Noto Sans CJK JP"/>
                <w:b w:val="0"/>
                <w:sz w:val="15"/>
              </w:rPr>
              <w:t>conclusion explicative dans un raisonnement et articulation avec le contexte précédent</w:t>
            </w:r>
          </w:p>
        </w:tc>
      </w:tr>
      <w:tr>
        <w:trPr>
          <w:cantSplit/>
        </w:trPr>
        <w:tc>
          <w:tcPr>
            <w:tcW w:type="dxa" w:w="3408"/>
            <w:tcMar>
              <w:top w:w="50" w:type="dxa"/>
              <w:start w:w="75" w:type="dxa"/>
              <w:bottom w:w="50" w:type="dxa"/>
              <w:end w:w="75" w:type="dxa"/>
            </w:tcMar>
          </w:tcPr>
          <w:p>
            <w:r/>
            <w:r>
              <w:rPr>
                <w:rFonts w:ascii="Noto Sans" w:hAnsi="Noto Sans" w:eastAsia="Noto Sans CJK JP"/>
                <w:b w:val="0"/>
                <w:sz w:val="15"/>
              </w:rPr>
              <w:t>～わけではない</w:t>
            </w:r>
          </w:p>
        </w:tc>
        <w:tc>
          <w:tcPr>
            <w:tcW w:type="dxa" w:w="3408"/>
            <w:tcMar>
              <w:top w:w="50" w:type="dxa"/>
              <w:start w:w="75" w:type="dxa"/>
              <w:bottom w:w="50" w:type="dxa"/>
              <w:end w:w="75" w:type="dxa"/>
            </w:tcMar>
          </w:tcPr>
          <w:p>
            <w:r/>
            <w:r>
              <w:rPr>
                <w:rFonts w:ascii="Noto Sans" w:hAnsi="Noto Sans" w:eastAsia="Noto Sans CJK JP"/>
                <w:b w:val="0"/>
                <w:sz w:val="15"/>
              </w:rPr>
              <w:t>déjà productif</w:t>
            </w:r>
          </w:p>
        </w:tc>
        <w:tc>
          <w:tcPr>
            <w:tcW w:type="dxa" w:w="3408"/>
            <w:tcMar>
              <w:top w:w="50" w:type="dxa"/>
              <w:start w:w="75" w:type="dxa"/>
              <w:bottom w:w="50" w:type="dxa"/>
              <w:end w:w="75" w:type="dxa"/>
            </w:tcMar>
          </w:tcPr>
          <w:p>
            <w:r/>
            <w:r>
              <w:rPr>
                <w:rFonts w:ascii="Noto Sans" w:hAnsi="Noto Sans" w:eastAsia="Noto Sans CJK JP"/>
                <w:b w:val="0"/>
                <w:sz w:val="15"/>
              </w:rPr>
              <w:t>correction nuancée d’une interprétation, portée de la négation et usage argumentatif</w:t>
            </w:r>
          </w:p>
        </w:tc>
      </w:tr>
      <w:tr>
        <w:trPr>
          <w:cantSplit/>
        </w:trPr>
        <w:tc>
          <w:tcPr>
            <w:tcW w:type="dxa" w:w="3408"/>
            <w:tcMar>
              <w:top w:w="50" w:type="dxa"/>
              <w:start w:w="75" w:type="dxa"/>
              <w:bottom w:w="50" w:type="dxa"/>
              <w:end w:w="75" w:type="dxa"/>
            </w:tcMar>
          </w:tcPr>
          <w:p>
            <w:r/>
            <w:r>
              <w:rPr>
                <w:rFonts w:ascii="Noto Sans" w:hAnsi="Noto Sans" w:eastAsia="Noto Sans CJK JP"/>
                <w:b w:val="0"/>
                <w:sz w:val="15"/>
              </w:rPr>
              <w:t>～わけがない</w:t>
            </w:r>
          </w:p>
        </w:tc>
        <w:tc>
          <w:tcPr>
            <w:tcW w:type="dxa" w:w="3408"/>
            <w:tcMar>
              <w:top w:w="50" w:type="dxa"/>
              <w:start w:w="75" w:type="dxa"/>
              <w:bottom w:w="50" w:type="dxa"/>
              <w:end w:w="75" w:type="dxa"/>
            </w:tcMar>
          </w:tcPr>
          <w:p>
            <w:r/>
            <w:r>
              <w:rPr>
                <w:rFonts w:ascii="Noto Sans" w:hAnsi="Noto Sans" w:eastAsia="Noto Sans CJK JP"/>
                <w:b w:val="0"/>
                <w:sz w:val="15"/>
              </w:rPr>
              <w:t>déjà productif</w:t>
            </w:r>
          </w:p>
        </w:tc>
        <w:tc>
          <w:tcPr>
            <w:tcW w:type="dxa" w:w="3408"/>
            <w:tcMar>
              <w:top w:w="50" w:type="dxa"/>
              <w:start w:w="75" w:type="dxa"/>
              <w:bottom w:w="50" w:type="dxa"/>
              <w:end w:w="75" w:type="dxa"/>
            </w:tcMar>
          </w:tcPr>
          <w:p>
            <w:r/>
            <w:r>
              <w:rPr>
                <w:rFonts w:ascii="Noto Sans" w:hAnsi="Noto Sans" w:eastAsia="Noto Sans CJK JP"/>
                <w:b w:val="0"/>
                <w:sz w:val="15"/>
              </w:rPr>
              <w:t>force catégorique et comparaison avec はずがない / に違いない</w:t>
            </w:r>
          </w:p>
        </w:tc>
      </w:tr>
      <w:tr>
        <w:trPr>
          <w:cantSplit/>
        </w:trPr>
        <w:tc>
          <w:tcPr>
            <w:tcW w:type="dxa" w:w="3408"/>
            <w:tcMar>
              <w:top w:w="50" w:type="dxa"/>
              <w:start w:w="75" w:type="dxa"/>
              <w:bottom w:w="50" w:type="dxa"/>
              <w:end w:w="75" w:type="dxa"/>
            </w:tcMar>
          </w:tcPr>
          <w:p>
            <w:r/>
            <w:r>
              <w:rPr>
                <w:rFonts w:ascii="Noto Sans" w:hAnsi="Noto Sans" w:eastAsia="Noto Sans CJK JP"/>
                <w:b w:val="0"/>
                <w:sz w:val="15"/>
              </w:rPr>
              <w:t>～わけにはいかない</w:t>
            </w:r>
          </w:p>
        </w:tc>
        <w:tc>
          <w:tcPr>
            <w:tcW w:type="dxa" w:w="3408"/>
            <w:tcMar>
              <w:top w:w="50" w:type="dxa"/>
              <w:start w:w="75" w:type="dxa"/>
              <w:bottom w:w="50" w:type="dxa"/>
              <w:end w:w="75" w:type="dxa"/>
            </w:tcMar>
          </w:tcPr>
          <w:p>
            <w:r/>
            <w:r>
              <w:rPr>
                <w:rFonts w:ascii="Noto Sans" w:hAnsi="Noto Sans" w:eastAsia="Noto Sans CJK JP"/>
                <w:b w:val="0"/>
                <w:sz w:val="15"/>
              </w:rPr>
              <w:t>déjà productif dans des cas simples</w:t>
            </w:r>
          </w:p>
        </w:tc>
        <w:tc>
          <w:tcPr>
            <w:tcW w:type="dxa" w:w="3408"/>
            <w:tcMar>
              <w:top w:w="50" w:type="dxa"/>
              <w:start w:w="75" w:type="dxa"/>
              <w:bottom w:w="50" w:type="dxa"/>
              <w:end w:w="75" w:type="dxa"/>
            </w:tcMar>
          </w:tcPr>
          <w:p>
            <w:r/>
            <w:r>
              <w:rPr>
                <w:rFonts w:ascii="Noto Sans" w:hAnsi="Noto Sans" w:eastAsia="Noto Sans CJK JP"/>
                <w:b w:val="0"/>
                <w:sz w:val="15"/>
              </w:rPr>
              <w:t>contraintes sociales / morales complexes et différence avec impossibilité factuelle</w:t>
            </w:r>
          </w:p>
        </w:tc>
      </w:tr>
      <w:tr>
        <w:trPr>
          <w:cantSplit/>
        </w:trPr>
        <w:tc>
          <w:tcPr>
            <w:tcW w:type="dxa" w:w="3408"/>
            <w:tcMar>
              <w:top w:w="50" w:type="dxa"/>
              <w:start w:w="75" w:type="dxa"/>
              <w:bottom w:w="50" w:type="dxa"/>
              <w:end w:w="75" w:type="dxa"/>
            </w:tcMar>
          </w:tcPr>
          <w:p>
            <w:r/>
            <w:r>
              <w:rPr>
                <w:rFonts w:ascii="Noto Sans" w:hAnsi="Noto Sans" w:eastAsia="Noto Sans CJK JP"/>
                <w:b w:val="0"/>
                <w:sz w:val="15"/>
              </w:rPr>
              <w:t>～べきだ / ～べきではない</w:t>
            </w:r>
          </w:p>
        </w:tc>
        <w:tc>
          <w:tcPr>
            <w:tcW w:type="dxa" w:w="3408"/>
            <w:tcMar>
              <w:top w:w="50" w:type="dxa"/>
              <w:start w:w="75" w:type="dxa"/>
              <w:bottom w:w="50" w:type="dxa"/>
              <w:end w:w="75" w:type="dxa"/>
            </w:tcMar>
          </w:tcPr>
          <w:p>
            <w:r/>
            <w:r>
              <w:rPr>
                <w:rFonts w:ascii="Noto Sans" w:hAnsi="Noto Sans" w:eastAsia="Noto Sans CJK JP"/>
                <w:b w:val="0"/>
                <w:sz w:val="15"/>
              </w:rPr>
              <w:t>déjà productif dans les jugements simples</w:t>
            </w:r>
          </w:p>
        </w:tc>
        <w:tc>
          <w:tcPr>
            <w:tcW w:type="dxa" w:w="3408"/>
            <w:tcMar>
              <w:top w:w="50" w:type="dxa"/>
              <w:start w:w="75" w:type="dxa"/>
              <w:bottom w:w="50" w:type="dxa"/>
              <w:end w:w="75" w:type="dxa"/>
            </w:tcMar>
          </w:tcPr>
          <w:p>
            <w:r/>
            <w:r>
              <w:rPr>
                <w:rFonts w:ascii="Noto Sans" w:hAnsi="Noto Sans" w:eastAsia="Noto Sans CJK JP"/>
                <w:b w:val="0"/>
                <w:sz w:val="15"/>
              </w:rPr>
              <w:t>force normative, registre, atténuation et comparaison avec ～ほうがいい / ～たほうがいい</w:t>
            </w:r>
          </w:p>
        </w:tc>
      </w:tr>
      <w:tr>
        <w:trPr>
          <w:cantSplit/>
        </w:trPr>
        <w:tc>
          <w:tcPr>
            <w:tcW w:type="dxa" w:w="3408"/>
            <w:tcMar>
              <w:top w:w="50" w:type="dxa"/>
              <w:start w:w="75" w:type="dxa"/>
              <w:bottom w:w="50" w:type="dxa"/>
              <w:end w:w="75" w:type="dxa"/>
            </w:tcMar>
          </w:tcPr>
          <w:p>
            <w:r/>
            <w:r>
              <w:rPr>
                <w:rFonts w:ascii="Noto Sans" w:hAnsi="Noto Sans" w:eastAsia="Noto Sans CJK JP"/>
                <w:b w:val="0"/>
                <w:sz w:val="15"/>
              </w:rPr>
              <w:t>～に違いない</w:t>
            </w:r>
          </w:p>
        </w:tc>
        <w:tc>
          <w:tcPr>
            <w:tcW w:type="dxa" w:w="3408"/>
            <w:tcMar>
              <w:top w:w="50" w:type="dxa"/>
              <w:start w:w="75" w:type="dxa"/>
              <w:bottom w:w="50" w:type="dxa"/>
              <w:end w:w="75" w:type="dxa"/>
            </w:tcMar>
          </w:tcPr>
          <w:p>
            <w:r/>
            <w:r>
              <w:rPr>
                <w:rFonts w:ascii="Noto Sans" w:hAnsi="Noto Sans" w:eastAsia="Noto Sans CJK JP"/>
                <w:b w:val="0"/>
                <w:sz w:val="15"/>
              </w:rPr>
              <w:t>reconnaissance légère en étape 5</w:t>
            </w:r>
          </w:p>
        </w:tc>
        <w:tc>
          <w:tcPr>
            <w:tcW w:type="dxa" w:w="3408"/>
            <w:tcMar>
              <w:top w:w="50" w:type="dxa"/>
              <w:start w:w="75" w:type="dxa"/>
              <w:bottom w:w="50" w:type="dxa"/>
              <w:end w:w="75" w:type="dxa"/>
            </w:tcMar>
          </w:tcPr>
          <w:p>
            <w:r/>
            <w:r>
              <w:rPr>
                <w:rFonts w:ascii="Noto Sans" w:hAnsi="Noto Sans" w:eastAsia="Noto Sans CJK JP"/>
                <w:b w:val="0"/>
                <w:sz w:val="15"/>
              </w:rPr>
              <w:t>maîtrise productive : forte déduction, degré de conviction et emploi dans l’argumentation</w:t>
            </w:r>
          </w:p>
        </w:tc>
      </w:tr>
      <w:tr>
        <w:trPr>
          <w:cantSplit/>
        </w:trPr>
        <w:tc>
          <w:tcPr>
            <w:tcW w:type="dxa" w:w="3408"/>
            <w:tcMar>
              <w:top w:w="50" w:type="dxa"/>
              <w:start w:w="75" w:type="dxa"/>
              <w:bottom w:w="50" w:type="dxa"/>
              <w:end w:w="75" w:type="dxa"/>
            </w:tcMar>
          </w:tcPr>
          <w:p>
            <w:r/>
            <w:r>
              <w:rPr>
                <w:rFonts w:ascii="Noto Sans" w:hAnsi="Noto Sans" w:eastAsia="Noto Sans CJK JP"/>
                <w:b w:val="0"/>
                <w:sz w:val="15"/>
              </w:rPr>
              <w:t>～ものだ</w:t>
            </w:r>
          </w:p>
        </w:tc>
        <w:tc>
          <w:tcPr>
            <w:tcW w:type="dxa" w:w="3408"/>
            <w:tcMar>
              <w:top w:w="50" w:type="dxa"/>
              <w:start w:w="75" w:type="dxa"/>
              <w:bottom w:w="50" w:type="dxa"/>
              <w:end w:w="75" w:type="dxa"/>
            </w:tcMar>
          </w:tcPr>
          <w:p>
            <w:r/>
            <w:r>
              <w:rPr>
                <w:rFonts w:ascii="Noto Sans" w:hAnsi="Noto Sans" w:eastAsia="Noto Sans CJK JP"/>
                <w:b w:val="0"/>
                <w:sz w:val="15"/>
              </w:rPr>
              <w:t>non systématisé</w:t>
            </w:r>
          </w:p>
        </w:tc>
        <w:tc>
          <w:tcPr>
            <w:tcW w:type="dxa" w:w="3408"/>
            <w:tcMar>
              <w:top w:w="50" w:type="dxa"/>
              <w:start w:w="75" w:type="dxa"/>
              <w:bottom w:w="50" w:type="dxa"/>
              <w:end w:w="75" w:type="dxa"/>
            </w:tcMar>
          </w:tcPr>
          <w:p>
            <w:r/>
            <w:r>
              <w:rPr>
                <w:rFonts w:ascii="Noto Sans" w:hAnsi="Noto Sans" w:eastAsia="Noto Sans CJK JP"/>
                <w:b w:val="0"/>
                <w:sz w:val="15"/>
              </w:rPr>
              <w:t>généralité, norme, nostalgie / rappel selon contexte ; distinguer les emplois au lieu d’une traduction unique</w:t>
            </w:r>
          </w:p>
        </w:tc>
      </w:tr>
    </w:tbl>
    <w:p>
      <w:pPr>
        <w:pStyle w:val="ListBullet"/>
        <w:spacing w:after="40"/>
      </w:pPr>
      <w:r>
        <w:rPr>
          <w:rFonts w:ascii="Noto Sans" w:hAnsi="Noto Sans" w:eastAsia="Noto Sans CJK JP"/>
          <w:sz w:val="19"/>
        </w:rPr>
        <w:t>comparer explicitement force de conviction, source de l’information, registre et effet sur l’interlocuteur ;</w:t>
      </w:r>
    </w:p>
    <w:p>
      <w:pPr>
        <w:pStyle w:val="ListBullet"/>
        <w:spacing w:after="40"/>
      </w:pPr>
      <w:r>
        <w:rPr>
          <w:rFonts w:ascii="Noto Sans" w:hAnsi="Noto Sans" w:eastAsia="Noto Sans CJK JP"/>
          <w:sz w:val="19"/>
        </w:rPr>
        <w:t>distinguer impossibilité factuelle, logique, argumentative et sociale ;</w:t>
      </w:r>
    </w:p>
    <w:p>
      <w:pPr>
        <w:pStyle w:val="ListBullet"/>
        <w:spacing w:after="40"/>
      </w:pPr>
      <w:r>
        <w:rPr>
          <w:rFonts w:ascii="Noto Sans" w:hAnsi="Noto Sans" w:eastAsia="Noto Sans CJK JP"/>
          <w:sz w:val="19"/>
        </w:rPr>
        <w:t>faire reformuler une même idée avec plusieurs modalités et expliquer ce que chaque choix change ;</w:t>
      </w:r>
    </w:p>
    <w:p>
      <w:pPr>
        <w:pStyle w:val="ListBullet"/>
        <w:spacing w:after="40"/>
      </w:pPr>
      <w:r>
        <w:rPr>
          <w:rFonts w:ascii="Noto Sans" w:hAnsi="Noto Sans" w:eastAsia="Noto Sans CJK JP"/>
          <w:sz w:val="19"/>
        </w:rPr>
        <w:t>évaluer le choix de la forme dans un paragraphe, un débat ou un écrit formel, pas seulement dans une phrase isolée.</w:t>
      </w:r>
    </w:p>
    <w:p>
      <w:pPr>
        <w:pStyle w:val="Heading1"/>
      </w:pPr>
      <w:r>
        <w:t>6. Bloc B — Limiter, relativiser et corriger une affirmation</w:t>
      </w:r>
    </w:p>
    <w:p>
      <w:pPr>
        <w:pStyle w:val="ListBullet"/>
        <w:spacing w:after="40"/>
      </w:pPr>
      <w:r>
        <w:rPr>
          <w:rFonts w:ascii="Noto Sans" w:hAnsi="Noto Sans" w:eastAsia="Noto Sans CJK JP"/>
          <w:sz w:val="19"/>
        </w:rPr>
        <w:t>～にすぎない — ne rien être de plus que / seulement ;</w:t>
      </w:r>
    </w:p>
    <w:p>
      <w:pPr>
        <w:pStyle w:val="ListBullet"/>
        <w:spacing w:after="40"/>
      </w:pPr>
      <w:r>
        <w:rPr>
          <w:rFonts w:ascii="Noto Sans" w:hAnsi="Noto Sans" w:eastAsia="Noto Sans CJK JP"/>
          <w:sz w:val="19"/>
        </w:rPr>
        <w:t>～しかない — ne pas avoir d'autre choix que ;</w:t>
      </w:r>
    </w:p>
    <w:p>
      <w:pPr>
        <w:pStyle w:val="ListBullet"/>
        <w:spacing w:after="40"/>
      </w:pPr>
      <w:r>
        <w:rPr>
          <w:rFonts w:ascii="Noto Sans" w:hAnsi="Noto Sans" w:eastAsia="Noto Sans CJK JP"/>
          <w:sz w:val="19"/>
        </w:rPr>
        <w:t>～とは限らない — ce n'est pas forcement toujours vrai ;</w:t>
      </w:r>
    </w:p>
    <w:p>
      <w:pPr>
        <w:pStyle w:val="ListBullet"/>
        <w:spacing w:after="40"/>
      </w:pPr>
      <w:r>
        <w:rPr>
          <w:rFonts w:ascii="Noto Sans" w:hAnsi="Noto Sans" w:eastAsia="Noto Sans CJK JP"/>
          <w:sz w:val="19"/>
        </w:rPr>
        <w:t>～わけではない — ce n'est pas que / cela ne signifie pas que ;</w:t>
      </w:r>
    </w:p>
    <w:p>
      <w:pPr>
        <w:pStyle w:val="ListBullet"/>
        <w:spacing w:after="40"/>
      </w:pPr>
      <w:r>
        <w:rPr>
          <w:rFonts w:ascii="Noto Sans" w:hAnsi="Noto Sans" w:eastAsia="Noto Sans CJK JP"/>
          <w:sz w:val="19"/>
        </w:rPr>
        <w:t>～どころか — loin de..., au contraire ;</w:t>
      </w:r>
    </w:p>
    <w:p>
      <w:pPr>
        <w:pStyle w:val="ListBullet"/>
        <w:spacing w:after="40"/>
      </w:pPr>
      <w:r>
        <w:rPr>
          <w:rFonts w:ascii="Noto Sans" w:hAnsi="Noto Sans" w:eastAsia="Noto Sans CJK JP"/>
          <w:sz w:val="19"/>
        </w:rPr>
        <w:t>～どころではない — ne pas être en situation de... ;</w:t>
      </w:r>
    </w:p>
    <w:p>
      <w:pPr>
        <w:pStyle w:val="ListBullet"/>
        <w:spacing w:after="40"/>
      </w:pPr>
      <w:r>
        <w:rPr>
          <w:rFonts w:ascii="Noto Sans" w:hAnsi="Noto Sans" w:eastAsia="Noto Sans CJK JP"/>
          <w:sz w:val="19"/>
        </w:rPr>
        <w:t>～ばかりではなく / ～だけでなく — non seulement..., mais aussi... ;</w:t>
      </w:r>
    </w:p>
    <w:p>
      <w:pPr>
        <w:pStyle w:val="ListBullet"/>
        <w:spacing w:after="40"/>
      </w:pPr>
      <w:r>
        <w:rPr>
          <w:rFonts w:ascii="Noto Sans" w:hAnsi="Noto Sans" w:eastAsia="Noto Sans CJK JP"/>
          <w:sz w:val="19"/>
        </w:rPr>
        <w:t>apprendre à réduire ou corriger une généralisation sans donner une réponse trop catégorique.</w:t>
      </w:r>
    </w:p>
    <w:p>
      <w:pPr>
        <w:pStyle w:val="Heading1"/>
      </w:pPr>
      <w:r>
        <w:t>7. Bloc C — Concession et opposition avancées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Structure</w:t>
            </w:r>
          </w:p>
        </w:tc>
        <w:tc>
          <w:tcPr>
            <w:tcW w:type="dxa" w:w="3408"/>
            <w:shd w:fill="DCEAF0"/>
            <w:tcMar>
              <w:top w:w="65" w:type="dxa"/>
              <w:start w:w="90" w:type="dxa"/>
              <w:bottom w:w="65" w:type="dxa"/>
              <w:end w:w="90" w:type="dxa"/>
            </w:tcMar>
          </w:tcPr>
          <w:p>
            <w:r>
              <w:rPr>
                <w:rFonts w:ascii="Noto Sans" w:hAnsi="Noto Sans" w:eastAsia="Noto Sans CJK JP"/>
                <w:b/>
                <w:sz w:val="17"/>
              </w:rPr>
              <w:t>Usage de base</w:t>
            </w:r>
          </w:p>
        </w:tc>
        <w:tc>
          <w:tcPr>
            <w:tcW w:type="dxa" w:w="3408"/>
            <w:shd w:fill="DCEAF0"/>
            <w:tcMar>
              <w:top w:w="65" w:type="dxa"/>
              <w:start w:w="90" w:type="dxa"/>
              <w:bottom w:w="65" w:type="dxa"/>
              <w:end w:w="90" w:type="dxa"/>
            </w:tcMar>
          </w:tcPr>
          <w:p>
            <w:r>
              <w:rPr>
                <w:rFonts w:ascii="Noto Sans" w:hAnsi="Noto Sans" w:eastAsia="Noto Sans CJK JP"/>
                <w:b/>
                <w:sz w:val="17"/>
              </w:rPr>
              <w:t>Registre / nuance</w:t>
            </w:r>
          </w:p>
        </w:tc>
      </w:tr>
      <w:tr>
        <w:trPr>
          <w:cantSplit/>
        </w:trPr>
        <w:tc>
          <w:tcPr>
            <w:tcW w:type="dxa" w:w="3408"/>
            <w:tcMar>
              <w:top w:w="50" w:type="dxa"/>
              <w:start w:w="75" w:type="dxa"/>
              <w:bottom w:w="50" w:type="dxa"/>
              <w:end w:w="75" w:type="dxa"/>
            </w:tcMar>
          </w:tcPr>
          <w:p>
            <w:r>
              <w:rPr>
                <w:rFonts w:ascii="Noto Sans" w:hAnsi="Noto Sans" w:eastAsia="Noto Sans CJK JP"/>
                <w:sz w:val="15"/>
              </w:rPr>
              <w:t>～ものの</w:t>
            </w:r>
          </w:p>
        </w:tc>
        <w:tc>
          <w:tcPr>
            <w:tcW w:type="dxa" w:w="3408"/>
            <w:tcMar>
              <w:top w:w="50" w:type="dxa"/>
              <w:start w:w="75" w:type="dxa"/>
              <w:bottom w:w="50" w:type="dxa"/>
              <w:end w:w="75" w:type="dxa"/>
            </w:tcMar>
          </w:tcPr>
          <w:p>
            <w:r>
              <w:rPr>
                <w:rFonts w:ascii="Noto Sans" w:hAnsi="Noto Sans" w:eastAsia="Noto Sans CJK JP"/>
                <w:sz w:val="15"/>
              </w:rPr>
              <w:t>bien que / certes... mais</w:t>
            </w:r>
          </w:p>
        </w:tc>
        <w:tc>
          <w:tcPr>
            <w:tcW w:type="dxa" w:w="3408"/>
            <w:tcMar>
              <w:top w:w="50" w:type="dxa"/>
              <w:start w:w="75" w:type="dxa"/>
              <w:bottom w:w="50" w:type="dxa"/>
              <w:end w:w="75" w:type="dxa"/>
            </w:tcMar>
          </w:tcPr>
          <w:p>
            <w:r>
              <w:rPr>
                <w:rFonts w:ascii="Noto Sans" w:hAnsi="Noto Sans" w:eastAsia="Noto Sans CJK JP"/>
                <w:sz w:val="15"/>
              </w:rPr>
              <w:t>plutôt écrit ou soutenu</w:t>
            </w:r>
          </w:p>
        </w:tc>
      </w:tr>
      <w:tr>
        <w:trPr>
          <w:cantSplit/>
        </w:trPr>
        <w:tc>
          <w:tcPr>
            <w:tcW w:type="dxa" w:w="3408"/>
            <w:tcMar>
              <w:top w:w="50" w:type="dxa"/>
              <w:start w:w="75" w:type="dxa"/>
              <w:bottom w:w="50" w:type="dxa"/>
              <w:end w:w="75" w:type="dxa"/>
            </w:tcMar>
          </w:tcPr>
          <w:p>
            <w:r>
              <w:rPr>
                <w:rFonts w:ascii="Noto Sans" w:hAnsi="Noto Sans" w:eastAsia="Noto Sans CJK JP"/>
                <w:sz w:val="15"/>
              </w:rPr>
              <w:t>～にもかかわらず</w:t>
            </w:r>
          </w:p>
        </w:tc>
        <w:tc>
          <w:tcPr>
            <w:tcW w:type="dxa" w:w="3408"/>
            <w:tcMar>
              <w:top w:w="50" w:type="dxa"/>
              <w:start w:w="75" w:type="dxa"/>
              <w:bottom w:w="50" w:type="dxa"/>
              <w:end w:w="75" w:type="dxa"/>
            </w:tcMar>
          </w:tcPr>
          <w:p>
            <w:r>
              <w:rPr>
                <w:rFonts w:ascii="Noto Sans" w:hAnsi="Noto Sans" w:eastAsia="Noto Sans CJK JP"/>
                <w:sz w:val="15"/>
              </w:rPr>
              <w:t>malgré / bien que</w:t>
            </w:r>
          </w:p>
        </w:tc>
        <w:tc>
          <w:tcPr>
            <w:tcW w:type="dxa" w:w="3408"/>
            <w:tcMar>
              <w:top w:w="50" w:type="dxa"/>
              <w:start w:w="75" w:type="dxa"/>
              <w:bottom w:w="50" w:type="dxa"/>
              <w:end w:w="75" w:type="dxa"/>
            </w:tcMar>
          </w:tcPr>
          <w:p>
            <w:r>
              <w:rPr>
                <w:rFonts w:ascii="Noto Sans" w:hAnsi="Noto Sans" w:eastAsia="Noto Sans CJK JP"/>
                <w:sz w:val="15"/>
              </w:rPr>
              <w:t>formel, contraste fort</w:t>
            </w:r>
          </w:p>
        </w:tc>
      </w:tr>
      <w:tr>
        <w:trPr>
          <w:cantSplit/>
        </w:trPr>
        <w:tc>
          <w:tcPr>
            <w:tcW w:type="dxa" w:w="3408"/>
            <w:tcMar>
              <w:top w:w="50" w:type="dxa"/>
              <w:start w:w="75" w:type="dxa"/>
              <w:bottom w:w="50" w:type="dxa"/>
              <w:end w:w="75" w:type="dxa"/>
            </w:tcMar>
          </w:tcPr>
          <w:p>
            <w:r>
              <w:rPr>
                <w:rFonts w:ascii="Noto Sans" w:hAnsi="Noto Sans" w:eastAsia="Noto Sans CJK JP"/>
                <w:sz w:val="15"/>
              </w:rPr>
              <w:t>～とはいえ</w:t>
            </w:r>
          </w:p>
        </w:tc>
        <w:tc>
          <w:tcPr>
            <w:tcW w:type="dxa" w:w="3408"/>
            <w:tcMar>
              <w:top w:w="50" w:type="dxa"/>
              <w:start w:w="75" w:type="dxa"/>
              <w:bottom w:w="50" w:type="dxa"/>
              <w:end w:w="75" w:type="dxa"/>
            </w:tcMar>
          </w:tcPr>
          <w:p>
            <w:r>
              <w:rPr>
                <w:rFonts w:ascii="Noto Sans" w:hAnsi="Noto Sans" w:eastAsia="Noto Sans CJK JP"/>
                <w:sz w:val="15"/>
              </w:rPr>
              <w:t>cela dit / bien que l'on puisse dire que</w:t>
            </w:r>
          </w:p>
        </w:tc>
        <w:tc>
          <w:tcPr>
            <w:tcW w:type="dxa" w:w="3408"/>
            <w:tcMar>
              <w:top w:w="50" w:type="dxa"/>
              <w:start w:w="75" w:type="dxa"/>
              <w:bottom w:w="50" w:type="dxa"/>
              <w:end w:w="75" w:type="dxa"/>
            </w:tcMar>
          </w:tcPr>
          <w:p>
            <w:r>
              <w:rPr>
                <w:rFonts w:ascii="Noto Sans" w:hAnsi="Noto Sans" w:eastAsia="Noto Sans CJK JP"/>
                <w:sz w:val="15"/>
              </w:rPr>
              <w:t>argumentatif</w:t>
            </w:r>
          </w:p>
        </w:tc>
      </w:tr>
      <w:tr>
        <w:trPr>
          <w:cantSplit/>
        </w:trPr>
        <w:tc>
          <w:tcPr>
            <w:tcW w:type="dxa" w:w="3408"/>
            <w:tcMar>
              <w:top w:w="50" w:type="dxa"/>
              <w:start w:w="75" w:type="dxa"/>
              <w:bottom w:w="50" w:type="dxa"/>
              <w:end w:w="75" w:type="dxa"/>
            </w:tcMar>
          </w:tcPr>
          <w:p>
            <w:r>
              <w:rPr>
                <w:rFonts w:ascii="Noto Sans" w:hAnsi="Noto Sans" w:eastAsia="Noto Sans CJK JP"/>
                <w:sz w:val="15"/>
              </w:rPr>
              <w:t>～ながら(も)</w:t>
            </w:r>
          </w:p>
        </w:tc>
        <w:tc>
          <w:tcPr>
            <w:tcW w:type="dxa" w:w="3408"/>
            <w:tcMar>
              <w:top w:w="50" w:type="dxa"/>
              <w:start w:w="75" w:type="dxa"/>
              <w:bottom w:w="50" w:type="dxa"/>
              <w:end w:w="75" w:type="dxa"/>
            </w:tcMar>
          </w:tcPr>
          <w:p>
            <w:r>
              <w:rPr>
                <w:rFonts w:ascii="Noto Sans" w:hAnsi="Noto Sans" w:eastAsia="Noto Sans CJK JP"/>
                <w:sz w:val="15"/>
              </w:rPr>
              <w:t>bien que / tout en</w:t>
            </w:r>
          </w:p>
        </w:tc>
        <w:tc>
          <w:tcPr>
            <w:tcW w:type="dxa" w:w="3408"/>
            <w:tcMar>
              <w:top w:w="50" w:type="dxa"/>
              <w:start w:w="75" w:type="dxa"/>
              <w:bottom w:w="50" w:type="dxa"/>
              <w:end w:w="75" w:type="dxa"/>
            </w:tcMar>
          </w:tcPr>
          <w:p>
            <w:r>
              <w:rPr>
                <w:rFonts w:ascii="Noto Sans" w:hAnsi="Noto Sans" w:eastAsia="Noto Sans CJK JP"/>
                <w:sz w:val="15"/>
              </w:rPr>
              <w:t>plus soutenu selon usage</w:t>
            </w:r>
          </w:p>
        </w:tc>
      </w:tr>
      <w:tr>
        <w:trPr>
          <w:cantSplit/>
        </w:trPr>
        <w:tc>
          <w:tcPr>
            <w:tcW w:type="dxa" w:w="3408"/>
            <w:tcMar>
              <w:top w:w="50" w:type="dxa"/>
              <w:start w:w="75" w:type="dxa"/>
              <w:bottom w:w="50" w:type="dxa"/>
              <w:end w:w="75" w:type="dxa"/>
            </w:tcMar>
          </w:tcPr>
          <w:p>
            <w:r>
              <w:rPr>
                <w:rFonts w:ascii="Noto Sans" w:hAnsi="Noto Sans" w:eastAsia="Noto Sans CJK JP"/>
                <w:sz w:val="15"/>
              </w:rPr>
              <w:t>～一方(で)</w:t>
            </w:r>
          </w:p>
        </w:tc>
        <w:tc>
          <w:tcPr>
            <w:tcW w:type="dxa" w:w="3408"/>
            <w:tcMar>
              <w:top w:w="50" w:type="dxa"/>
              <w:start w:w="75" w:type="dxa"/>
              <w:bottom w:w="50" w:type="dxa"/>
              <w:end w:w="75" w:type="dxa"/>
            </w:tcMar>
          </w:tcPr>
          <w:p>
            <w:r>
              <w:rPr>
                <w:rFonts w:ascii="Noto Sans" w:hAnsi="Noto Sans" w:eastAsia="Noto Sans CJK JP"/>
                <w:sz w:val="15"/>
              </w:rPr>
              <w:t>d'un côté / tandis que</w:t>
            </w:r>
          </w:p>
        </w:tc>
        <w:tc>
          <w:tcPr>
            <w:tcW w:type="dxa" w:w="3408"/>
            <w:tcMar>
              <w:top w:w="50" w:type="dxa"/>
              <w:start w:w="75" w:type="dxa"/>
              <w:bottom w:w="50" w:type="dxa"/>
              <w:end w:w="75" w:type="dxa"/>
            </w:tcMar>
          </w:tcPr>
          <w:p>
            <w:r>
              <w:rPr>
                <w:rFonts w:ascii="Noto Sans" w:hAnsi="Noto Sans" w:eastAsia="Noto Sans CJK JP"/>
                <w:sz w:val="15"/>
              </w:rPr>
              <w:t>comparaison de deux aspects</w:t>
            </w:r>
          </w:p>
        </w:tc>
      </w:tr>
      <w:tr>
        <w:trPr>
          <w:cantSplit/>
        </w:trPr>
        <w:tc>
          <w:tcPr>
            <w:tcW w:type="dxa" w:w="3408"/>
            <w:tcMar>
              <w:top w:w="50" w:type="dxa"/>
              <w:start w:w="75" w:type="dxa"/>
              <w:bottom w:w="50" w:type="dxa"/>
              <w:end w:w="75" w:type="dxa"/>
            </w:tcMar>
          </w:tcPr>
          <w:p>
            <w:r>
              <w:rPr>
                <w:rFonts w:ascii="Noto Sans" w:hAnsi="Noto Sans" w:eastAsia="Noto Sans CJK JP"/>
                <w:sz w:val="15"/>
              </w:rPr>
              <w:t>～反面</w:t>
            </w:r>
          </w:p>
        </w:tc>
        <w:tc>
          <w:tcPr>
            <w:tcW w:type="dxa" w:w="3408"/>
            <w:tcMar>
              <w:top w:w="50" w:type="dxa"/>
              <w:start w:w="75" w:type="dxa"/>
              <w:bottom w:w="50" w:type="dxa"/>
              <w:end w:w="75" w:type="dxa"/>
            </w:tcMar>
          </w:tcPr>
          <w:p>
            <w:r>
              <w:rPr>
                <w:rFonts w:ascii="Noto Sans" w:hAnsi="Noto Sans" w:eastAsia="Noto Sans CJK JP"/>
                <w:sz w:val="15"/>
              </w:rPr>
              <w:t>en revanche / revers de la médaille</w:t>
            </w:r>
          </w:p>
        </w:tc>
        <w:tc>
          <w:tcPr>
            <w:tcW w:type="dxa" w:w="3408"/>
            <w:tcMar>
              <w:top w:w="50" w:type="dxa"/>
              <w:start w:w="75" w:type="dxa"/>
              <w:bottom w:w="50" w:type="dxa"/>
              <w:end w:w="75" w:type="dxa"/>
            </w:tcMar>
          </w:tcPr>
          <w:p>
            <w:r>
              <w:rPr>
                <w:rFonts w:ascii="Noto Sans" w:hAnsi="Noto Sans" w:eastAsia="Noto Sans CJK JP"/>
                <w:sz w:val="15"/>
              </w:rPr>
              <w:t>deux faces d'une même chose</w:t>
            </w:r>
          </w:p>
        </w:tc>
      </w:tr>
      <w:tr>
        <w:trPr>
          <w:cantSplit/>
        </w:trPr>
        <w:tc>
          <w:tcPr>
            <w:tcW w:type="dxa" w:w="3408"/>
            <w:tcMar>
              <w:top w:w="50" w:type="dxa"/>
              <w:start w:w="75" w:type="dxa"/>
              <w:bottom w:w="50" w:type="dxa"/>
              <w:end w:w="75" w:type="dxa"/>
            </w:tcMar>
          </w:tcPr>
          <w:p>
            <w:r>
              <w:rPr>
                <w:rFonts w:ascii="Noto Sans" w:hAnsi="Noto Sans" w:eastAsia="Noto Sans CJK JP"/>
                <w:sz w:val="15"/>
              </w:rPr>
              <w:t>～に対して</w:t>
            </w:r>
          </w:p>
        </w:tc>
        <w:tc>
          <w:tcPr>
            <w:tcW w:type="dxa" w:w="3408"/>
            <w:tcMar>
              <w:top w:w="50" w:type="dxa"/>
              <w:start w:w="75" w:type="dxa"/>
              <w:bottom w:w="50" w:type="dxa"/>
              <w:end w:w="75" w:type="dxa"/>
            </w:tcMar>
          </w:tcPr>
          <w:p>
            <w:r>
              <w:rPr>
                <w:rFonts w:ascii="Noto Sans" w:hAnsi="Noto Sans" w:eastAsia="Noto Sans CJK JP"/>
                <w:sz w:val="15"/>
              </w:rPr>
              <w:t>en contraste avec / envers</w:t>
            </w:r>
          </w:p>
        </w:tc>
        <w:tc>
          <w:tcPr>
            <w:tcW w:type="dxa" w:w="3408"/>
            <w:tcMar>
              <w:top w:w="50" w:type="dxa"/>
              <w:start w:w="75" w:type="dxa"/>
              <w:bottom w:w="50" w:type="dxa"/>
              <w:end w:w="75" w:type="dxa"/>
            </w:tcMar>
          </w:tcPr>
          <w:p>
            <w:r>
              <w:rPr>
                <w:rFonts w:ascii="Noto Sans" w:hAnsi="Noto Sans" w:eastAsia="Noto Sans CJK JP"/>
                <w:sz w:val="15"/>
              </w:rPr>
              <w:t>comparaison ou cible</w:t>
            </w:r>
          </w:p>
        </w:tc>
      </w:tr>
    </w:tbl>
    <w:p>
      <w:pPr>
        <w:pStyle w:val="Heading1"/>
      </w:pPr>
      <w:r>
        <w:t>8. Bloc D — Cause, conséquence et origine de l'information</w:t>
      </w:r>
    </w:p>
    <w:p>
      <w:pPr>
        <w:pStyle w:val="ListBullet"/>
        <w:spacing w:after="40"/>
      </w:pPr>
      <w:r>
        <w:rPr>
          <w:rFonts w:ascii="Noto Sans" w:hAnsi="Noto Sans" w:eastAsia="Noto Sans CJK JP"/>
          <w:sz w:val="19"/>
        </w:rPr>
        <w:t>～ため(に) — cause ou motif dans un registre plus formel que から ;</w:t>
      </w:r>
    </w:p>
    <w:p>
      <w:pPr>
        <w:pStyle w:val="ListBullet"/>
        <w:spacing w:after="40"/>
      </w:pPr>
      <w:r>
        <w:rPr>
          <w:rFonts w:ascii="Noto Sans" w:hAnsi="Noto Sans" w:eastAsia="Noto Sans CJK JP"/>
          <w:sz w:val="19"/>
        </w:rPr>
        <w:t>～ことから — conclusion / origine déduite d'un fait ;</w:t>
      </w:r>
    </w:p>
    <w:p>
      <w:pPr>
        <w:pStyle w:val="ListBullet"/>
        <w:spacing w:after="40"/>
      </w:pPr>
      <w:r>
        <w:rPr>
          <w:rFonts w:ascii="Noto Sans" w:hAnsi="Noto Sans" w:eastAsia="Noto Sans CJK JP"/>
          <w:sz w:val="19"/>
        </w:rPr>
        <w:t>～だけに — justement parce que, avec résultat particulier ;</w:t>
      </w:r>
    </w:p>
    <w:p>
      <w:pPr>
        <w:pStyle w:val="ListBullet"/>
        <w:spacing w:after="40"/>
      </w:pPr>
      <w:r>
        <w:rPr>
          <w:rFonts w:ascii="Noto Sans" w:hAnsi="Noto Sans" w:eastAsia="Noto Sans CJK JP"/>
          <w:sz w:val="19"/>
        </w:rPr>
        <w:t>～ばかりに — à cause du seul fait que, souvent résultat négatif ;</w:t>
      </w:r>
    </w:p>
    <w:p>
      <w:pPr>
        <w:pStyle w:val="ListBullet"/>
        <w:spacing w:after="40"/>
      </w:pPr>
      <w:r>
        <w:rPr>
          <w:rFonts w:ascii="Noto Sans" w:hAnsi="Noto Sans" w:eastAsia="Noto Sans CJK JP"/>
          <w:sz w:val="19"/>
        </w:rPr>
        <w:t>～おかげで — grâce à ;</w:t>
      </w:r>
    </w:p>
    <w:p>
      <w:pPr>
        <w:pStyle w:val="ListBullet"/>
        <w:spacing w:after="40"/>
      </w:pPr>
      <w:r>
        <w:rPr>
          <w:rFonts w:ascii="Noto Sans" w:hAnsi="Noto Sans" w:eastAsia="Noto Sans CJK JP"/>
          <w:sz w:val="19"/>
        </w:rPr>
        <w:t>～せいで / ～せいか — à cause de / peut-être à cause de ;</w:t>
      </w:r>
    </w:p>
    <w:p>
      <w:pPr>
        <w:pStyle w:val="ListBullet"/>
        <w:spacing w:after="40"/>
      </w:pPr>
      <w:r>
        <w:rPr>
          <w:rFonts w:ascii="Noto Sans" w:hAnsi="Noto Sans" w:eastAsia="Noto Sans CJK JP"/>
          <w:sz w:val="19"/>
        </w:rPr>
        <w:t>～によって — par / selon / en raison de, selon la construction ;</w:t>
      </w:r>
    </w:p>
    <w:p>
      <w:pPr>
        <w:pStyle w:val="ListBullet"/>
        <w:spacing w:after="40"/>
      </w:pPr>
      <w:r>
        <w:rPr>
          <w:rFonts w:ascii="Noto Sans" w:hAnsi="Noto Sans" w:eastAsia="Noto Sans CJK JP"/>
          <w:sz w:val="19"/>
        </w:rPr>
        <w:t>distinguer cause objective, responsabilité, gratitude, reproche et déduction.</w:t>
      </w:r>
    </w:p>
    <w:p>
      <w:pPr>
        <w:pStyle w:val="Heading1"/>
      </w:pPr>
      <w:r>
        <w:t>9. Bloc E — Évolution, corrélation et adaptation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Structure</w:t>
            </w:r>
          </w:p>
        </w:tc>
        <w:tc>
          <w:tcPr>
            <w:tcW w:type="dxa" w:w="5112"/>
            <w:shd w:fill="DCEAF0"/>
            <w:tcMar>
              <w:top w:w="65" w:type="dxa"/>
              <w:start w:w="90" w:type="dxa"/>
              <w:bottom w:w="65" w:type="dxa"/>
              <w:end w:w="90" w:type="dxa"/>
            </w:tcMar>
          </w:tcPr>
          <w:p>
            <w:r>
              <w:rPr>
                <w:rFonts w:ascii="Noto Sans" w:hAnsi="Noto Sans" w:eastAsia="Noto Sans CJK JP"/>
                <w:b/>
                <w:sz w:val="17"/>
              </w:rPr>
              <w:t>Fonction</w:t>
            </w:r>
          </w:p>
        </w:tc>
      </w:tr>
      <w:tr>
        <w:trPr>
          <w:cantSplit/>
        </w:trPr>
        <w:tc>
          <w:tcPr>
            <w:tcW w:type="dxa" w:w="5112"/>
            <w:tcMar>
              <w:top w:w="50" w:type="dxa"/>
              <w:start w:w="75" w:type="dxa"/>
              <w:bottom w:w="50" w:type="dxa"/>
              <w:end w:w="75" w:type="dxa"/>
            </w:tcMar>
          </w:tcPr>
          <w:p>
            <w:r>
              <w:rPr>
                <w:rFonts w:ascii="Noto Sans" w:hAnsi="Noto Sans" w:eastAsia="Noto Sans CJK JP"/>
                <w:sz w:val="16"/>
              </w:rPr>
              <w:t>～につれて</w:t>
            </w:r>
          </w:p>
        </w:tc>
        <w:tc>
          <w:tcPr>
            <w:tcW w:type="dxa" w:w="5112"/>
            <w:tcMar>
              <w:top w:w="50" w:type="dxa"/>
              <w:start w:w="75" w:type="dxa"/>
              <w:bottom w:w="50" w:type="dxa"/>
              <w:end w:w="75" w:type="dxa"/>
            </w:tcMar>
          </w:tcPr>
          <w:p>
            <w:r>
              <w:rPr>
                <w:rFonts w:ascii="Noto Sans" w:hAnsi="Noto Sans" w:eastAsia="Noto Sans CJK JP"/>
                <w:sz w:val="16"/>
              </w:rPr>
              <w:t>à mesure que X change, Y change</w:t>
            </w:r>
          </w:p>
        </w:tc>
      </w:tr>
      <w:tr>
        <w:trPr>
          <w:cantSplit/>
        </w:trPr>
        <w:tc>
          <w:tcPr>
            <w:tcW w:type="dxa" w:w="5112"/>
            <w:tcMar>
              <w:top w:w="50" w:type="dxa"/>
              <w:start w:w="75" w:type="dxa"/>
              <w:bottom w:w="50" w:type="dxa"/>
              <w:end w:w="75" w:type="dxa"/>
            </w:tcMar>
          </w:tcPr>
          <w:p>
            <w:r>
              <w:rPr>
                <w:rFonts w:ascii="Noto Sans" w:hAnsi="Noto Sans" w:eastAsia="Noto Sans CJK JP"/>
                <w:sz w:val="16"/>
              </w:rPr>
              <w:t>～に伴って</w:t>
            </w:r>
          </w:p>
        </w:tc>
        <w:tc>
          <w:tcPr>
            <w:tcW w:type="dxa" w:w="5112"/>
            <w:tcMar>
              <w:top w:w="50" w:type="dxa"/>
              <w:start w:w="75" w:type="dxa"/>
              <w:bottom w:w="50" w:type="dxa"/>
              <w:end w:w="75" w:type="dxa"/>
            </w:tcMar>
          </w:tcPr>
          <w:p>
            <w:r>
              <w:rPr>
                <w:rFonts w:ascii="Noto Sans" w:hAnsi="Noto Sans" w:eastAsia="Noto Sans CJK JP"/>
                <w:sz w:val="16"/>
              </w:rPr>
              <w:t>avec / accompagné d'un changement ; registre assez formel</w:t>
            </w:r>
          </w:p>
        </w:tc>
      </w:tr>
      <w:tr>
        <w:trPr>
          <w:cantSplit/>
        </w:trPr>
        <w:tc>
          <w:tcPr>
            <w:tcW w:type="dxa" w:w="5112"/>
            <w:tcMar>
              <w:top w:w="50" w:type="dxa"/>
              <w:start w:w="75" w:type="dxa"/>
              <w:bottom w:w="50" w:type="dxa"/>
              <w:end w:w="75" w:type="dxa"/>
            </w:tcMar>
          </w:tcPr>
          <w:p>
            <w:r>
              <w:rPr>
                <w:rFonts w:ascii="Noto Sans" w:hAnsi="Noto Sans" w:eastAsia="Noto Sans CJK JP"/>
                <w:sz w:val="16"/>
              </w:rPr>
              <w:t>～に従って</w:t>
            </w:r>
          </w:p>
        </w:tc>
        <w:tc>
          <w:tcPr>
            <w:tcW w:type="dxa" w:w="5112"/>
            <w:tcMar>
              <w:top w:w="50" w:type="dxa"/>
              <w:start w:w="75" w:type="dxa"/>
              <w:bottom w:w="50" w:type="dxa"/>
              <w:end w:w="75" w:type="dxa"/>
            </w:tcMar>
          </w:tcPr>
          <w:p>
            <w:r>
              <w:rPr>
                <w:rFonts w:ascii="Noto Sans" w:hAnsi="Noto Sans" w:eastAsia="Noto Sans CJK JP"/>
                <w:sz w:val="16"/>
              </w:rPr>
              <w:t>selon / à mesure que / conformément à</w:t>
            </w:r>
          </w:p>
        </w:tc>
      </w:tr>
      <w:tr>
        <w:trPr>
          <w:cantSplit/>
        </w:trPr>
        <w:tc>
          <w:tcPr>
            <w:tcW w:type="dxa" w:w="5112"/>
            <w:tcMar>
              <w:top w:w="50" w:type="dxa"/>
              <w:start w:w="75" w:type="dxa"/>
              <w:bottom w:w="50" w:type="dxa"/>
              <w:end w:w="75" w:type="dxa"/>
            </w:tcMar>
          </w:tcPr>
          <w:p>
            <w:r>
              <w:rPr>
                <w:rFonts w:ascii="Noto Sans" w:hAnsi="Noto Sans" w:eastAsia="Noto Sans CJK JP"/>
                <w:sz w:val="16"/>
              </w:rPr>
              <w:t>～に応じて</w:t>
            </w:r>
          </w:p>
        </w:tc>
        <w:tc>
          <w:tcPr>
            <w:tcW w:type="dxa" w:w="5112"/>
            <w:tcMar>
              <w:top w:w="50" w:type="dxa"/>
              <w:start w:w="75" w:type="dxa"/>
              <w:bottom w:w="50" w:type="dxa"/>
              <w:end w:w="75" w:type="dxa"/>
            </w:tcMar>
          </w:tcPr>
          <w:p>
            <w:r>
              <w:rPr>
                <w:rFonts w:ascii="Noto Sans" w:hAnsi="Noto Sans" w:eastAsia="Noto Sans CJK JP"/>
                <w:sz w:val="16"/>
              </w:rPr>
              <w:t>en fonction de / selon</w:t>
            </w:r>
          </w:p>
        </w:tc>
      </w:tr>
      <w:tr>
        <w:trPr>
          <w:cantSplit/>
        </w:trPr>
        <w:tc>
          <w:tcPr>
            <w:tcW w:type="dxa" w:w="5112"/>
            <w:tcMar>
              <w:top w:w="50" w:type="dxa"/>
              <w:start w:w="75" w:type="dxa"/>
              <w:bottom w:w="50" w:type="dxa"/>
              <w:end w:w="75" w:type="dxa"/>
            </w:tcMar>
          </w:tcPr>
          <w:p>
            <w:r>
              <w:rPr>
                <w:rFonts w:ascii="Noto Sans" w:hAnsi="Noto Sans" w:eastAsia="Noto Sans CJK JP"/>
                <w:sz w:val="16"/>
              </w:rPr>
              <w:t>～ほど</w:t>
            </w:r>
          </w:p>
        </w:tc>
        <w:tc>
          <w:tcPr>
            <w:tcW w:type="dxa" w:w="5112"/>
            <w:tcMar>
              <w:top w:w="50" w:type="dxa"/>
              <w:start w:w="75" w:type="dxa"/>
              <w:bottom w:w="50" w:type="dxa"/>
              <w:end w:w="75" w:type="dxa"/>
            </w:tcMar>
          </w:tcPr>
          <w:p>
            <w:r>
              <w:rPr>
                <w:rFonts w:ascii="Noto Sans" w:hAnsi="Noto Sans" w:eastAsia="Noto Sans CJK JP"/>
                <w:sz w:val="16"/>
              </w:rPr>
              <w:t>plus... plus... ou degré</w:t>
            </w:r>
          </w:p>
        </w:tc>
      </w:tr>
      <w:tr>
        <w:trPr>
          <w:cantSplit/>
        </w:trPr>
        <w:tc>
          <w:tcPr>
            <w:tcW w:type="dxa" w:w="5112"/>
            <w:tcMar>
              <w:top w:w="50" w:type="dxa"/>
              <w:start w:w="75" w:type="dxa"/>
              <w:bottom w:w="50" w:type="dxa"/>
              <w:end w:w="75" w:type="dxa"/>
            </w:tcMar>
          </w:tcPr>
          <w:p>
            <w:r>
              <w:rPr>
                <w:rFonts w:ascii="Noto Sans" w:hAnsi="Noto Sans" w:eastAsia="Noto Sans CJK JP"/>
                <w:sz w:val="16"/>
              </w:rPr>
              <w:t>～ば～ほど</w:t>
            </w:r>
          </w:p>
        </w:tc>
        <w:tc>
          <w:tcPr>
            <w:tcW w:type="dxa" w:w="5112"/>
            <w:tcMar>
              <w:top w:w="50" w:type="dxa"/>
              <w:start w:w="75" w:type="dxa"/>
              <w:bottom w:w="50" w:type="dxa"/>
              <w:end w:w="75" w:type="dxa"/>
            </w:tcMar>
          </w:tcPr>
          <w:p>
            <w:r>
              <w:rPr>
                <w:rFonts w:ascii="Noto Sans" w:hAnsi="Noto Sans" w:eastAsia="Noto Sans CJK JP"/>
                <w:sz w:val="16"/>
              </w:rPr>
              <w:t>plus X, plus Y</w:t>
            </w:r>
          </w:p>
        </w:tc>
      </w:tr>
      <w:tr>
        <w:trPr>
          <w:cantSplit/>
        </w:trPr>
        <w:tc>
          <w:tcPr>
            <w:tcW w:type="dxa" w:w="5112"/>
            <w:tcMar>
              <w:top w:w="50" w:type="dxa"/>
              <w:start w:w="75" w:type="dxa"/>
              <w:bottom w:w="50" w:type="dxa"/>
              <w:end w:w="75" w:type="dxa"/>
            </w:tcMar>
          </w:tcPr>
          <w:p>
            <w:r>
              <w:rPr>
                <w:rFonts w:ascii="Noto Sans" w:hAnsi="Noto Sans" w:eastAsia="Noto Sans CJK JP"/>
                <w:sz w:val="16"/>
              </w:rPr>
              <w:t>～につれて / ～とともに</w:t>
            </w:r>
          </w:p>
        </w:tc>
        <w:tc>
          <w:tcPr>
            <w:tcW w:type="dxa" w:w="5112"/>
            <w:tcMar>
              <w:top w:w="50" w:type="dxa"/>
              <w:start w:w="75" w:type="dxa"/>
              <w:bottom w:w="50" w:type="dxa"/>
              <w:end w:w="75" w:type="dxa"/>
            </w:tcMar>
          </w:tcPr>
          <w:p>
            <w:r>
              <w:rPr>
                <w:rFonts w:ascii="Noto Sans" w:hAnsi="Noto Sans" w:eastAsia="Noto Sans CJK JP"/>
                <w:sz w:val="16"/>
              </w:rPr>
              <w:t>décrire une évolution parallèle</w:t>
            </w:r>
          </w:p>
        </w:tc>
      </w:tr>
    </w:tbl>
    <w:p>
      <w:pPr>
        <w:pStyle w:val="Heading1"/>
      </w:pPr>
      <w:r>
        <w:t>10. Bloc F — Relation entre sujets : に関して / について / に対して / をめぐって</w:t>
      </w:r>
    </w:p>
    <w:p>
      <w:pPr>
        <w:pStyle w:val="ListBullet"/>
        <w:spacing w:after="40"/>
      </w:pPr>
      <w:r>
        <w:rPr>
          <w:rFonts w:ascii="Noto Sans" w:hAnsi="Noto Sans" w:eastAsia="Noto Sans CJK JP"/>
          <w:sz w:val="19"/>
        </w:rPr>
        <w:t>～について — au sujet de ; forme générale ;</w:t>
      </w:r>
    </w:p>
    <w:p>
      <w:pPr>
        <w:pStyle w:val="ListBullet"/>
        <w:spacing w:after="40"/>
      </w:pPr>
      <w:r>
        <w:rPr>
          <w:rFonts w:ascii="Noto Sans" w:hAnsi="Noto Sans" w:eastAsia="Noto Sans CJK JP"/>
          <w:sz w:val="19"/>
        </w:rPr>
        <w:t>～に関して — concernant ; plus formel ;</w:t>
      </w:r>
    </w:p>
    <w:p>
      <w:pPr>
        <w:pStyle w:val="ListBullet"/>
        <w:spacing w:after="40"/>
      </w:pPr>
      <w:r>
        <w:rPr>
          <w:rFonts w:ascii="Noto Sans" w:hAnsi="Noto Sans" w:eastAsia="Noto Sans CJK JP"/>
          <w:sz w:val="19"/>
        </w:rPr>
        <w:t>～に対して — envers / par rapport à / en contraste avec selon contexte ;</w:t>
      </w:r>
    </w:p>
    <w:p>
      <w:pPr>
        <w:pStyle w:val="ListBullet"/>
        <w:spacing w:after="40"/>
      </w:pPr>
      <w:r>
        <w:rPr>
          <w:rFonts w:ascii="Noto Sans" w:hAnsi="Noto Sans" w:eastAsia="Noto Sans CJK JP"/>
          <w:sz w:val="19"/>
        </w:rPr>
        <w:t>～をめぐって — autour de, lorsque plusieurs acteurs / opinions se confrontent sur un sujet ;</w:t>
      </w:r>
    </w:p>
    <w:p>
      <w:pPr>
        <w:pStyle w:val="ListBullet"/>
        <w:spacing w:after="40"/>
      </w:pPr>
      <w:r>
        <w:rPr>
          <w:rFonts w:ascii="Noto Sans" w:hAnsi="Noto Sans" w:eastAsia="Noto Sans CJK JP"/>
          <w:sz w:val="19"/>
        </w:rPr>
        <w:t>～にとって — du point de vue de / pour quelqu'un ;</w:t>
      </w:r>
    </w:p>
    <w:p>
      <w:pPr>
        <w:pStyle w:val="ListBullet"/>
        <w:spacing w:after="40"/>
      </w:pPr>
      <w:r>
        <w:rPr>
          <w:rFonts w:ascii="Noto Sans" w:hAnsi="Noto Sans" w:eastAsia="Noto Sans CJK JP"/>
          <w:sz w:val="19"/>
        </w:rPr>
        <w:t>～として — en tant que ;</w:t>
      </w:r>
    </w:p>
    <w:p>
      <w:pPr>
        <w:pStyle w:val="ListBullet"/>
        <w:spacing w:after="40"/>
      </w:pPr>
      <w:r>
        <w:rPr>
          <w:rFonts w:ascii="Noto Sans" w:hAnsi="Noto Sans" w:eastAsia="Noto Sans CJK JP"/>
          <w:sz w:val="19"/>
        </w:rPr>
        <w:t>～において — dans / au sein de, registre écrit ou formel ;</w:t>
      </w:r>
    </w:p>
    <w:p>
      <w:pPr>
        <w:pStyle w:val="ListBullet"/>
        <w:spacing w:after="40"/>
      </w:pPr>
      <w:r>
        <w:rPr>
          <w:rFonts w:ascii="Noto Sans" w:hAnsi="Noto Sans" w:eastAsia="Noto Sans CJK JP"/>
          <w:sz w:val="19"/>
        </w:rPr>
        <w:t>l'utilisateur doit reconnaître le registre et la relation sémantique, pas seulement « à propos de ».</w:t>
      </w:r>
    </w:p>
    <w:p>
      <w:pPr>
        <w:pStyle w:val="Heading1"/>
      </w:pPr>
      <w:r>
        <w:rPr>
          <w:rFonts w:ascii="Noto Sans" w:hAnsi="Noto Sans" w:eastAsia="Noto Sans CJK JP"/>
          <w:sz w:val="28"/>
        </w:rPr>
        <w:t>11. Bloc G — Normes et situations instituées</w:t>
      </w:r>
    </w:p>
    <w:p>
      <w:pPr>
        <w:pStyle w:val="ListBullet"/>
        <w:spacing w:after="40"/>
      </w:pPr>
      <w:r>
        <w:rPr>
          <w:rFonts w:ascii="Noto Sans" w:hAnsi="Noto Sans" w:eastAsia="Noto Sans CJK JP"/>
          <w:sz w:val="19"/>
        </w:rPr>
        <w:t>Rappel : ～ことにする / ～ことになる dans leurs usages quotidiens ont été introduits avant l’étape 6 ; ils ne constituent plus ici une nouvelle notion.</w:t>
      </w:r>
    </w:p>
    <w:p>
      <w:pPr>
        <w:pStyle w:val="ListBullet"/>
        <w:spacing w:after="40"/>
      </w:pPr>
      <w:r>
        <w:rPr>
          <w:rFonts w:ascii="Noto Sans" w:hAnsi="Noto Sans" w:eastAsia="Noto Sans CJK JP"/>
          <w:sz w:val="19"/>
        </w:rPr>
        <w:t>À ce niveau, on compare décision personnelle, décision externe et formulation institutionnelle, puis on travaille surtout les formes qui décrivent règles, procédures et états prévus.</w:t>
      </w:r>
    </w:p>
    <w:p>
      <w:pPr>
        <w:pStyle w:val="ListBullet"/>
        <w:spacing w:after="40"/>
      </w:pPr>
      <w:r>
        <w:rPr>
          <w:rFonts w:ascii="Noto Sans" w:hAnsi="Noto Sans" w:eastAsia="Noto Sans CJK JP"/>
          <w:sz w:val="19"/>
        </w:rPr>
        <w:t>～ことになっている — règle, disposition ou fonctionnement prévu ;</w:t>
      </w:r>
    </w:p>
    <w:p>
      <w:pPr>
        <w:pStyle w:val="ListBullet"/>
        <w:spacing w:after="40"/>
      </w:pPr>
      <w:r>
        <w:rPr>
          <w:rFonts w:ascii="Noto Sans" w:hAnsi="Noto Sans" w:eastAsia="Noto Sans CJK JP"/>
          <w:sz w:val="19"/>
        </w:rPr>
        <w:t>～ようになっている — être conçu / organisé pour que ;</w:t>
      </w:r>
    </w:p>
    <w:p>
      <w:pPr>
        <w:pStyle w:val="ListBullet"/>
        <w:spacing w:after="40"/>
      </w:pPr>
      <w:r>
        <w:rPr>
          <w:rFonts w:ascii="Noto Sans" w:hAnsi="Noto Sans" w:eastAsia="Noto Sans CJK JP"/>
          <w:sz w:val="19"/>
        </w:rPr>
        <w:t>～ことは～が — reconnaître un point tout en le nuancant ;</w:t>
      </w:r>
    </w:p>
    <w:p>
      <w:pPr>
        <w:pStyle w:val="ListBullet"/>
        <w:spacing w:after="40"/>
      </w:pPr>
      <w:r>
        <w:rPr>
          <w:rFonts w:ascii="Noto Sans" w:hAnsi="Noto Sans" w:eastAsia="Noto Sans CJK JP"/>
          <w:sz w:val="19"/>
        </w:rPr>
        <w:t>～ことだ — conseil ou constat général selon contexte ;</w:t>
      </w:r>
    </w:p>
    <w:p>
      <w:pPr>
        <w:pStyle w:val="ListBullet"/>
        <w:spacing w:after="40"/>
      </w:pPr>
      <w:r>
        <w:rPr>
          <w:rFonts w:ascii="Noto Sans" w:hAnsi="Noto Sans" w:eastAsia="Noto Sans CJK JP"/>
          <w:sz w:val="19"/>
        </w:rPr>
        <w:t>distinguer clairement rappel d’une décision, règle instituée, fonctionnement prévu, norme générale et constat discursif.</w:t>
      </w:r>
    </w:p>
    <w:p>
      <w:pPr>
        <w:pStyle w:val="Heading1"/>
      </w:pPr>
      <w:r>
        <w:t>12. Bloc H — Style écrit : de la conversation au texte structuré</w:t>
      </w:r>
    </w:p>
    <w:p>
      <w:r>
        <w:rPr>
          <w:rFonts w:ascii="Noto Sans" w:hAnsi="Noto Sans" w:eastAsia="Noto Sans CJK JP"/>
          <w:sz w:val="20"/>
        </w:rPr>
        <w:t>Le japonais écrit ne se contente pas de retranscrire une conversation. Il utilise davantage de noms abstraits, connecteurs, formes condensées et choix de registre.</w:t>
      </w:r>
    </w:p>
    <w:p>
      <w:pPr>
        <w:pStyle w:val="Heading2"/>
      </w:pPr>
      <w:r>
        <w:t>12.1 Style です / ます et style だ / である</w:t>
      </w:r>
    </w:p>
    <w:p>
      <w:pPr>
        <w:pStyle w:val="ListBullet"/>
        <w:spacing w:after="40"/>
      </w:pPr>
      <w:r>
        <w:rPr>
          <w:rFonts w:ascii="Noto Sans" w:hAnsi="Noto Sans" w:eastAsia="Noto Sans CJK JP"/>
          <w:sz w:val="19"/>
        </w:rPr>
        <w:t>comprendre qu'un texte doit conserver une cohérence de style ;</w:t>
      </w:r>
    </w:p>
    <w:p>
      <w:pPr>
        <w:pStyle w:val="ListBullet"/>
        <w:spacing w:after="40"/>
      </w:pPr>
      <w:r>
        <w:rPr>
          <w:rFonts w:ascii="Noto Sans" w:hAnsi="Noto Sans" w:eastAsia="Noto Sans CJK JP"/>
          <w:sz w:val="19"/>
        </w:rPr>
        <w:t>reconnaître である comme forme écrite neutre/formelle fréquente dans rapports, essais et textes explicatifs ;</w:t>
      </w:r>
    </w:p>
    <w:p>
      <w:pPr>
        <w:pStyle w:val="ListBullet"/>
        <w:spacing w:after="40"/>
      </w:pPr>
      <w:r>
        <w:rPr>
          <w:rFonts w:ascii="Noto Sans" w:hAnsi="Noto Sans" w:eastAsia="Noto Sans CJK JP"/>
          <w:sz w:val="19"/>
        </w:rPr>
        <w:t>savoir convertir un petit texte entre style poli et style neutre écrit ;</w:t>
      </w:r>
    </w:p>
    <w:p>
      <w:pPr>
        <w:pStyle w:val="ListBullet"/>
        <w:spacing w:after="40"/>
      </w:pPr>
      <w:r>
        <w:rPr>
          <w:rFonts w:ascii="Noto Sans" w:hAnsi="Noto Sans" w:eastAsia="Noto Sans CJK JP"/>
          <w:sz w:val="19"/>
        </w:rPr>
        <w:t>éviter de mélanger arbitrairement les styles dans une même production.</w:t>
      </w:r>
    </w:p>
    <w:p>
      <w:pPr>
        <w:pStyle w:val="Heading2"/>
      </w:pPr>
      <w:r>
        <w:t>12.2 Nominalisation et densité de l'écrit</w:t>
      </w:r>
    </w:p>
    <w:p>
      <w:pPr>
        <w:pStyle w:val="ListBullet"/>
        <w:spacing w:after="40"/>
      </w:pPr>
      <w:r>
        <w:rPr>
          <w:rFonts w:ascii="Noto Sans" w:hAnsi="Noto Sans" w:eastAsia="Noto Sans CJK JP"/>
          <w:sz w:val="19"/>
        </w:rPr>
        <w:t>transformer des propositions en groupes nominaux plus compacts ;</w:t>
      </w:r>
    </w:p>
    <w:p>
      <w:pPr>
        <w:pStyle w:val="ListBullet"/>
        <w:spacing w:after="40"/>
      </w:pPr>
      <w:r>
        <w:rPr>
          <w:rFonts w:ascii="Noto Sans" w:hAnsi="Noto Sans" w:eastAsia="Noto Sans CJK JP"/>
          <w:sz w:val="19"/>
        </w:rPr>
        <w:t>reconnaître les noms abstraits formes avec ～化, ～性, ～的, ～者, ～率, ～力, etc. ;</w:t>
      </w:r>
    </w:p>
    <w:p>
      <w:pPr>
        <w:pStyle w:val="ListBullet"/>
        <w:spacing w:after="40"/>
      </w:pPr>
      <w:r>
        <w:rPr>
          <w:rFonts w:ascii="Noto Sans" w:hAnsi="Noto Sans" w:eastAsia="Noto Sans CJK JP"/>
          <w:sz w:val="19"/>
        </w:rPr>
        <w:t>comprendre que le japonais formel tend à condenser certaines informations plutôt qu'à répéter des phrases verbales complètes.</w:t>
      </w:r>
    </w:p>
    <w:p>
      <w:pPr>
        <w:pStyle w:val="Heading1"/>
      </w:pPr>
      <w:r>
        <w:t>13. Bloc I — Connecteurs et architecture de l'argumentation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Fonction</w:t>
            </w:r>
          </w:p>
        </w:tc>
        <w:tc>
          <w:tcPr>
            <w:tcW w:type="dxa" w:w="5112"/>
            <w:shd w:fill="DCEAF0"/>
            <w:tcMar>
              <w:top w:w="65" w:type="dxa"/>
              <w:start w:w="90" w:type="dxa"/>
              <w:bottom w:w="65" w:type="dxa"/>
              <w:end w:w="90" w:type="dxa"/>
            </w:tcMar>
          </w:tcPr>
          <w:p>
            <w:r>
              <w:rPr>
                <w:rFonts w:ascii="Noto Sans" w:hAnsi="Noto Sans" w:eastAsia="Noto Sans CJK JP"/>
                <w:b/>
                <w:sz w:val="17"/>
              </w:rPr>
              <w:t>Exemples à maîtriser</w:t>
            </w:r>
          </w:p>
        </w:tc>
      </w:tr>
      <w:tr>
        <w:trPr>
          <w:cantSplit/>
        </w:trPr>
        <w:tc>
          <w:tcPr>
            <w:tcW w:type="dxa" w:w="5112"/>
            <w:tcMar>
              <w:top w:w="50" w:type="dxa"/>
              <w:start w:w="75" w:type="dxa"/>
              <w:bottom w:w="50" w:type="dxa"/>
              <w:end w:w="75" w:type="dxa"/>
            </w:tcMar>
          </w:tcPr>
          <w:p>
            <w:r>
              <w:rPr>
                <w:rFonts w:ascii="Noto Sans" w:hAnsi="Noto Sans" w:eastAsia="Noto Sans CJK JP"/>
                <w:sz w:val="16"/>
              </w:rPr>
              <w:t>Ajouter</w:t>
            </w:r>
          </w:p>
        </w:tc>
        <w:tc>
          <w:tcPr>
            <w:tcW w:type="dxa" w:w="5112"/>
            <w:tcMar>
              <w:top w:w="50" w:type="dxa"/>
              <w:start w:w="75" w:type="dxa"/>
              <w:bottom w:w="50" w:type="dxa"/>
              <w:end w:w="75" w:type="dxa"/>
            </w:tcMar>
          </w:tcPr>
          <w:p>
            <w:r>
              <w:rPr>
                <w:rFonts w:ascii="Noto Sans" w:hAnsi="Noto Sans" w:eastAsia="Noto Sans CJK JP"/>
                <w:sz w:val="16"/>
              </w:rPr>
              <w:t>さらに, また, そのうえ</w:t>
            </w:r>
          </w:p>
        </w:tc>
      </w:tr>
      <w:tr>
        <w:trPr>
          <w:cantSplit/>
        </w:trPr>
        <w:tc>
          <w:tcPr>
            <w:tcW w:type="dxa" w:w="5112"/>
            <w:tcMar>
              <w:top w:w="50" w:type="dxa"/>
              <w:start w:w="75" w:type="dxa"/>
              <w:bottom w:w="50" w:type="dxa"/>
              <w:end w:w="75" w:type="dxa"/>
            </w:tcMar>
          </w:tcPr>
          <w:p>
            <w:r>
              <w:rPr>
                <w:rFonts w:ascii="Noto Sans" w:hAnsi="Noto Sans" w:eastAsia="Noto Sans CJK JP"/>
                <w:sz w:val="16"/>
              </w:rPr>
              <w:t>Opposer</w:t>
            </w:r>
          </w:p>
        </w:tc>
        <w:tc>
          <w:tcPr>
            <w:tcW w:type="dxa" w:w="5112"/>
            <w:tcMar>
              <w:top w:w="50" w:type="dxa"/>
              <w:start w:w="75" w:type="dxa"/>
              <w:bottom w:w="50" w:type="dxa"/>
              <w:end w:w="75" w:type="dxa"/>
            </w:tcMar>
          </w:tcPr>
          <w:p>
            <w:r>
              <w:rPr>
                <w:rFonts w:ascii="Noto Sans" w:hAnsi="Noto Sans" w:eastAsia="Noto Sans CJK JP"/>
                <w:sz w:val="16"/>
              </w:rPr>
              <w:t>しかし, ところが, 一方で, 反対に</w:t>
            </w:r>
          </w:p>
        </w:tc>
      </w:tr>
      <w:tr>
        <w:trPr>
          <w:cantSplit/>
        </w:trPr>
        <w:tc>
          <w:tcPr>
            <w:tcW w:type="dxa" w:w="5112"/>
            <w:tcMar>
              <w:top w:w="50" w:type="dxa"/>
              <w:start w:w="75" w:type="dxa"/>
              <w:bottom w:w="50" w:type="dxa"/>
              <w:end w:w="75" w:type="dxa"/>
            </w:tcMar>
          </w:tcPr>
          <w:p>
            <w:r>
              <w:rPr>
                <w:rFonts w:ascii="Noto Sans" w:hAnsi="Noto Sans" w:eastAsia="Noto Sans CJK JP"/>
                <w:sz w:val="16"/>
              </w:rPr>
              <w:t>Concéder</w:t>
            </w:r>
          </w:p>
        </w:tc>
        <w:tc>
          <w:tcPr>
            <w:tcW w:type="dxa" w:w="5112"/>
            <w:tcMar>
              <w:top w:w="50" w:type="dxa"/>
              <w:start w:w="75" w:type="dxa"/>
              <w:bottom w:w="50" w:type="dxa"/>
              <w:end w:w="75" w:type="dxa"/>
            </w:tcMar>
          </w:tcPr>
          <w:p>
            <w:r>
              <w:rPr>
                <w:rFonts w:ascii="Noto Sans" w:hAnsi="Noto Sans" w:eastAsia="Noto Sans CJK JP"/>
                <w:sz w:val="16"/>
              </w:rPr>
              <w:t>とはいえ, それでも, もっとも</w:t>
            </w:r>
          </w:p>
        </w:tc>
      </w:tr>
      <w:tr>
        <w:trPr>
          <w:cantSplit/>
        </w:trPr>
        <w:tc>
          <w:tcPr>
            <w:tcW w:type="dxa" w:w="5112"/>
            <w:tcMar>
              <w:top w:w="50" w:type="dxa"/>
              <w:start w:w="75" w:type="dxa"/>
              <w:bottom w:w="50" w:type="dxa"/>
              <w:end w:w="75" w:type="dxa"/>
            </w:tcMar>
          </w:tcPr>
          <w:p>
            <w:r>
              <w:rPr>
                <w:rFonts w:ascii="Noto Sans" w:hAnsi="Noto Sans" w:eastAsia="Noto Sans CJK JP"/>
                <w:sz w:val="16"/>
              </w:rPr>
              <w:t>Expliquer</w:t>
            </w:r>
          </w:p>
        </w:tc>
        <w:tc>
          <w:tcPr>
            <w:tcW w:type="dxa" w:w="5112"/>
            <w:tcMar>
              <w:top w:w="50" w:type="dxa"/>
              <w:start w:w="75" w:type="dxa"/>
              <w:bottom w:w="50" w:type="dxa"/>
              <w:end w:w="75" w:type="dxa"/>
            </w:tcMar>
          </w:tcPr>
          <w:p>
            <w:r>
              <w:rPr>
                <w:rFonts w:ascii="Noto Sans" w:hAnsi="Noto Sans" w:eastAsia="Noto Sans CJK JP"/>
                <w:sz w:val="16"/>
              </w:rPr>
              <w:t>つまり, すなわち, ということは</w:t>
            </w:r>
          </w:p>
        </w:tc>
      </w:tr>
      <w:tr>
        <w:trPr>
          <w:cantSplit/>
        </w:trPr>
        <w:tc>
          <w:tcPr>
            <w:tcW w:type="dxa" w:w="5112"/>
            <w:tcMar>
              <w:top w:w="50" w:type="dxa"/>
              <w:start w:w="75" w:type="dxa"/>
              <w:bottom w:w="50" w:type="dxa"/>
              <w:end w:w="75" w:type="dxa"/>
            </w:tcMar>
          </w:tcPr>
          <w:p>
            <w:r>
              <w:rPr>
                <w:rFonts w:ascii="Noto Sans" w:hAnsi="Noto Sans" w:eastAsia="Noto Sans CJK JP"/>
                <w:sz w:val="16"/>
              </w:rPr>
              <w:t>Cause / conséquence</w:t>
            </w:r>
          </w:p>
        </w:tc>
        <w:tc>
          <w:tcPr>
            <w:tcW w:type="dxa" w:w="5112"/>
            <w:tcMar>
              <w:top w:w="50" w:type="dxa"/>
              <w:start w:w="75" w:type="dxa"/>
              <w:bottom w:w="50" w:type="dxa"/>
              <w:end w:w="75" w:type="dxa"/>
            </w:tcMar>
          </w:tcPr>
          <w:p>
            <w:r>
              <w:rPr>
                <w:rFonts w:ascii="Noto Sans" w:hAnsi="Noto Sans" w:eastAsia="Noto Sans CJK JP"/>
                <w:sz w:val="16"/>
              </w:rPr>
              <w:t>そのため, したがって, そこで</w:t>
            </w:r>
          </w:p>
        </w:tc>
      </w:tr>
      <w:tr>
        <w:trPr>
          <w:cantSplit/>
        </w:trPr>
        <w:tc>
          <w:tcPr>
            <w:tcW w:type="dxa" w:w="5112"/>
            <w:tcMar>
              <w:top w:w="50" w:type="dxa"/>
              <w:start w:w="75" w:type="dxa"/>
              <w:bottom w:w="50" w:type="dxa"/>
              <w:end w:w="75" w:type="dxa"/>
            </w:tcMar>
          </w:tcPr>
          <w:p>
            <w:r>
              <w:rPr>
                <w:rFonts w:ascii="Noto Sans" w:hAnsi="Noto Sans" w:eastAsia="Noto Sans CJK JP"/>
                <w:sz w:val="16"/>
              </w:rPr>
              <w:t>Donner un exemple</w:t>
            </w:r>
          </w:p>
        </w:tc>
        <w:tc>
          <w:tcPr>
            <w:tcW w:type="dxa" w:w="5112"/>
            <w:tcMar>
              <w:top w:w="50" w:type="dxa"/>
              <w:start w:w="75" w:type="dxa"/>
              <w:bottom w:w="50" w:type="dxa"/>
              <w:end w:w="75" w:type="dxa"/>
            </w:tcMar>
          </w:tcPr>
          <w:p>
            <w:r>
              <w:rPr>
                <w:rFonts w:ascii="Noto Sans" w:hAnsi="Noto Sans" w:eastAsia="Noto Sans CJK JP"/>
                <w:sz w:val="16"/>
              </w:rPr>
              <w:t>例えば, 具体的には</w:t>
            </w:r>
          </w:p>
        </w:tc>
      </w:tr>
      <w:tr>
        <w:trPr>
          <w:cantSplit/>
        </w:trPr>
        <w:tc>
          <w:tcPr>
            <w:tcW w:type="dxa" w:w="5112"/>
            <w:tcMar>
              <w:top w:w="50" w:type="dxa"/>
              <w:start w:w="75" w:type="dxa"/>
              <w:bottom w:w="50" w:type="dxa"/>
              <w:end w:w="75" w:type="dxa"/>
            </w:tcMar>
          </w:tcPr>
          <w:p>
            <w:r>
              <w:rPr>
                <w:rFonts w:ascii="Noto Sans" w:hAnsi="Noto Sans" w:eastAsia="Noto Sans CJK JP"/>
                <w:sz w:val="16"/>
              </w:rPr>
              <w:t>Changer de point</w:t>
            </w:r>
          </w:p>
        </w:tc>
        <w:tc>
          <w:tcPr>
            <w:tcW w:type="dxa" w:w="5112"/>
            <w:tcMar>
              <w:top w:w="50" w:type="dxa"/>
              <w:start w:w="75" w:type="dxa"/>
              <w:bottom w:w="50" w:type="dxa"/>
              <w:end w:w="75" w:type="dxa"/>
            </w:tcMar>
          </w:tcPr>
          <w:p>
            <w:r>
              <w:rPr>
                <w:rFonts w:ascii="Noto Sans" w:hAnsi="Noto Sans" w:eastAsia="Noto Sans CJK JP"/>
                <w:sz w:val="16"/>
              </w:rPr>
              <w:t>さて, ところで</w:t>
            </w:r>
          </w:p>
        </w:tc>
      </w:tr>
      <w:tr>
        <w:trPr>
          <w:cantSplit/>
        </w:trPr>
        <w:tc>
          <w:tcPr>
            <w:tcW w:type="dxa" w:w="5112"/>
            <w:tcMar>
              <w:top w:w="50" w:type="dxa"/>
              <w:start w:w="75" w:type="dxa"/>
              <w:bottom w:w="50" w:type="dxa"/>
              <w:end w:w="75" w:type="dxa"/>
            </w:tcMar>
          </w:tcPr>
          <w:p>
            <w:r>
              <w:rPr>
                <w:rFonts w:ascii="Noto Sans" w:hAnsi="Noto Sans" w:eastAsia="Noto Sans CJK JP"/>
                <w:sz w:val="16"/>
              </w:rPr>
              <w:t>Conclure</w:t>
            </w:r>
          </w:p>
        </w:tc>
        <w:tc>
          <w:tcPr>
            <w:tcW w:type="dxa" w:w="5112"/>
            <w:tcMar>
              <w:top w:w="50" w:type="dxa"/>
              <w:start w:w="75" w:type="dxa"/>
              <w:bottom w:w="50" w:type="dxa"/>
              <w:end w:w="75" w:type="dxa"/>
            </w:tcMar>
          </w:tcPr>
          <w:p>
            <w:r>
              <w:rPr>
                <w:rFonts w:ascii="Noto Sans" w:hAnsi="Noto Sans" w:eastAsia="Noto Sans CJK JP"/>
                <w:sz w:val="16"/>
              </w:rPr>
              <w:t>以上から, このように, 結論として</w:t>
            </w:r>
          </w:p>
        </w:tc>
      </w:tr>
    </w:tbl>
    <w:p>
      <w:r>
        <w:rPr>
          <w:rFonts w:ascii="Noto Sans" w:hAnsi="Noto Sans" w:eastAsia="Noto Sans CJK JP"/>
          <w:sz w:val="20"/>
        </w:rPr>
        <w:t>Les exercices doivent demander de reconstruire la logique d'un texte, de choisir un connecteur selon la relation entre deux paragraphes et de reformuler un argument.</w:t>
      </w:r>
    </w:p>
    <w:p>
      <w:pPr>
        <w:pStyle w:val="Heading1"/>
      </w:pPr>
      <w:r>
        <w:t>14. Bloc J — Argumenter et nuancer son opinion</w:t>
      </w:r>
    </w:p>
    <w:p>
      <w:pPr>
        <w:pStyle w:val="ListBullet"/>
        <w:spacing w:after="40"/>
      </w:pPr>
      <w:r>
        <w:rPr>
          <w:rFonts w:ascii="Noto Sans" w:hAnsi="Noto Sans" w:eastAsia="Noto Sans CJK JP"/>
          <w:sz w:val="19"/>
        </w:rPr>
        <w:t>annoncer sa position : 私は～と考えます / ～と思います ;</w:t>
      </w:r>
    </w:p>
    <w:p>
      <w:pPr>
        <w:pStyle w:val="ListBullet"/>
        <w:spacing w:after="40"/>
      </w:pPr>
      <w:r>
        <w:rPr>
          <w:rFonts w:ascii="Noto Sans" w:hAnsi="Noto Sans" w:eastAsia="Noto Sans CJK JP"/>
          <w:sz w:val="19"/>
        </w:rPr>
        <w:t>donner des raisons structurées ;</w:t>
      </w:r>
    </w:p>
    <w:p>
      <w:pPr>
        <w:pStyle w:val="ListBullet"/>
        <w:spacing w:after="40"/>
      </w:pPr>
      <w:r>
        <w:rPr>
          <w:rFonts w:ascii="Noto Sans" w:hAnsi="Noto Sans" w:eastAsia="Noto Sans CJK JP"/>
          <w:sz w:val="19"/>
        </w:rPr>
        <w:t>présenter un exemple ou une donnée ;</w:t>
      </w:r>
    </w:p>
    <w:p>
      <w:pPr>
        <w:pStyle w:val="ListBullet"/>
        <w:spacing w:after="40"/>
      </w:pPr>
      <w:r>
        <w:rPr>
          <w:rFonts w:ascii="Noto Sans" w:hAnsi="Noto Sans" w:eastAsia="Noto Sans CJK JP"/>
          <w:sz w:val="19"/>
        </w:rPr>
        <w:t>reconnaître un avantage puis introduire une limité ;</w:t>
      </w:r>
    </w:p>
    <w:p>
      <w:pPr>
        <w:pStyle w:val="ListBullet"/>
        <w:spacing w:after="40"/>
      </w:pPr>
      <w:r>
        <w:rPr>
          <w:rFonts w:ascii="Noto Sans" w:hAnsi="Noto Sans" w:eastAsia="Noto Sans CJK JP"/>
          <w:sz w:val="19"/>
        </w:rPr>
        <w:t>présenter le point de vue opposé sans caricature ;</w:t>
      </w:r>
    </w:p>
    <w:p>
      <w:pPr>
        <w:pStyle w:val="ListBullet"/>
        <w:spacing w:after="40"/>
      </w:pPr>
      <w:r>
        <w:rPr>
          <w:rFonts w:ascii="Noto Sans" w:hAnsi="Noto Sans" w:eastAsia="Noto Sans CJK JP"/>
          <w:sz w:val="19"/>
        </w:rPr>
        <w:t>concéder une partie de l'argument adverse ;</w:t>
      </w:r>
    </w:p>
    <w:p>
      <w:pPr>
        <w:pStyle w:val="ListBullet"/>
        <w:spacing w:after="40"/>
      </w:pPr>
      <w:r>
        <w:rPr>
          <w:rFonts w:ascii="Noto Sans" w:hAnsi="Noto Sans" w:eastAsia="Noto Sans CJK JP"/>
          <w:sz w:val="19"/>
        </w:rPr>
        <w:t>reformuler sa position plus précisément ;</w:t>
      </w:r>
    </w:p>
    <w:p>
      <w:pPr>
        <w:pStyle w:val="ListBullet"/>
        <w:spacing w:after="40"/>
      </w:pPr>
      <w:r>
        <w:rPr>
          <w:rFonts w:ascii="Noto Sans" w:hAnsi="Noto Sans" w:eastAsia="Noto Sans CJK JP"/>
          <w:sz w:val="19"/>
        </w:rPr>
        <w:t>exprimer un degré de certitude au lieu d'affirmer tout de façon absolue ;</w:t>
      </w:r>
    </w:p>
    <w:p>
      <w:pPr>
        <w:pStyle w:val="ListBullet"/>
        <w:spacing w:after="40"/>
      </w:pPr>
      <w:r>
        <w:rPr>
          <w:rFonts w:ascii="Noto Sans" w:hAnsi="Noto Sans" w:eastAsia="Noto Sans CJK JP"/>
          <w:sz w:val="19"/>
        </w:rPr>
        <w:t>conclure en revenant a la question principale.</w:t>
      </w:r>
    </w:p>
    <w:tbl>
      <w:tblPr>
        <w:tblW w:type="auto" w:w="0"/>
        <w:jc w:val="center"/>
        <w:tblLook w:firstColumn="1" w:firstRow="1" w:lastColumn="0" w:lastRow="0" w:noHBand="0" w:noVBand="1" w:val="04A0"/>
      </w:tblPr>
      <w:tblGrid>
        <w:gridCol w:w="10224"/>
      </w:tblGrid>
      <w:tr>
        <w:trPr>
          <w:cantSplit/>
        </w:trPr>
        <w:tc>
          <w:tcPr>
            <w:tcW w:type="dxa" w:w="10224"/>
            <w:shd w:fill="EEF6EA"/>
            <w:tcMar>
              <w:top w:w="105" w:type="dxa"/>
              <w:start w:w="135" w:type="dxa"/>
              <w:bottom w:w="105" w:type="dxa"/>
              <w:end w:w="135" w:type="dxa"/>
            </w:tcMar>
          </w:tcPr>
          <w:p>
            <w:pPr>
              <w:spacing w:after="60"/>
            </w:pPr>
            <w:r>
              <w:rPr>
                <w:rFonts w:ascii="Noto Sans" w:hAnsi="Noto Sans" w:eastAsia="Noto Sans CJK JP"/>
                <w:b/>
                <w:sz w:val="20"/>
              </w:rPr>
              <w:t>Objectif</w:t>
            </w:r>
          </w:p>
          <w:p>
            <w:pPr>
              <w:spacing w:after="0"/>
            </w:pPr>
            <w:r>
              <w:rPr>
                <w:rFonts w:ascii="Noto Sans" w:hAnsi="Noto Sans" w:eastAsia="Noto Sans CJK JP"/>
                <w:sz w:val="19"/>
              </w:rPr>
              <w:t>L'utilisateur doit pouvoir soutenir une opinion pendant plusieurs minutes ou plusieurs paragraphes, et pas seulement enchainer « je pense que... parce que... ».</w:t>
            </w:r>
          </w:p>
        </w:tc>
      </w:tr>
    </w:tbl>
    <w:p>
      <w:pPr>
        <w:spacing w:after="0"/>
      </w:pPr>
    </w:p>
    <w:p>
      <w:pPr>
        <w:pStyle w:val="Heading1"/>
      </w:pPr>
      <w:r>
        <w:t>15. Bloc K — Reformulation, précision et stratégie de communication</w:t>
      </w:r>
    </w:p>
    <w:p>
      <w:pPr>
        <w:pStyle w:val="ListBullet"/>
        <w:spacing w:after="40"/>
      </w:pPr>
      <w:r>
        <w:rPr>
          <w:rFonts w:ascii="Noto Sans" w:hAnsi="Noto Sans" w:eastAsia="Noto Sans CJK JP"/>
          <w:sz w:val="19"/>
        </w:rPr>
        <w:t>dire autrement un mot que l'on ne connaît pas ;</w:t>
      </w:r>
    </w:p>
    <w:p>
      <w:pPr>
        <w:pStyle w:val="ListBullet"/>
        <w:spacing w:after="40"/>
      </w:pPr>
      <w:r>
        <w:rPr>
          <w:rFonts w:ascii="Noto Sans" w:hAnsi="Noto Sans" w:eastAsia="Noto Sans CJK JP"/>
          <w:sz w:val="19"/>
        </w:rPr>
        <w:t>définir une notion avec ～というのは / ～とは ;</w:t>
      </w:r>
    </w:p>
    <w:p>
      <w:pPr>
        <w:pStyle w:val="ListBullet"/>
        <w:spacing w:after="40"/>
      </w:pPr>
      <w:r>
        <w:rPr>
          <w:rFonts w:ascii="Noto Sans" w:hAnsi="Noto Sans" w:eastAsia="Noto Sans CJK JP"/>
          <w:sz w:val="19"/>
        </w:rPr>
        <w:t>utiliser つまり / 要するに pour reformuler ;</w:t>
      </w:r>
    </w:p>
    <w:p>
      <w:pPr>
        <w:pStyle w:val="ListBullet"/>
        <w:spacing w:after="40"/>
      </w:pPr>
      <w:r>
        <w:rPr>
          <w:rFonts w:ascii="Noto Sans" w:hAnsi="Noto Sans" w:eastAsia="Noto Sans CJK JP"/>
          <w:sz w:val="19"/>
        </w:rPr>
        <w:t>demander une précision : ～という意味ですか / 具体的にはどういうことですか ;</w:t>
      </w:r>
    </w:p>
    <w:p>
      <w:pPr>
        <w:pStyle w:val="ListBullet"/>
        <w:spacing w:after="40"/>
      </w:pPr>
      <w:r>
        <w:rPr>
          <w:rFonts w:ascii="Noto Sans" w:hAnsi="Noto Sans" w:eastAsia="Noto Sans CJK JP"/>
          <w:sz w:val="19"/>
        </w:rPr>
        <w:t>corriger une interprétation sans rompre la conversation ;</w:t>
      </w:r>
    </w:p>
    <w:p>
      <w:pPr>
        <w:pStyle w:val="ListBullet"/>
        <w:spacing w:after="40"/>
      </w:pPr>
      <w:r>
        <w:rPr>
          <w:rFonts w:ascii="Noto Sans" w:hAnsi="Noto Sans" w:eastAsia="Noto Sans CJK JP"/>
          <w:sz w:val="19"/>
        </w:rPr>
        <w:t>gagner du temps naturellement avec そうですね, ええと, なんというか, etc., sans en abuser ;</w:t>
      </w:r>
    </w:p>
    <w:p>
      <w:pPr>
        <w:pStyle w:val="ListBullet"/>
        <w:spacing w:after="40"/>
      </w:pPr>
      <w:r>
        <w:rPr>
          <w:rFonts w:ascii="Noto Sans" w:hAnsi="Noto Sans" w:eastAsia="Noto Sans CJK JP"/>
          <w:sz w:val="19"/>
        </w:rPr>
        <w:t>résumer ce que l'autre vient de dire pour confirmer la compréhension.</w:t>
      </w:r>
    </w:p>
    <w:p>
      <w:pPr>
        <w:pStyle w:val="Heading1"/>
      </w:pPr>
      <w:r>
        <w:t>16. Bloc L — Keigo : système général</w:t>
      </w:r>
    </w:p>
    <w:p>
      <w:pPr/>
      <w:r>
        <w:rPr>
          <w:rFonts w:ascii="Noto Sans" w:hAnsi="Noto Sans" w:eastAsia="Noto Sans CJK JP"/>
          <w:sz w:val="20"/>
        </w:rPr>
        <w:t>Le keigo ne doit plus être traité comme une liste de verbes prestigieux. L'utilisateur doit comprendre qui est élevé, qui est abaissé et pourquoi, en fonction de la relation entre groupes.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Catégorie</w:t>
            </w:r>
          </w:p>
        </w:tc>
        <w:tc>
          <w:tcPr>
            <w:tcW w:type="dxa" w:w="3408"/>
            <w:shd w:fill="DCEAF0"/>
            <w:tcMar>
              <w:top w:w="65" w:type="dxa"/>
              <w:start w:w="90" w:type="dxa"/>
              <w:bottom w:w="65" w:type="dxa"/>
              <w:end w:w="90" w:type="dxa"/>
            </w:tcMar>
          </w:tcPr>
          <w:p>
            <w:r>
              <w:rPr>
                <w:rFonts w:ascii="Noto Sans" w:hAnsi="Noto Sans" w:eastAsia="Noto Sans CJK JP"/>
                <w:b/>
                <w:sz w:val="17"/>
              </w:rPr>
              <w:t>Fonction</w:t>
            </w:r>
          </w:p>
        </w:tc>
        <w:tc>
          <w:tcPr>
            <w:tcW w:type="dxa" w:w="3408"/>
            <w:shd w:fill="DCEAF0"/>
            <w:tcMar>
              <w:top w:w="65" w:type="dxa"/>
              <w:start w:w="90" w:type="dxa"/>
              <w:bottom w:w="65" w:type="dxa"/>
              <w:end w:w="90" w:type="dxa"/>
            </w:tcMar>
          </w:tcPr>
          <w:p>
            <w:r>
              <w:rPr>
                <w:rFonts w:ascii="Noto Sans" w:hAnsi="Noto Sans" w:eastAsia="Noto Sans CJK JP"/>
                <w:b/>
                <w:sz w:val="17"/>
              </w:rPr>
              <w:t>Exemple de logique</w:t>
            </w:r>
          </w:p>
        </w:tc>
      </w:tr>
      <w:tr>
        <w:trPr>
          <w:cantSplit/>
        </w:trPr>
        <w:tc>
          <w:tcPr>
            <w:tcW w:type="dxa" w:w="3408"/>
            <w:tcMar>
              <w:top w:w="50" w:type="dxa"/>
              <w:start w:w="75" w:type="dxa"/>
              <w:bottom w:w="50" w:type="dxa"/>
              <w:end w:w="75" w:type="dxa"/>
            </w:tcMar>
          </w:tcPr>
          <w:p>
            <w:r>
              <w:rPr>
                <w:rFonts w:ascii="Noto Sans" w:hAnsi="Noto Sans" w:eastAsia="Noto Sans CJK JP"/>
                <w:sz w:val="16"/>
              </w:rPr>
              <w:t>丁寧語 — teineigo</w:t>
            </w:r>
          </w:p>
        </w:tc>
        <w:tc>
          <w:tcPr>
            <w:tcW w:type="dxa" w:w="3408"/>
            <w:tcMar>
              <w:top w:w="50" w:type="dxa"/>
              <w:start w:w="75" w:type="dxa"/>
              <w:bottom w:w="50" w:type="dxa"/>
              <w:end w:w="75" w:type="dxa"/>
            </w:tcMar>
          </w:tcPr>
          <w:p>
            <w:r>
              <w:rPr>
                <w:rFonts w:ascii="Noto Sans" w:hAnsi="Noto Sans" w:eastAsia="Noto Sans CJK JP"/>
                <w:sz w:val="16"/>
              </w:rPr>
              <w:t>rendre le discours poli</w:t>
            </w:r>
          </w:p>
        </w:tc>
        <w:tc>
          <w:tcPr>
            <w:tcW w:type="dxa" w:w="3408"/>
            <w:tcMar>
              <w:top w:w="50" w:type="dxa"/>
              <w:start w:w="75" w:type="dxa"/>
              <w:bottom w:w="50" w:type="dxa"/>
              <w:end w:w="75" w:type="dxa"/>
            </w:tcMar>
          </w:tcPr>
          <w:p>
            <w:r>
              <w:rPr>
                <w:rFonts w:ascii="Noto Sans" w:hAnsi="Noto Sans" w:eastAsia="Noto Sans CJK JP"/>
                <w:sz w:val="16"/>
              </w:rPr>
              <w:t>です / ます / ございます</w:t>
            </w:r>
          </w:p>
        </w:tc>
      </w:tr>
      <w:tr>
        <w:trPr>
          <w:cantSplit/>
        </w:trPr>
        <w:tc>
          <w:tcPr>
            <w:tcW w:type="dxa" w:w="3408"/>
            <w:tcMar>
              <w:top w:w="50" w:type="dxa"/>
              <w:start w:w="75" w:type="dxa"/>
              <w:bottom w:w="50" w:type="dxa"/>
              <w:end w:w="75" w:type="dxa"/>
            </w:tcMar>
          </w:tcPr>
          <w:p>
            <w:r>
              <w:rPr>
                <w:rFonts w:ascii="Noto Sans" w:hAnsi="Noto Sans" w:eastAsia="Noto Sans CJK JP"/>
                <w:sz w:val="16"/>
              </w:rPr>
              <w:t>尊敬語 — sonkeigo</w:t>
            </w:r>
          </w:p>
        </w:tc>
        <w:tc>
          <w:tcPr>
            <w:tcW w:type="dxa" w:w="3408"/>
            <w:tcMar>
              <w:top w:w="50" w:type="dxa"/>
              <w:start w:w="75" w:type="dxa"/>
              <w:bottom w:w="50" w:type="dxa"/>
              <w:end w:w="75" w:type="dxa"/>
            </w:tcMar>
          </w:tcPr>
          <w:p>
            <w:r>
              <w:rPr>
                <w:rFonts w:ascii="Noto Sans" w:hAnsi="Noto Sans" w:eastAsia="Noto Sans CJK JP"/>
                <w:sz w:val="16"/>
              </w:rPr>
              <w:t>elever l'action de la personne respectée</w:t>
            </w:r>
          </w:p>
        </w:tc>
        <w:tc>
          <w:tcPr>
            <w:tcW w:type="dxa" w:w="3408"/>
            <w:tcMar>
              <w:top w:w="50" w:type="dxa"/>
              <w:start w:w="75" w:type="dxa"/>
              <w:bottom w:w="50" w:type="dxa"/>
              <w:end w:w="75" w:type="dxa"/>
            </w:tcMar>
          </w:tcPr>
          <w:p>
            <w:r>
              <w:rPr>
                <w:rFonts w:ascii="Noto Sans" w:hAnsi="Noto Sans" w:eastAsia="Noto Sans CJK JP"/>
                <w:sz w:val="16"/>
              </w:rPr>
              <w:t>いらっしゃる, おっしゃる, 召し上がる</w:t>
            </w:r>
          </w:p>
        </w:tc>
      </w:tr>
      <w:tr>
        <w:trPr>
          <w:cantSplit/>
        </w:trPr>
        <w:tc>
          <w:tcPr>
            <w:tcW w:type="dxa" w:w="3408"/>
            <w:tcMar>
              <w:top w:w="50" w:type="dxa"/>
              <w:start w:w="75" w:type="dxa"/>
              <w:bottom w:w="50" w:type="dxa"/>
              <w:end w:w="75" w:type="dxa"/>
            </w:tcMar>
          </w:tcPr>
          <w:p>
            <w:r>
              <w:rPr>
                <w:rFonts w:ascii="Noto Sans" w:hAnsi="Noto Sans" w:eastAsia="Noto Sans CJK JP"/>
                <w:sz w:val="16"/>
              </w:rPr>
              <w:t>謙譲語 — kenjogo</w:t>
            </w:r>
          </w:p>
        </w:tc>
        <w:tc>
          <w:tcPr>
            <w:tcW w:type="dxa" w:w="3408"/>
            <w:tcMar>
              <w:top w:w="50" w:type="dxa"/>
              <w:start w:w="75" w:type="dxa"/>
              <w:bottom w:w="50" w:type="dxa"/>
              <w:end w:w="75" w:type="dxa"/>
            </w:tcMar>
          </w:tcPr>
          <w:p>
            <w:r>
              <w:rPr>
                <w:rFonts w:ascii="Noto Sans" w:hAnsi="Noto Sans" w:eastAsia="Noto Sans CJK JP"/>
                <w:sz w:val="16"/>
              </w:rPr>
              <w:t>abaisser son action / celle de son groupe envers l'autre</w:t>
            </w:r>
          </w:p>
        </w:tc>
        <w:tc>
          <w:tcPr>
            <w:tcW w:type="dxa" w:w="3408"/>
            <w:tcMar>
              <w:top w:w="50" w:type="dxa"/>
              <w:start w:w="75" w:type="dxa"/>
              <w:bottom w:w="50" w:type="dxa"/>
              <w:end w:w="75" w:type="dxa"/>
            </w:tcMar>
          </w:tcPr>
          <w:p>
            <w:r>
              <w:rPr>
                <w:rFonts w:ascii="Noto Sans" w:hAnsi="Noto Sans" w:eastAsia="Noto Sans CJK JP"/>
                <w:sz w:val="16"/>
              </w:rPr>
              <w:t>伺う, 申す, 拝見する</w:t>
            </w:r>
          </w:p>
        </w:tc>
      </w:tr>
    </w:tbl>
    <w:p>
      <w:pPr>
        <w:pStyle w:val="Heading2"/>
      </w:pPr>
      <w:r>
        <w:t>16.1 Constructions productives</w:t>
      </w:r>
    </w:p>
    <w:p>
      <w:pPr>
        <w:pStyle w:val="ListBullet"/>
        <w:spacing w:after="40"/>
      </w:pPr>
      <w:r>
        <w:rPr>
          <w:rFonts w:ascii="Noto Sans" w:hAnsi="Noto Sans" w:eastAsia="Noto Sans CJK JP"/>
          <w:sz w:val="19"/>
        </w:rPr>
        <w:t>お / ご + base + になる pour certaines formes honorifiques ;</w:t>
      </w:r>
    </w:p>
    <w:p>
      <w:pPr>
        <w:pStyle w:val="ListBullet"/>
        <w:spacing w:after="40"/>
      </w:pPr>
      <w:r>
        <w:rPr>
          <w:rFonts w:ascii="Noto Sans" w:hAnsi="Noto Sans" w:eastAsia="Noto Sans CJK JP"/>
          <w:sz w:val="19"/>
        </w:rPr>
        <w:t>お / ご + base + する pour certaines formes humbles ;</w:t>
      </w:r>
    </w:p>
    <w:p>
      <w:pPr>
        <w:pStyle w:val="ListBullet"/>
        <w:spacing w:after="40"/>
      </w:pPr>
      <w:r>
        <w:rPr>
          <w:rFonts w:ascii="Noto Sans" w:hAnsi="Noto Sans" w:eastAsia="Noto Sans CJK JP"/>
          <w:sz w:val="19"/>
        </w:rPr>
        <w:t>～ていらっしゃる, ～てくださる, ～ていただく ;</w:t>
      </w:r>
    </w:p>
    <w:p>
      <w:pPr>
        <w:pStyle w:val="ListBullet"/>
        <w:spacing w:after="40"/>
      </w:pPr>
      <w:r>
        <w:rPr>
          <w:rFonts w:ascii="Noto Sans" w:hAnsi="Noto Sans" w:eastAsia="Noto Sans CJK JP"/>
          <w:sz w:val="19"/>
        </w:rPr>
        <w:t>ございます et expressions professionnelles fréquentes ;</w:t>
      </w:r>
    </w:p>
    <w:p>
      <w:pPr>
        <w:pStyle w:val="ListBullet"/>
        <w:spacing w:after="40"/>
      </w:pPr>
      <w:r>
        <w:rPr>
          <w:rFonts w:ascii="Noto Sans" w:hAnsi="Noto Sans" w:eastAsia="Noto Sans CJK JP"/>
          <w:sz w:val="19"/>
        </w:rPr>
        <w:t>apprendre également les verbes spéciaux les plus fréquents.</w:t>
      </w:r>
    </w:p>
    <w:p>
      <w:pPr>
        <w:pStyle w:val="Heading2"/>
      </w:pPr>
      <w:r>
        <w:t>16.2 Uchi / soto</w:t>
      </w:r>
    </w:p>
    <w:p>
      <w:pPr>
        <w:pStyle w:val="ListBullet"/>
        <w:spacing w:after="40"/>
      </w:pPr>
      <w:r>
        <w:rPr>
          <w:rFonts w:ascii="Noto Sans" w:hAnsi="Noto Sans" w:eastAsia="Noto Sans CJK JP"/>
          <w:sz w:val="19"/>
        </w:rPr>
        <w:t>comprendre la distinction entre son groupe (uchi) et l'extérieur (soto) ;</w:t>
      </w:r>
    </w:p>
    <w:p>
      <w:pPr>
        <w:pStyle w:val="ListBullet"/>
        <w:spacing w:after="40"/>
      </w:pPr>
      <w:r>
        <w:rPr>
          <w:rFonts w:ascii="Noto Sans" w:hAnsi="Noto Sans" w:eastAsia="Noto Sans CJK JP"/>
          <w:sz w:val="19"/>
        </w:rPr>
        <w:t>ne pas honorifier automatiquement son propre collègue lorsqu'on parle à un client externe ;</w:t>
      </w:r>
    </w:p>
    <w:p>
      <w:pPr>
        <w:pStyle w:val="ListBullet"/>
        <w:spacing w:after="40"/>
      </w:pPr>
      <w:r>
        <w:rPr>
          <w:rFonts w:ascii="Noto Sans" w:hAnsi="Noto Sans" w:eastAsia="Noto Sans CJK JP"/>
          <w:sz w:val="19"/>
        </w:rPr>
        <w:t>faire varier les exercices selon entreprise, famille, école, client et supérieur.</w:t>
      </w:r>
    </w:p>
    <w:p>
      <w:pPr>
        <w:pStyle w:val="Heading1"/>
      </w:pPr>
      <w:r>
        <w:t>17. Bloc M — Communication professionnelle générale</w:t>
      </w:r>
    </w:p>
    <w:p>
      <w:pPr>
        <w:pStyle w:val="ListBullet"/>
        <w:spacing w:after="40"/>
      </w:pPr>
      <w:r>
        <w:rPr>
          <w:rFonts w:ascii="Noto Sans" w:hAnsi="Noto Sans" w:eastAsia="Noto Sans CJK JP"/>
          <w:sz w:val="19"/>
        </w:rPr>
        <w:t>saluer et se présenter dans un cadre professionnel ;</w:t>
      </w:r>
    </w:p>
    <w:p>
      <w:pPr>
        <w:pStyle w:val="ListBullet"/>
        <w:spacing w:after="40"/>
      </w:pPr>
      <w:r>
        <w:rPr>
          <w:rFonts w:ascii="Noto Sans" w:hAnsi="Noto Sans" w:eastAsia="Noto Sans CJK JP"/>
          <w:sz w:val="19"/>
        </w:rPr>
        <w:t>répondre au téléphone et demander de patienter ;</w:t>
      </w:r>
    </w:p>
    <w:p>
      <w:pPr>
        <w:pStyle w:val="ListBullet"/>
        <w:spacing w:after="40"/>
      </w:pPr>
      <w:r>
        <w:rPr>
          <w:rFonts w:ascii="Noto Sans" w:hAnsi="Noto Sans" w:eastAsia="Noto Sans CJK JP"/>
          <w:sz w:val="19"/>
        </w:rPr>
        <w:t>demander a parler à quelqu'un ;</w:t>
      </w:r>
    </w:p>
    <w:p>
      <w:pPr>
        <w:pStyle w:val="ListBullet"/>
        <w:spacing w:after="40"/>
      </w:pPr>
      <w:r>
        <w:rPr>
          <w:rFonts w:ascii="Noto Sans" w:hAnsi="Noto Sans" w:eastAsia="Noto Sans CJK JP"/>
          <w:sz w:val="19"/>
        </w:rPr>
        <w:t>prendre / confirmer / modifier un rendez-vous ;</w:t>
      </w:r>
    </w:p>
    <w:p>
      <w:pPr>
        <w:pStyle w:val="ListBullet"/>
        <w:spacing w:after="40"/>
      </w:pPr>
      <w:r>
        <w:rPr>
          <w:rFonts w:ascii="Noto Sans" w:hAnsi="Noto Sans" w:eastAsia="Noto Sans CJK JP"/>
          <w:sz w:val="19"/>
        </w:rPr>
        <w:t>faire une demande avec le niveau de politesse adapté ;</w:t>
      </w:r>
    </w:p>
    <w:p>
      <w:pPr>
        <w:pStyle w:val="ListBullet"/>
        <w:spacing w:after="40"/>
      </w:pPr>
      <w:r>
        <w:rPr>
          <w:rFonts w:ascii="Noto Sans" w:hAnsi="Noto Sans" w:eastAsia="Noto Sans CJK JP"/>
          <w:sz w:val="19"/>
        </w:rPr>
        <w:t>s'excuser pour un retard ou une erreur ;</w:t>
      </w:r>
    </w:p>
    <w:p>
      <w:pPr>
        <w:pStyle w:val="ListBullet"/>
        <w:spacing w:after="40"/>
      </w:pPr>
      <w:r>
        <w:rPr>
          <w:rFonts w:ascii="Noto Sans" w:hAnsi="Noto Sans" w:eastAsia="Noto Sans CJK JP"/>
          <w:sz w:val="19"/>
        </w:rPr>
        <w:t>faire un compte rendu bref ;</w:t>
      </w:r>
    </w:p>
    <w:p>
      <w:pPr>
        <w:pStyle w:val="ListBullet"/>
        <w:spacing w:after="40"/>
      </w:pPr>
      <w:r>
        <w:rPr>
          <w:rFonts w:ascii="Noto Sans" w:hAnsi="Noto Sans" w:eastAsia="Noto Sans CJK JP"/>
          <w:sz w:val="19"/>
        </w:rPr>
        <w:t>demander confirmation et reformuler une consigne ;</w:t>
      </w:r>
    </w:p>
    <w:p>
      <w:pPr>
        <w:pStyle w:val="ListBullet"/>
        <w:spacing w:after="40"/>
      </w:pPr>
      <w:r>
        <w:rPr>
          <w:rFonts w:ascii="Noto Sans" w:hAnsi="Noto Sans" w:eastAsia="Noto Sans CJK JP"/>
          <w:sz w:val="19"/>
        </w:rPr>
        <w:t>écrire un mail professionnel simple avec formule d'ouverture, demande, contexte et clôture ;</w:t>
      </w:r>
    </w:p>
    <w:p>
      <w:pPr>
        <w:pStyle w:val="ListBullet"/>
        <w:spacing w:after="40"/>
      </w:pPr>
      <w:r>
        <w:rPr>
          <w:rFonts w:ascii="Noto Sans" w:hAnsi="Noto Sans" w:eastAsia="Noto Sans CJK JP"/>
          <w:sz w:val="19"/>
        </w:rPr>
        <w:t>comprendre que les conventions exactes varient selon secteur et organisation : la spécialisation viendra à l'étape 7.</w:t>
      </w:r>
    </w:p>
    <w:p>
      <w:pPr>
        <w:pStyle w:val="Heading1"/>
      </w:pPr>
      <w:r>
        <w:t>18. Bloc N — Lecture avancée générale</w:t>
      </w:r>
    </w:p>
    <w:p>
      <w:r>
        <w:rPr>
          <w:rFonts w:ascii="Noto Sans" w:hAnsi="Noto Sans" w:eastAsia="Noto Sans CJK JP"/>
          <w:sz w:val="20"/>
        </w:rPr>
        <w:t>La lecture devient une compétence de haut niveau distincte du simple décodage des kanji.</w:t>
      </w:r>
    </w:p>
    <w:p>
      <w:pPr>
        <w:pStyle w:val="ListBullet"/>
        <w:spacing w:after="40"/>
      </w:pPr>
      <w:r>
        <w:rPr>
          <w:rFonts w:ascii="Noto Sans" w:hAnsi="Noto Sans" w:eastAsia="Noto Sans CJK JP"/>
          <w:sz w:val="19"/>
        </w:rPr>
        <w:t>identifier rapidement le thème et la structure d'un article ;</w:t>
      </w:r>
    </w:p>
    <w:p>
      <w:pPr>
        <w:pStyle w:val="ListBullet"/>
        <w:spacing w:after="40"/>
      </w:pPr>
      <w:r>
        <w:rPr>
          <w:rFonts w:ascii="Noto Sans" w:hAnsi="Noto Sans" w:eastAsia="Noto Sans CJK JP"/>
          <w:sz w:val="19"/>
        </w:rPr>
        <w:t>distinguer faits, opinion, citation et exemple ;</w:t>
      </w:r>
    </w:p>
    <w:p>
      <w:pPr>
        <w:pStyle w:val="ListBullet"/>
        <w:spacing w:after="40"/>
      </w:pPr>
      <w:r>
        <w:rPr>
          <w:rFonts w:ascii="Noto Sans" w:hAnsi="Noto Sans" w:eastAsia="Noto Sans CJK JP"/>
          <w:sz w:val="19"/>
        </w:rPr>
        <w:t>repérer les connecteurs logiques ;</w:t>
      </w:r>
    </w:p>
    <w:p>
      <w:pPr>
        <w:pStyle w:val="ListBullet"/>
        <w:spacing w:after="40"/>
      </w:pPr>
      <w:r>
        <w:rPr>
          <w:rFonts w:ascii="Noto Sans" w:hAnsi="Noto Sans" w:eastAsia="Noto Sans CJK JP"/>
          <w:sz w:val="19"/>
        </w:rPr>
        <w:t>comprendre les références implicites entre paragraphes ;</w:t>
      </w:r>
    </w:p>
    <w:p>
      <w:pPr>
        <w:pStyle w:val="ListBullet"/>
        <w:spacing w:after="40"/>
      </w:pPr>
      <w:r>
        <w:rPr>
          <w:rFonts w:ascii="Noto Sans" w:hAnsi="Noto Sans" w:eastAsia="Noto Sans CJK JP"/>
          <w:sz w:val="19"/>
        </w:rPr>
        <w:t>identifier l'intention ou l'attitude de l'auteur ;</w:t>
      </w:r>
    </w:p>
    <w:p>
      <w:pPr>
        <w:pStyle w:val="ListBullet"/>
        <w:spacing w:after="40"/>
      </w:pPr>
      <w:r>
        <w:rPr>
          <w:rFonts w:ascii="Noto Sans" w:hAnsi="Noto Sans" w:eastAsia="Noto Sans CJK JP"/>
          <w:sz w:val="19"/>
        </w:rPr>
        <w:t>lire des articles de presse, chroniques, commentaires, notices détaillées et essais accessibles ;</w:t>
      </w:r>
    </w:p>
    <w:p>
      <w:pPr>
        <w:pStyle w:val="ListBullet"/>
        <w:spacing w:after="40"/>
      </w:pPr>
      <w:r>
        <w:rPr>
          <w:rFonts w:ascii="Noto Sans" w:hAnsi="Noto Sans" w:eastAsia="Noto Sans CJK JP"/>
          <w:sz w:val="19"/>
        </w:rPr>
        <w:t>apprendre a ignorer temporairement un mot inconnu non essentiel ;</w:t>
      </w:r>
    </w:p>
    <w:p>
      <w:pPr>
        <w:pStyle w:val="ListBullet"/>
        <w:spacing w:after="40"/>
      </w:pPr>
      <w:r>
        <w:rPr>
          <w:rFonts w:ascii="Noto Sans" w:hAnsi="Noto Sans" w:eastAsia="Noto Sans CJK JP"/>
          <w:sz w:val="19"/>
        </w:rPr>
        <w:t>utiliser le contexte, les kanji et la structure pour déduire le sens ;</w:t>
      </w:r>
    </w:p>
    <w:p>
      <w:pPr>
        <w:pStyle w:val="ListBullet"/>
        <w:spacing w:after="40"/>
      </w:pPr>
      <w:r>
        <w:rPr>
          <w:rFonts w:ascii="Noto Sans" w:hAnsi="Noto Sans" w:eastAsia="Noto Sans CJK JP"/>
          <w:sz w:val="19"/>
        </w:rPr>
        <w:t>résumer un texte sans copier ses phrases.</w:t>
      </w:r>
    </w:p>
    <w:p>
      <w:pPr>
        <w:pStyle w:val="Heading1"/>
      </w:pPr>
      <w:r>
        <w:t>19. Bloc O — Écoute avancée générale</w:t>
      </w:r>
    </w:p>
    <w:p>
      <w:pPr>
        <w:pStyle w:val="ListBullet"/>
        <w:spacing w:after="40"/>
      </w:pPr>
      <w:r>
        <w:rPr>
          <w:rFonts w:ascii="Noto Sans" w:hAnsi="Noto Sans" w:eastAsia="Noto Sans CJK JP"/>
          <w:sz w:val="19"/>
        </w:rPr>
        <w:t>suivre des conversations longues à vitesse naturelle ;</w:t>
      </w:r>
    </w:p>
    <w:p>
      <w:pPr>
        <w:pStyle w:val="ListBullet"/>
        <w:spacing w:after="40"/>
      </w:pPr>
      <w:r>
        <w:rPr>
          <w:rFonts w:ascii="Noto Sans" w:hAnsi="Noto Sans" w:eastAsia="Noto Sans CJK JP"/>
          <w:sz w:val="19"/>
        </w:rPr>
        <w:t>comprendre reportages, actualités et interviews sur des sujets généraux ;</w:t>
      </w:r>
    </w:p>
    <w:p>
      <w:pPr>
        <w:pStyle w:val="ListBullet"/>
        <w:spacing w:after="40"/>
      </w:pPr>
      <w:r>
        <w:rPr>
          <w:rFonts w:ascii="Noto Sans" w:hAnsi="Noto Sans" w:eastAsia="Noto Sans CJK JP"/>
          <w:sz w:val="19"/>
        </w:rPr>
        <w:t>suivre une présentation ou un cours lorsque le domaine n'est pas trop spécialisé ;</w:t>
      </w:r>
    </w:p>
    <w:p>
      <w:pPr>
        <w:pStyle w:val="ListBullet"/>
        <w:spacing w:after="40"/>
      </w:pPr>
      <w:r>
        <w:rPr>
          <w:rFonts w:ascii="Noto Sans" w:hAnsi="Noto Sans" w:eastAsia="Noto Sans CJK JP"/>
          <w:sz w:val="19"/>
        </w:rPr>
        <w:t>repérer le plan, les exemples et la conclusion d'une intervention ;</w:t>
      </w:r>
    </w:p>
    <w:p>
      <w:pPr>
        <w:pStyle w:val="ListBullet"/>
        <w:spacing w:after="40"/>
      </w:pPr>
      <w:r>
        <w:rPr>
          <w:rFonts w:ascii="Noto Sans" w:hAnsi="Noto Sans" w:eastAsia="Noto Sans CJK JP"/>
          <w:sz w:val="19"/>
        </w:rPr>
        <w:t>distinguer opinion du locuteur et informations rapportées ;</w:t>
      </w:r>
    </w:p>
    <w:p>
      <w:pPr>
        <w:pStyle w:val="ListBullet"/>
        <w:spacing w:after="40"/>
      </w:pPr>
      <w:r>
        <w:rPr>
          <w:rFonts w:ascii="Noto Sans" w:hAnsi="Noto Sans" w:eastAsia="Noto Sans CJK JP"/>
          <w:sz w:val="19"/>
        </w:rPr>
        <w:t>comprendre relations sociales et changements de registre entre participants ;</w:t>
      </w:r>
    </w:p>
    <w:p>
      <w:pPr>
        <w:pStyle w:val="ListBullet"/>
        <w:spacing w:after="40"/>
      </w:pPr>
      <w:r>
        <w:rPr>
          <w:rFonts w:ascii="Noto Sans" w:hAnsi="Noto Sans" w:eastAsia="Noto Sans CJK JP"/>
          <w:sz w:val="19"/>
        </w:rPr>
        <w:t>prendre des notes courtes pendant l'écoute ;</w:t>
      </w:r>
    </w:p>
    <w:p>
      <w:pPr>
        <w:pStyle w:val="ListBullet"/>
        <w:spacing w:after="40"/>
      </w:pPr>
      <w:r>
        <w:rPr>
          <w:rFonts w:ascii="Noto Sans" w:hAnsi="Noto Sans" w:eastAsia="Noto Sans CJK JP"/>
          <w:sz w:val="19"/>
        </w:rPr>
        <w:t>résumer ensuite l'essentiel sans retranscrire mot à mot.</w:t>
      </w:r>
    </w:p>
    <w:p>
      <w:pPr>
        <w:pStyle w:val="Heading2"/>
      </w:pPr>
      <w:r>
        <w:rPr>
          <w:rFonts w:ascii="Noto Sans" w:hAnsi="Noto Sans" w:eastAsia="Noto Sans CJK JP"/>
        </w:rPr>
        <w:t>19.1 Prononciation / prosodie avancée</w:t>
      </w:r>
    </w:p>
    <w:p>
      <w:r>
        <w:rPr>
          <w:rFonts w:ascii="Noto Sans" w:hAnsi="Noto Sans" w:eastAsia="Noto Sans CJK JP"/>
          <w:sz w:val="20"/>
        </w:rPr>
        <w:t>À ce niveau, la prononciation n’est plus évaluée seulement mot par mot. Elle doit soutenir un discours long, le registre choisi et la compréhension de l’auditeur.</w:t>
      </w:r>
    </w:p>
    <w:p>
      <w:pPr>
        <w:pStyle w:val="ListBullet"/>
        <w:spacing w:after="40"/>
      </w:pPr>
      <w:r>
        <w:rPr>
          <w:rFonts w:ascii="Noto Sans" w:hAnsi="Noto Sans" w:eastAsia="Noto Sans CJK JP"/>
          <w:sz w:val="19"/>
        </w:rPr>
        <w:t>segmenter un exposé en groupes de sens avec des pauses utiles plutôt qu’en coupant arbitrairement les phrases ;</w:t>
      </w:r>
    </w:p>
    <w:p>
      <w:pPr>
        <w:pStyle w:val="ListBullet"/>
        <w:spacing w:after="40"/>
      </w:pPr>
      <w:r>
        <w:rPr>
          <w:rFonts w:ascii="Noto Sans" w:hAnsi="Noto Sans" w:eastAsia="Noto Sans CJK JP"/>
          <w:sz w:val="19"/>
        </w:rPr>
        <w:t>maintenir un débit soutenu mais intelligible, sans accélérer au point de perdre longueurs, petit っ ou articulation des mots importants ;</w:t>
      </w:r>
    </w:p>
    <w:p>
      <w:pPr>
        <w:pStyle w:val="ListBullet"/>
        <w:spacing w:after="40"/>
      </w:pPr>
      <w:r>
        <w:rPr>
          <w:rFonts w:ascii="Noto Sans" w:hAnsi="Noto Sans" w:eastAsia="Noto Sans CJK JP"/>
          <w:sz w:val="19"/>
        </w:rPr>
        <w:t>utiliser l’intonation pour marquer contraste, correction, parenthèse, conclusion, prudence ou insistance ;</w:t>
      </w:r>
    </w:p>
    <w:p>
      <w:pPr>
        <w:pStyle w:val="ListBullet"/>
        <w:spacing w:after="40"/>
      </w:pPr>
      <w:r>
        <w:rPr>
          <w:rFonts w:ascii="Noto Sans" w:hAnsi="Noto Sans" w:eastAsia="Noto Sans CJK JP"/>
          <w:sz w:val="19"/>
        </w:rPr>
        <w:t>adapter rythme et intonation aux formulations polies et au keigo sans produire une récitation plate ;</w:t>
      </w:r>
    </w:p>
    <w:p>
      <w:pPr>
        <w:pStyle w:val="ListBullet"/>
        <w:spacing w:after="40"/>
      </w:pPr>
      <w:r>
        <w:rPr>
          <w:rFonts w:ascii="Noto Sans" w:hAnsi="Noto Sans" w:eastAsia="Noto Sans CJK JP"/>
          <w:sz w:val="19"/>
        </w:rPr>
        <w:t>travailler shadowing, répétition différée et auto-enregistrement sur des passages de plusieurs phrases ;</w:t>
      </w:r>
    </w:p>
    <w:p>
      <w:pPr>
        <w:pStyle w:val="ListBullet"/>
        <w:spacing w:after="40"/>
      </w:pPr>
      <w:r>
        <w:rPr>
          <w:rFonts w:ascii="Noto Sans" w:hAnsi="Noto Sans" w:eastAsia="Noto Sans CJK JP"/>
          <w:sz w:val="19"/>
        </w:rPr>
        <w:t>continuer l’exposition au pitch accent du japonais standard de Tokyo comme aide au naturel, sans en faire un critère bloquant mot par mot ;</w:t>
      </w:r>
    </w:p>
    <w:p>
      <w:pPr>
        <w:pStyle w:val="ListBullet"/>
        <w:spacing w:after="40"/>
      </w:pPr>
      <w:r>
        <w:rPr>
          <w:rFonts w:ascii="Noto Sans" w:hAnsi="Noto Sans" w:eastAsia="Noto Sans CJK JP"/>
          <w:sz w:val="19"/>
        </w:rPr>
        <w:t>viser d’abord une intelligibilité stable dans un discours long, puis le naturel et la précision prosodique.</w:t>
      </w:r>
    </w:p>
    <w:p>
      <w:pPr>
        <w:pStyle w:val="Heading1"/>
      </w:pPr>
      <w:r>
        <w:t>20. Bloc P — Oral avancé général</w:t>
      </w:r>
    </w:p>
    <w:p>
      <w:pPr>
        <w:pStyle w:val="ListBullet"/>
        <w:spacing w:after="40"/>
      </w:pPr>
      <w:r>
        <w:rPr>
          <w:rFonts w:ascii="Noto Sans" w:hAnsi="Noto Sans" w:eastAsia="Noto Sans CJK JP"/>
          <w:sz w:val="19"/>
        </w:rPr>
        <w:t>présenter un sujet pendant plusieurs minutes avec structure claire, pauses cohérentes et débit intelligible ;</w:t>
      </w:r>
    </w:p>
    <w:p>
      <w:pPr>
        <w:pStyle w:val="ListBullet"/>
        <w:spacing w:after="40"/>
      </w:pPr>
      <w:r>
        <w:rPr>
          <w:rFonts w:ascii="Noto Sans" w:hAnsi="Noto Sans" w:eastAsia="Noto Sans CJK JP"/>
          <w:sz w:val="19"/>
        </w:rPr>
        <w:t>expliquer un problème et proposer plusieurs solutions ;</w:t>
      </w:r>
    </w:p>
    <w:p>
      <w:pPr>
        <w:pStyle w:val="ListBullet"/>
        <w:spacing w:after="40"/>
      </w:pPr>
      <w:r>
        <w:rPr>
          <w:rFonts w:ascii="Noto Sans" w:hAnsi="Noto Sans" w:eastAsia="Noto Sans CJK JP"/>
          <w:sz w:val="19"/>
        </w:rPr>
        <w:t>argumenter et répondre aux questions ;</w:t>
      </w:r>
    </w:p>
    <w:p>
      <w:pPr>
        <w:pStyle w:val="ListBullet"/>
        <w:spacing w:after="40"/>
      </w:pPr>
      <w:r>
        <w:rPr>
          <w:rFonts w:ascii="Noto Sans" w:hAnsi="Noto Sans" w:eastAsia="Noto Sans CJK JP"/>
          <w:sz w:val="19"/>
        </w:rPr>
        <w:t>prendre une position tout en restant nuancé ;</w:t>
      </w:r>
    </w:p>
    <w:p>
      <w:pPr>
        <w:pStyle w:val="ListBullet"/>
        <w:spacing w:after="40"/>
      </w:pPr>
      <w:r>
        <w:rPr>
          <w:rFonts w:ascii="Noto Sans" w:hAnsi="Noto Sans" w:eastAsia="Noto Sans CJK JP"/>
          <w:sz w:val="19"/>
        </w:rPr>
        <w:t>interrompre poliment et reprendre la parole ;</w:t>
      </w:r>
    </w:p>
    <w:p>
      <w:pPr>
        <w:pStyle w:val="ListBullet"/>
        <w:spacing w:after="40"/>
      </w:pPr>
      <w:r>
        <w:rPr>
          <w:rFonts w:ascii="Noto Sans" w:hAnsi="Noto Sans" w:eastAsia="Noto Sans CJK JP"/>
          <w:sz w:val="19"/>
        </w:rPr>
        <w:t>reformuler lorsque l'interlocuteur n'a pas compris ;</w:t>
      </w:r>
    </w:p>
    <w:p>
      <w:pPr>
        <w:pStyle w:val="ListBullet"/>
        <w:spacing w:after="40"/>
      </w:pPr>
      <w:r>
        <w:rPr>
          <w:rFonts w:ascii="Noto Sans" w:hAnsi="Noto Sans" w:eastAsia="Noto Sans CJK JP"/>
          <w:sz w:val="19"/>
        </w:rPr>
        <w:t>adapter vocabulaire et politesse à la situation ;</w:t>
      </w:r>
    </w:p>
    <w:p>
      <w:pPr>
        <w:pStyle w:val="ListBullet"/>
        <w:spacing w:after="40"/>
      </w:pPr>
      <w:r>
        <w:rPr>
          <w:rFonts w:ascii="Noto Sans" w:hAnsi="Noto Sans" w:eastAsia="Noto Sans CJK JP"/>
          <w:sz w:val="19"/>
        </w:rPr>
        <w:t>participer à une discussion de groupe en reliant sa contribution à celle des autres.</w:t>
      </w:r>
    </w:p>
    <w:p>
      <w:pPr>
        <w:pStyle w:val="Heading1"/>
      </w:pPr>
      <w:r>
        <w:t>21. Bloc Q — Écriture avancée générale</w:t>
      </w:r>
    </w:p>
    <w:p>
      <w:pPr>
        <w:pStyle w:val="ListBullet"/>
        <w:spacing w:after="40"/>
      </w:pPr>
      <w:r>
        <w:rPr>
          <w:rFonts w:ascii="Noto Sans" w:hAnsi="Noto Sans" w:eastAsia="Noto Sans CJK JP"/>
          <w:sz w:val="19"/>
        </w:rPr>
        <w:t>rédiger un texte argumentatif structuré ;</w:t>
      </w:r>
    </w:p>
    <w:p>
      <w:pPr>
        <w:pStyle w:val="ListBullet"/>
        <w:spacing w:after="40"/>
      </w:pPr>
      <w:r>
        <w:rPr>
          <w:rFonts w:ascii="Noto Sans" w:hAnsi="Noto Sans" w:eastAsia="Noto Sans CJK JP"/>
          <w:sz w:val="19"/>
        </w:rPr>
        <w:t>écrire un résumé d'article ou de présentation ;</w:t>
      </w:r>
    </w:p>
    <w:p>
      <w:pPr>
        <w:pStyle w:val="ListBullet"/>
        <w:spacing w:after="40"/>
      </w:pPr>
      <w:r>
        <w:rPr>
          <w:rFonts w:ascii="Noto Sans" w:hAnsi="Noto Sans" w:eastAsia="Noto Sans CJK JP"/>
          <w:sz w:val="19"/>
        </w:rPr>
        <w:t>produire un compte rendu ou rapport court ;</w:t>
      </w:r>
    </w:p>
    <w:p>
      <w:pPr>
        <w:pStyle w:val="ListBullet"/>
        <w:spacing w:after="40"/>
      </w:pPr>
      <w:r>
        <w:rPr>
          <w:rFonts w:ascii="Noto Sans" w:hAnsi="Noto Sans" w:eastAsia="Noto Sans CJK JP"/>
          <w:sz w:val="19"/>
        </w:rPr>
        <w:t>rédiger un mail professionnel adapté au destinataire ;</w:t>
      </w:r>
    </w:p>
    <w:p>
      <w:pPr>
        <w:pStyle w:val="ListBullet"/>
        <w:spacing w:after="40"/>
      </w:pPr>
      <w:r>
        <w:rPr>
          <w:rFonts w:ascii="Noto Sans" w:hAnsi="Noto Sans" w:eastAsia="Noto Sans CJK JP"/>
          <w:sz w:val="19"/>
        </w:rPr>
        <w:t>utiliser des connecteurs sans répétition mécanique ;</w:t>
      </w:r>
    </w:p>
    <w:p>
      <w:pPr>
        <w:pStyle w:val="ListBullet"/>
        <w:spacing w:after="40"/>
      </w:pPr>
      <w:r>
        <w:rPr>
          <w:rFonts w:ascii="Noto Sans" w:hAnsi="Noto Sans" w:eastAsia="Noto Sans CJK JP"/>
          <w:sz w:val="19"/>
        </w:rPr>
        <w:t>maintenir une cohérence de registre ;</w:t>
      </w:r>
    </w:p>
    <w:p>
      <w:pPr>
        <w:pStyle w:val="ListBullet"/>
        <w:spacing w:after="40"/>
      </w:pPr>
      <w:r>
        <w:rPr>
          <w:rFonts w:ascii="Noto Sans" w:hAnsi="Noto Sans" w:eastAsia="Noto Sans CJK JP"/>
          <w:sz w:val="19"/>
        </w:rPr>
        <w:t>éviter la traduction mot à mot depuis le français ;</w:t>
      </w:r>
    </w:p>
    <w:p>
      <w:pPr>
        <w:pStyle w:val="ListBullet"/>
        <w:spacing w:after="40"/>
      </w:pPr>
      <w:r>
        <w:rPr>
          <w:rFonts w:ascii="Noto Sans" w:hAnsi="Noto Sans" w:eastAsia="Noto Sans CJK JP"/>
          <w:sz w:val="19"/>
        </w:rPr>
        <w:t>réviser son texte : précision lexicale, répétitions, logique, kanji et niveau de politesse.</w:t>
      </w:r>
    </w:p>
    <w:p>
      <w:pPr>
        <w:pStyle w:val="ListBullet"/>
        <w:spacing w:after="40"/>
      </w:pPr>
      <w:r>
        <w:rPr>
          <w:rFonts w:ascii="Noto Sans" w:hAnsi="Noto Sans" w:eastAsia="Noto Sans CJK JP"/>
          <w:sz w:val="19"/>
        </w:rPr>
        <w:t>la production écrite en japonais reste obligatoire : saisie kana → kanji, conversion correcte, ponctuation japonaise (point 。, virgule 、 et guillemets 「」) et cohérence typographique ;</w:t>
      </w:r>
    </w:p>
    <w:p>
      <w:pPr>
        <w:pStyle w:val="ListBullet"/>
        <w:spacing w:after="40"/>
      </w:pPr>
      <w:r>
        <w:rPr>
          <w:rFonts w:ascii="Noto Sans" w:hAnsi="Noto Sans" w:eastAsia="Noto Sans CJK JP"/>
          <w:sz w:val="19"/>
        </w:rPr>
        <w:t>l’écriture manuscrite des kanji reste facultative pour le parcours général, mais la capacité à rédiger et corriger un texte saisi ne l’est pas.</w:t>
      </w:r>
    </w:p>
    <w:p>
      <w:pPr>
        <w:pStyle w:val="Heading1"/>
      </w:pPr>
      <w:r>
        <w:t>22. Vocabulaire évolutif : niveau 6</w:t>
      </w:r>
    </w:p>
    <w:p>
      <w:r>
        <w:rPr>
          <w:rFonts w:ascii="Noto Sans" w:hAnsi="Noto Sans" w:eastAsia="Noto Sans CJK JP"/>
          <w:sz w:val="20"/>
        </w:rPr>
        <w:t>Le vocabulaire devient moins centré sur des objets concrets et davantage sur les idées, relations logiques et domaines sociaux généraux.</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Axe</w:t>
            </w:r>
          </w:p>
        </w:tc>
        <w:tc>
          <w:tcPr>
            <w:tcW w:type="dxa" w:w="5112"/>
            <w:shd w:fill="DCEAF0"/>
            <w:tcMar>
              <w:top w:w="65" w:type="dxa"/>
              <w:start w:w="90" w:type="dxa"/>
              <w:bottom w:w="65" w:type="dxa"/>
              <w:end w:w="90" w:type="dxa"/>
            </w:tcMar>
          </w:tcPr>
          <w:p>
            <w:r>
              <w:rPr>
                <w:rFonts w:ascii="Noto Sans" w:hAnsi="Noto Sans" w:eastAsia="Noto Sans CJK JP"/>
                <w:b/>
                <w:sz w:val="17"/>
              </w:rPr>
              <w:t>Exemples de travail</w:t>
            </w:r>
          </w:p>
        </w:tc>
      </w:tr>
      <w:tr>
        <w:trPr>
          <w:cantSplit/>
        </w:trPr>
        <w:tc>
          <w:tcPr>
            <w:tcW w:type="dxa" w:w="5112"/>
            <w:tcMar>
              <w:top w:w="50" w:type="dxa"/>
              <w:start w:w="75" w:type="dxa"/>
              <w:bottom w:w="50" w:type="dxa"/>
              <w:end w:w="75" w:type="dxa"/>
            </w:tcMar>
          </w:tcPr>
          <w:p>
            <w:r>
              <w:rPr>
                <w:rFonts w:ascii="Noto Sans" w:hAnsi="Noto Sans" w:eastAsia="Noto Sans CJK JP"/>
                <w:sz w:val="16"/>
              </w:rPr>
              <w:t>Lexique abstrait</w:t>
            </w:r>
          </w:p>
        </w:tc>
        <w:tc>
          <w:tcPr>
            <w:tcW w:type="dxa" w:w="5112"/>
            <w:tcMar>
              <w:top w:w="50" w:type="dxa"/>
              <w:start w:w="75" w:type="dxa"/>
              <w:bottom w:w="50" w:type="dxa"/>
              <w:end w:w="75" w:type="dxa"/>
            </w:tcMar>
          </w:tcPr>
          <w:p>
            <w:r>
              <w:rPr>
                <w:rFonts w:ascii="Noto Sans" w:hAnsi="Noto Sans" w:eastAsia="Noto Sans CJK JP"/>
                <w:sz w:val="16"/>
              </w:rPr>
              <w:t>cause, tendance, influence, avantage, risque, objectif, méthode, résultat...</w:t>
            </w:r>
          </w:p>
        </w:tc>
      </w:tr>
      <w:tr>
        <w:trPr>
          <w:cantSplit/>
        </w:trPr>
        <w:tc>
          <w:tcPr>
            <w:tcW w:type="dxa" w:w="5112"/>
            <w:tcMar>
              <w:top w:w="50" w:type="dxa"/>
              <w:start w:w="75" w:type="dxa"/>
              <w:bottom w:w="50" w:type="dxa"/>
              <w:end w:w="75" w:type="dxa"/>
            </w:tcMar>
          </w:tcPr>
          <w:p>
            <w:r>
              <w:rPr>
                <w:rFonts w:ascii="Noto Sans" w:hAnsi="Noto Sans" w:eastAsia="Noto Sans CJK JP"/>
                <w:sz w:val="16"/>
              </w:rPr>
              <w:t>Collocations</w:t>
            </w:r>
          </w:p>
        </w:tc>
        <w:tc>
          <w:tcPr>
            <w:tcW w:type="dxa" w:w="5112"/>
            <w:tcMar>
              <w:top w:w="50" w:type="dxa"/>
              <w:start w:w="75" w:type="dxa"/>
              <w:bottom w:w="50" w:type="dxa"/>
              <w:end w:w="75" w:type="dxa"/>
            </w:tcMar>
          </w:tcPr>
          <w:p>
            <w:r>
              <w:rPr>
                <w:rFonts w:ascii="Noto Sans" w:hAnsi="Noto Sans" w:eastAsia="Noto Sans CJK JP"/>
                <w:sz w:val="16"/>
              </w:rPr>
              <w:t>影響を与える, 結論を出す, 対策を取る, 問題が生じる...</w:t>
            </w:r>
          </w:p>
        </w:tc>
      </w:tr>
      <w:tr>
        <w:trPr>
          <w:cantSplit/>
        </w:trPr>
        <w:tc>
          <w:tcPr>
            <w:tcW w:type="dxa" w:w="5112"/>
            <w:tcMar>
              <w:top w:w="50" w:type="dxa"/>
              <w:start w:w="75" w:type="dxa"/>
              <w:bottom w:w="50" w:type="dxa"/>
              <w:end w:w="75" w:type="dxa"/>
            </w:tcMar>
          </w:tcPr>
          <w:p>
            <w:r>
              <w:rPr>
                <w:rFonts w:ascii="Noto Sans" w:hAnsi="Noto Sans" w:eastAsia="Noto Sans CJK JP"/>
                <w:sz w:val="16"/>
              </w:rPr>
              <w:t>Familles lexicales</w:t>
            </w:r>
          </w:p>
        </w:tc>
        <w:tc>
          <w:tcPr>
            <w:tcW w:type="dxa" w:w="5112"/>
            <w:tcMar>
              <w:top w:w="50" w:type="dxa"/>
              <w:start w:w="75" w:type="dxa"/>
              <w:bottom w:w="50" w:type="dxa"/>
              <w:end w:w="75" w:type="dxa"/>
            </w:tcMar>
          </w:tcPr>
          <w:p>
            <w:r>
              <w:rPr>
                <w:rFonts w:ascii="Noto Sans" w:hAnsi="Noto Sans" w:eastAsia="Noto Sans CJK JP"/>
                <w:sz w:val="16"/>
              </w:rPr>
              <w:t>増える / 増やす / 増加 / 増大 ; 決める / 決まる / 決定...</w:t>
            </w:r>
          </w:p>
        </w:tc>
      </w:tr>
      <w:tr>
        <w:trPr>
          <w:cantSplit/>
        </w:trPr>
        <w:tc>
          <w:tcPr>
            <w:tcW w:type="dxa" w:w="5112"/>
            <w:tcMar>
              <w:top w:w="50" w:type="dxa"/>
              <w:start w:w="75" w:type="dxa"/>
              <w:bottom w:w="50" w:type="dxa"/>
              <w:end w:w="75" w:type="dxa"/>
            </w:tcMar>
          </w:tcPr>
          <w:p>
            <w:r>
              <w:rPr>
                <w:rFonts w:ascii="Noto Sans" w:hAnsi="Noto Sans" w:eastAsia="Noto Sans CJK JP"/>
                <w:sz w:val="16"/>
              </w:rPr>
              <w:t>Synonymes / registre</w:t>
            </w:r>
          </w:p>
        </w:tc>
        <w:tc>
          <w:tcPr>
            <w:tcW w:type="dxa" w:w="5112"/>
            <w:tcMar>
              <w:top w:w="50" w:type="dxa"/>
              <w:start w:w="75" w:type="dxa"/>
              <w:bottom w:w="50" w:type="dxa"/>
              <w:end w:w="75" w:type="dxa"/>
            </w:tcMar>
          </w:tcPr>
          <w:p>
            <w:r>
              <w:rPr>
                <w:rFonts w:ascii="Noto Sans" w:hAnsi="Noto Sans" w:eastAsia="Noto Sans CJK JP"/>
                <w:sz w:val="16"/>
              </w:rPr>
              <w:t>commencer a choisir mot neutre, familier, soutenu ou professionnel</w:t>
            </w:r>
          </w:p>
        </w:tc>
      </w:tr>
      <w:tr>
        <w:trPr>
          <w:cantSplit/>
        </w:trPr>
        <w:tc>
          <w:tcPr>
            <w:tcW w:type="dxa" w:w="5112"/>
            <w:tcMar>
              <w:top w:w="50" w:type="dxa"/>
              <w:start w:w="75" w:type="dxa"/>
              <w:bottom w:w="50" w:type="dxa"/>
              <w:end w:w="75" w:type="dxa"/>
            </w:tcMar>
          </w:tcPr>
          <w:p>
            <w:r>
              <w:rPr>
                <w:rFonts w:ascii="Noto Sans" w:hAnsi="Noto Sans" w:eastAsia="Noto Sans CJK JP"/>
                <w:sz w:val="16"/>
              </w:rPr>
              <w:t>Mots fonctionnels</w:t>
            </w:r>
          </w:p>
        </w:tc>
        <w:tc>
          <w:tcPr>
            <w:tcW w:type="dxa" w:w="5112"/>
            <w:tcMar>
              <w:top w:w="50" w:type="dxa"/>
              <w:start w:w="75" w:type="dxa"/>
              <w:bottom w:w="50" w:type="dxa"/>
              <w:end w:w="75" w:type="dxa"/>
            </w:tcMar>
          </w:tcPr>
          <w:p>
            <w:r>
              <w:rPr>
                <w:rFonts w:ascii="Noto Sans" w:hAnsi="Noto Sans" w:eastAsia="Noto Sans CJK JP"/>
                <w:sz w:val="16"/>
              </w:rPr>
              <w:t>connecteurs, adverbes de nuance, expressions de probabilite</w:t>
            </w:r>
          </w:p>
        </w:tc>
      </w:tr>
      <w:tr>
        <w:trPr>
          <w:cantSplit/>
        </w:trPr>
        <w:tc>
          <w:tcPr>
            <w:tcW w:type="dxa" w:w="5112"/>
            <w:tcMar>
              <w:top w:w="50" w:type="dxa"/>
              <w:start w:w="75" w:type="dxa"/>
              <w:bottom w:w="50" w:type="dxa"/>
              <w:end w:w="75" w:type="dxa"/>
            </w:tcMar>
          </w:tcPr>
          <w:p>
            <w:r>
              <w:rPr>
                <w:rFonts w:ascii="Noto Sans" w:hAnsi="Noto Sans" w:eastAsia="Noto Sans CJK JP"/>
                <w:sz w:val="16"/>
              </w:rPr>
              <w:t>Presse / société</w:t>
            </w:r>
          </w:p>
        </w:tc>
        <w:tc>
          <w:tcPr>
            <w:tcW w:type="dxa" w:w="5112"/>
            <w:tcMar>
              <w:top w:w="50" w:type="dxa"/>
              <w:start w:w="75" w:type="dxa"/>
              <w:bottom w:w="50" w:type="dxa"/>
              <w:end w:w="75" w:type="dxa"/>
            </w:tcMar>
          </w:tcPr>
          <w:p>
            <w:r>
              <w:rPr>
                <w:rFonts w:ascii="Noto Sans" w:hAnsi="Noto Sans" w:eastAsia="Noto Sans CJK JP"/>
                <w:sz w:val="16"/>
              </w:rPr>
              <w:t>éducation, économie, environnement, technologie, travail, culture...</w:t>
            </w:r>
          </w:p>
        </w:tc>
      </w:tr>
    </w:tbl>
    <w:p>
      <w:pPr>
        <w:pStyle w:val="ListBullet"/>
        <w:spacing w:after="40"/>
      </w:pPr>
      <w:r>
        <w:rPr>
          <w:rFonts w:ascii="Noto Sans" w:hAnsi="Noto Sans" w:eastAsia="Noto Sans CJK JP"/>
          <w:sz w:val="19"/>
        </w:rPr>
        <w:t>développer vocabulaire passif et actif séparément ;</w:t>
      </w:r>
    </w:p>
    <w:p>
      <w:pPr>
        <w:pStyle w:val="ListBullet"/>
        <w:spacing w:after="40"/>
      </w:pPr>
      <w:r>
        <w:rPr>
          <w:rFonts w:ascii="Noto Sans" w:hAnsi="Noto Sans" w:eastAsia="Noto Sans CJK JP"/>
          <w:sz w:val="19"/>
        </w:rPr>
        <w:t>apprendre les collocations comme unité plutôt que les mots isolés ;</w:t>
      </w:r>
    </w:p>
    <w:p>
      <w:pPr>
        <w:pStyle w:val="ListBullet"/>
        <w:spacing w:after="40"/>
      </w:pPr>
      <w:r>
        <w:rPr>
          <w:rFonts w:ascii="Noto Sans" w:hAnsi="Noto Sans" w:eastAsia="Noto Sans CJK JP"/>
          <w:sz w:val="19"/>
        </w:rPr>
        <w:t>introduire progressivement expressions idiomatiques fréquentes ;</w:t>
      </w:r>
    </w:p>
    <w:p>
      <w:pPr>
        <w:pStyle w:val="ListBullet"/>
        <w:spacing w:after="40"/>
      </w:pPr>
      <w:r>
        <w:rPr>
          <w:rFonts w:ascii="Noto Sans" w:hAnsi="Noto Sans" w:eastAsia="Noto Sans CJK JP"/>
          <w:sz w:val="19"/>
        </w:rPr>
        <w:t>commencer quelques 四字熟語 très courants uniquement lorsqu'ils sont utiles en contexte.</w:t>
      </w:r>
    </w:p>
    <w:p>
      <w:pPr>
        <w:pStyle w:val="Heading1"/>
      </w:pPr>
      <w:r>
        <w:t>23. Kanji : progression niveau 6</w:t>
      </w:r>
    </w:p>
    <w:p>
      <w:pPr>
        <w:pStyle w:val="ListBullet"/>
        <w:spacing w:after="40"/>
      </w:pPr>
      <w:r>
        <w:rPr>
          <w:rFonts w:ascii="Noto Sans" w:hAnsi="Noto Sans" w:eastAsia="Noto Sans CJK JP"/>
          <w:sz w:val="19"/>
        </w:rPr>
        <w:t>approcher progressivement la densité de textes généraux authentiques ;</w:t>
      </w:r>
    </w:p>
    <w:p>
      <w:pPr>
        <w:pStyle w:val="ListBullet"/>
        <w:spacing w:after="40"/>
      </w:pPr>
      <w:r>
        <w:rPr>
          <w:rFonts w:ascii="Noto Sans" w:hAnsi="Noto Sans" w:eastAsia="Noto Sans CJK JP"/>
          <w:sz w:val="19"/>
        </w:rPr>
        <w:t>apprendre les lectures principalement par le vocabulaire et les familles lexicales ;</w:t>
      </w:r>
    </w:p>
    <w:p>
      <w:pPr>
        <w:pStyle w:val="ListBullet"/>
        <w:spacing w:after="40"/>
      </w:pPr>
      <w:r>
        <w:rPr>
          <w:rFonts w:ascii="Noto Sans" w:hAnsi="Noto Sans" w:eastAsia="Noto Sans CJK JP"/>
          <w:sz w:val="19"/>
        </w:rPr>
        <w:t>renforcer la reconnaissance des composants phonosemantiques quand ils aident réellement ;</w:t>
      </w:r>
    </w:p>
    <w:p>
      <w:pPr>
        <w:pStyle w:val="ListBullet"/>
        <w:spacing w:after="40"/>
      </w:pPr>
      <w:r>
        <w:rPr>
          <w:rFonts w:ascii="Noto Sans" w:hAnsi="Noto Sans" w:eastAsia="Noto Sans CJK JP"/>
          <w:sz w:val="19"/>
        </w:rPr>
        <w:t>développer les mots sino-japonais composés fréquents dans presse et écrit formel ;</w:t>
      </w:r>
    </w:p>
    <w:p>
      <w:pPr>
        <w:pStyle w:val="ListBullet"/>
        <w:spacing w:after="40"/>
      </w:pPr>
      <w:r>
        <w:rPr>
          <w:rFonts w:ascii="Noto Sans" w:hAnsi="Noto Sans" w:eastAsia="Noto Sans CJK JP"/>
          <w:sz w:val="19"/>
        </w:rPr>
        <w:t>distinguer homophones et quasi-synonymes grâce au kanji ;</w:t>
      </w:r>
    </w:p>
    <w:p>
      <w:pPr>
        <w:pStyle w:val="ListBullet"/>
        <w:spacing w:after="40"/>
      </w:pPr>
      <w:r>
        <w:rPr>
          <w:rFonts w:ascii="Noto Sans" w:hAnsi="Noto Sans" w:eastAsia="Noto Sans CJK JP"/>
          <w:sz w:val="19"/>
        </w:rPr>
        <w:t>savoir utiliser un dictionnaire japonais et vérifier une lecture inconnue ;</w:t>
      </w:r>
    </w:p>
    <w:p>
      <w:pPr>
        <w:pStyle w:val="ListBullet"/>
        <w:spacing w:after="40"/>
      </w:pPr>
      <w:r>
        <w:rPr>
          <w:rFonts w:ascii="Noto Sans" w:hAnsi="Noto Sans" w:eastAsia="Noto Sans CJK JP"/>
          <w:sz w:val="19"/>
        </w:rPr>
        <w:t>continuer vers l'horizon des jōyō kanji sans transformer leur nombre en seul indicateur de niveau ;</w:t>
      </w:r>
    </w:p>
    <w:p>
      <w:pPr>
        <w:pStyle w:val="ListBullet"/>
        <w:spacing w:after="40"/>
      </w:pPr>
      <w:r>
        <w:rPr>
          <w:rFonts w:ascii="Noto Sans" w:hAnsi="Noto Sans" w:eastAsia="Noto Sans CJK JP"/>
          <w:sz w:val="19"/>
        </w:rPr>
        <w:t>écriture manuscrite des kanji toujours optionnelle pour la progression générale ; en revanche, la saisie kana → kanji et le choix correct des graphies deviennent indispensables dans les productions écrites.</w:t>
      </w:r>
    </w:p>
    <w:p>
      <w:pPr>
        <w:pStyle w:val="Heading1"/>
      </w:pPr>
      <w:r>
        <w:t>24. Pragmatique, registre et culture de communication : niveau 6</w:t>
      </w:r>
    </w:p>
    <w:p>
      <w:pPr>
        <w:pStyle w:val="ListBullet"/>
        <w:spacing w:after="40"/>
      </w:pPr>
      <w:r>
        <w:rPr>
          <w:rFonts w:ascii="Noto Sans" w:hAnsi="Noto Sans" w:eastAsia="Noto Sans CJK JP"/>
          <w:sz w:val="19"/>
        </w:rPr>
        <w:t>adapter explicitement la politesse à la distance sociale et au contexte ;</w:t>
      </w:r>
    </w:p>
    <w:p>
      <w:pPr>
        <w:pStyle w:val="ListBullet"/>
        <w:spacing w:after="40"/>
      </w:pPr>
      <w:r>
        <w:rPr>
          <w:rFonts w:ascii="Noto Sans" w:hAnsi="Noto Sans" w:eastAsia="Noto Sans CJK JP"/>
          <w:sz w:val="19"/>
        </w:rPr>
        <w:t>comprendre les demandes très indirectes ;</w:t>
      </w:r>
    </w:p>
    <w:p>
      <w:pPr>
        <w:pStyle w:val="ListBullet"/>
        <w:spacing w:after="40"/>
      </w:pPr>
      <w:r>
        <w:rPr>
          <w:rFonts w:ascii="Noto Sans" w:hAnsi="Noto Sans" w:eastAsia="Noto Sans CJK JP"/>
          <w:sz w:val="19"/>
        </w:rPr>
        <w:t>identifier un refus qui n'utilise pas le mot « non » ;</w:t>
      </w:r>
    </w:p>
    <w:p>
      <w:pPr>
        <w:pStyle w:val="ListBullet"/>
        <w:spacing w:after="40"/>
      </w:pPr>
      <w:r>
        <w:rPr>
          <w:rFonts w:ascii="Noto Sans" w:hAnsi="Noto Sans" w:eastAsia="Noto Sans CJK JP"/>
          <w:sz w:val="19"/>
        </w:rPr>
        <w:t>comprendre les formulations qui atténuent une critique ;</w:t>
      </w:r>
    </w:p>
    <w:p>
      <w:pPr>
        <w:pStyle w:val="ListBullet"/>
        <w:spacing w:after="40"/>
      </w:pPr>
      <w:r>
        <w:rPr>
          <w:rFonts w:ascii="Noto Sans" w:hAnsi="Noto Sans" w:eastAsia="Noto Sans CJK JP"/>
          <w:sz w:val="19"/>
        </w:rPr>
        <w:t>reconnaître une opinion présentée comme fait vs une opinion prudemment nuancée ;</w:t>
      </w:r>
    </w:p>
    <w:p>
      <w:pPr>
        <w:pStyle w:val="ListBullet"/>
        <w:spacing w:after="40"/>
      </w:pPr>
      <w:r>
        <w:rPr>
          <w:rFonts w:ascii="Noto Sans" w:hAnsi="Noto Sans" w:eastAsia="Noto Sans CJK JP"/>
          <w:sz w:val="19"/>
        </w:rPr>
        <w:t>comprendre les attentes de turn-taking en réunion ou discussion ;</w:t>
      </w:r>
    </w:p>
    <w:p>
      <w:pPr>
        <w:pStyle w:val="ListBullet"/>
        <w:spacing w:after="40"/>
      </w:pPr>
      <w:r>
        <w:rPr>
          <w:rFonts w:ascii="Noto Sans" w:hAnsi="Noto Sans" w:eastAsia="Noto Sans CJK JP"/>
          <w:sz w:val="19"/>
        </w:rPr>
        <w:t>distinguer le japonais d'un journal, d'un mail professionnel, d'une conversation et d'un discours public ;</w:t>
      </w:r>
    </w:p>
    <w:p>
      <w:pPr>
        <w:pStyle w:val="ListBullet"/>
        <w:spacing w:after="40"/>
      </w:pPr>
      <w:r>
        <w:rPr>
          <w:rFonts w:ascii="Noto Sans" w:hAnsi="Noto Sans" w:eastAsia="Noto Sans CJK JP"/>
          <w:sz w:val="19"/>
        </w:rPr>
        <w:t>être exposé à quelques variations régionales et générationnelles en compréhension, sans les exiger en production.</w:t>
      </w:r>
    </w:p>
    <w:p>
      <w:pPr>
        <w:pStyle w:val="Heading1"/>
      </w:pPr>
      <w:r>
        <w:rPr>
          <w:rFonts w:ascii="Noto Sans" w:hAnsi="Noto Sans" w:eastAsia="Noto Sans CJK JP"/>
          <w:sz w:val="20"/>
        </w:rPr>
        <w:t>25. Capacités réelles visées (« Can-do »)</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Capacité</w:t>
            </w:r>
          </w:p>
        </w:tc>
        <w:tc>
          <w:tcPr>
            <w:tcW w:type="dxa" w:w="5112"/>
            <w:shd w:fill="DCEAF0"/>
            <w:tcMar>
              <w:top w:w="65" w:type="dxa"/>
              <w:start w:w="90" w:type="dxa"/>
              <w:bottom w:w="65" w:type="dxa"/>
              <w:end w:w="90" w:type="dxa"/>
            </w:tcMar>
          </w:tcPr>
          <w:p>
            <w:r>
              <w:rPr>
                <w:rFonts w:ascii="Noto Sans" w:hAnsi="Noto Sans" w:eastAsia="Noto Sans CJK JP"/>
                <w:b/>
                <w:sz w:val="17"/>
              </w:rPr>
              <w:t>Résultat attendu</w:t>
            </w:r>
          </w:p>
        </w:tc>
      </w:tr>
      <w:tr>
        <w:trPr>
          <w:cantSplit/>
        </w:trPr>
        <w:tc>
          <w:tcPr>
            <w:tcW w:type="dxa" w:w="5112"/>
            <w:tcMar>
              <w:top w:w="50" w:type="dxa"/>
              <w:start w:w="75" w:type="dxa"/>
              <w:bottom w:w="50" w:type="dxa"/>
              <w:end w:w="75" w:type="dxa"/>
            </w:tcMar>
          </w:tcPr>
          <w:p>
            <w:r>
              <w:rPr>
                <w:rFonts w:ascii="Noto Sans" w:hAnsi="Noto Sans" w:eastAsia="Noto Sans CJK JP"/>
                <w:sz w:val="15"/>
              </w:rPr>
              <w:t>Défendre une opinion</w:t>
            </w:r>
          </w:p>
        </w:tc>
        <w:tc>
          <w:tcPr>
            <w:tcW w:type="dxa" w:w="5112"/>
            <w:tcMar>
              <w:top w:w="50" w:type="dxa"/>
              <w:start w:w="75" w:type="dxa"/>
              <w:bottom w:w="50" w:type="dxa"/>
              <w:end w:w="75" w:type="dxa"/>
            </w:tcMar>
          </w:tcPr>
          <w:p>
            <w:r>
              <w:rPr>
                <w:rFonts w:ascii="Noto Sans" w:hAnsi="Noto Sans" w:eastAsia="Noto Sans CJK JP"/>
                <w:sz w:val="15"/>
              </w:rPr>
              <w:t>Présenter sa position, plusieurs raisons, un contre-argument et une conclusion.</w:t>
            </w:r>
          </w:p>
        </w:tc>
      </w:tr>
      <w:tr>
        <w:trPr>
          <w:cantSplit/>
        </w:trPr>
        <w:tc>
          <w:tcPr>
            <w:tcW w:type="dxa" w:w="5112"/>
            <w:tcMar>
              <w:top w:w="50" w:type="dxa"/>
              <w:start w:w="75" w:type="dxa"/>
              <w:bottom w:w="50" w:type="dxa"/>
              <w:end w:w="75" w:type="dxa"/>
            </w:tcMar>
          </w:tcPr>
          <w:p>
            <w:r>
              <w:rPr>
                <w:rFonts w:ascii="Noto Sans" w:hAnsi="Noto Sans" w:eastAsia="Noto Sans CJK JP"/>
                <w:sz w:val="15"/>
              </w:rPr>
              <w:t>Comprendre un article</w:t>
            </w:r>
          </w:p>
        </w:tc>
        <w:tc>
          <w:tcPr>
            <w:tcW w:type="dxa" w:w="5112"/>
            <w:tcMar>
              <w:top w:w="50" w:type="dxa"/>
              <w:start w:w="75" w:type="dxa"/>
              <w:bottom w:w="50" w:type="dxa"/>
              <w:end w:w="75" w:type="dxa"/>
            </w:tcMar>
          </w:tcPr>
          <w:p>
            <w:r>
              <w:rPr>
                <w:rFonts w:ascii="Noto Sans" w:hAnsi="Noto Sans" w:eastAsia="Noto Sans CJK JP"/>
                <w:sz w:val="15"/>
              </w:rPr>
              <w:t>Identifier thème, thèse, arguments, exemples et intention de l'auteur.</w:t>
            </w:r>
          </w:p>
        </w:tc>
      </w:tr>
      <w:tr>
        <w:trPr>
          <w:cantSplit/>
        </w:trPr>
        <w:tc>
          <w:tcPr>
            <w:tcW w:type="dxa" w:w="5112"/>
            <w:tcMar>
              <w:top w:w="50" w:type="dxa"/>
              <w:start w:w="75" w:type="dxa"/>
              <w:bottom w:w="50" w:type="dxa"/>
              <w:end w:w="75" w:type="dxa"/>
            </w:tcMar>
          </w:tcPr>
          <w:p>
            <w:r>
              <w:rPr>
                <w:rFonts w:ascii="Noto Sans" w:hAnsi="Noto Sans" w:eastAsia="Noto Sans CJK JP"/>
                <w:sz w:val="15"/>
              </w:rPr>
              <w:t>Suivre une actualité</w:t>
            </w:r>
          </w:p>
        </w:tc>
        <w:tc>
          <w:tcPr>
            <w:tcW w:type="dxa" w:w="5112"/>
            <w:tcMar>
              <w:top w:w="50" w:type="dxa"/>
              <w:start w:w="75" w:type="dxa"/>
              <w:bottom w:w="50" w:type="dxa"/>
              <w:end w:w="75" w:type="dxa"/>
            </w:tcMar>
          </w:tcPr>
          <w:p>
            <w:r>
              <w:rPr>
                <w:rFonts w:ascii="Noto Sans" w:hAnsi="Noto Sans" w:eastAsia="Noto Sans CJK JP"/>
                <w:sz w:val="15"/>
              </w:rPr>
              <w:t>Comprendre les points essentiels d'un reportage à vitesse naturelle.</w:t>
            </w:r>
          </w:p>
        </w:tc>
      </w:tr>
      <w:tr>
        <w:trPr>
          <w:cantSplit/>
        </w:trPr>
        <w:tc>
          <w:tcPr>
            <w:tcW w:type="dxa" w:w="5112"/>
            <w:tcMar>
              <w:top w:w="50" w:type="dxa"/>
              <w:start w:w="75" w:type="dxa"/>
              <w:bottom w:w="50" w:type="dxa"/>
              <w:end w:w="75" w:type="dxa"/>
            </w:tcMar>
          </w:tcPr>
          <w:p>
            <w:r>
              <w:rPr>
                <w:rFonts w:ascii="Noto Sans" w:hAnsi="Noto Sans" w:eastAsia="Noto Sans CJK JP"/>
                <w:sz w:val="15"/>
              </w:rPr>
              <w:t>Faire une présentation</w:t>
            </w:r>
          </w:p>
        </w:tc>
        <w:tc>
          <w:tcPr>
            <w:tcW w:type="dxa" w:w="5112"/>
            <w:tcMar>
              <w:top w:w="50" w:type="dxa"/>
              <w:start w:w="75" w:type="dxa"/>
              <w:bottom w:w="50" w:type="dxa"/>
              <w:end w:w="75" w:type="dxa"/>
            </w:tcMar>
          </w:tcPr>
          <w:p>
            <w:r>
              <w:rPr>
                <w:rFonts w:ascii="Noto Sans" w:hAnsi="Noto Sans" w:eastAsia="Noto Sans CJK JP"/>
                <w:sz w:val="15"/>
              </w:rPr>
              <w:t>Parler plusieurs minutes avec plan clair et répondre aux questions.</w:t>
            </w:r>
          </w:p>
        </w:tc>
      </w:tr>
      <w:tr>
        <w:trPr>
          <w:cantSplit/>
        </w:trPr>
        <w:tc>
          <w:tcPr>
            <w:tcW w:type="dxa" w:w="5112"/>
            <w:tcMar>
              <w:top w:w="50" w:type="dxa"/>
              <w:start w:w="75" w:type="dxa"/>
              <w:bottom w:w="50" w:type="dxa"/>
              <w:end w:w="75" w:type="dxa"/>
            </w:tcMar>
          </w:tcPr>
          <w:p>
            <w:r>
              <w:rPr>
                <w:rFonts w:ascii="Noto Sans" w:hAnsi="Noto Sans" w:eastAsia="Noto Sans CJK JP"/>
                <w:sz w:val="15"/>
              </w:rPr>
              <w:t>Nuancer une affirmation</w:t>
            </w:r>
          </w:p>
        </w:tc>
        <w:tc>
          <w:tcPr>
            <w:tcW w:type="dxa" w:w="5112"/>
            <w:tcMar>
              <w:top w:w="50" w:type="dxa"/>
              <w:start w:w="75" w:type="dxa"/>
              <w:bottom w:w="50" w:type="dxa"/>
              <w:end w:w="75" w:type="dxa"/>
            </w:tcMar>
          </w:tcPr>
          <w:p>
            <w:r>
              <w:rPr>
                <w:rFonts w:ascii="Noto Sans" w:hAnsi="Noto Sans" w:eastAsia="Noto Sans CJK JP"/>
                <w:sz w:val="15"/>
              </w:rPr>
              <w:t>Dire qu'une idée n'est pas toujours vraie ou ne constitue qu'une partie du problème.</w:t>
            </w:r>
          </w:p>
        </w:tc>
      </w:tr>
      <w:tr>
        <w:trPr>
          <w:cantSplit/>
        </w:trPr>
        <w:tc>
          <w:tcPr>
            <w:tcW w:type="dxa" w:w="5112"/>
            <w:tcMar>
              <w:top w:w="50" w:type="dxa"/>
              <w:start w:w="75" w:type="dxa"/>
              <w:bottom w:w="50" w:type="dxa"/>
              <w:end w:w="75" w:type="dxa"/>
            </w:tcMar>
          </w:tcPr>
          <w:p>
            <w:r>
              <w:rPr>
                <w:rFonts w:ascii="Noto Sans" w:hAnsi="Noto Sans" w:eastAsia="Noto Sans CJK JP"/>
                <w:sz w:val="15"/>
              </w:rPr>
              <w:t>Réagir à un désaccord</w:t>
            </w:r>
          </w:p>
        </w:tc>
        <w:tc>
          <w:tcPr>
            <w:tcW w:type="dxa" w:w="5112"/>
            <w:tcMar>
              <w:top w:w="50" w:type="dxa"/>
              <w:start w:w="75" w:type="dxa"/>
              <w:bottom w:w="50" w:type="dxa"/>
              <w:end w:w="75" w:type="dxa"/>
            </w:tcMar>
          </w:tcPr>
          <w:p>
            <w:r>
              <w:rPr>
                <w:rFonts w:ascii="Noto Sans" w:hAnsi="Noto Sans" w:eastAsia="Noto Sans CJK JP"/>
                <w:sz w:val="15"/>
              </w:rPr>
              <w:t>Concéder un point puis expliquer sa propre position sans rupture sociale.</w:t>
            </w:r>
          </w:p>
        </w:tc>
      </w:tr>
      <w:tr>
        <w:trPr>
          <w:cantSplit/>
        </w:trPr>
        <w:tc>
          <w:tcPr>
            <w:tcW w:type="dxa" w:w="5112"/>
            <w:tcMar>
              <w:top w:w="50" w:type="dxa"/>
              <w:start w:w="75" w:type="dxa"/>
              <w:bottom w:w="50" w:type="dxa"/>
              <w:end w:w="75" w:type="dxa"/>
            </w:tcMar>
          </w:tcPr>
          <w:p>
            <w:r>
              <w:rPr>
                <w:rFonts w:ascii="Noto Sans" w:hAnsi="Noto Sans" w:eastAsia="Noto Sans CJK JP"/>
                <w:sz w:val="15"/>
              </w:rPr>
              <w:t>Écrire professionnellement</w:t>
            </w:r>
          </w:p>
        </w:tc>
        <w:tc>
          <w:tcPr>
            <w:tcW w:type="dxa" w:w="5112"/>
            <w:tcMar>
              <w:top w:w="50" w:type="dxa"/>
              <w:start w:w="75" w:type="dxa"/>
              <w:bottom w:w="50" w:type="dxa"/>
              <w:end w:w="75" w:type="dxa"/>
            </w:tcMar>
          </w:tcPr>
          <w:p>
            <w:r>
              <w:rPr>
                <w:rFonts w:ascii="Noto Sans" w:hAnsi="Noto Sans" w:eastAsia="Noto Sans CJK JP"/>
                <w:sz w:val="15"/>
              </w:rPr>
              <w:t>Envoyer une demande ou information avec registre et formules adaptés.</w:t>
            </w:r>
          </w:p>
        </w:tc>
      </w:tr>
      <w:tr>
        <w:trPr>
          <w:cantSplit/>
        </w:trPr>
        <w:tc>
          <w:tcPr>
            <w:tcW w:type="dxa" w:w="5112"/>
            <w:tcMar>
              <w:top w:w="50" w:type="dxa"/>
              <w:start w:w="75" w:type="dxa"/>
              <w:bottom w:w="50" w:type="dxa"/>
              <w:end w:w="75" w:type="dxa"/>
            </w:tcMar>
          </w:tcPr>
          <w:p>
            <w:r>
              <w:rPr>
                <w:rFonts w:ascii="Noto Sans" w:hAnsi="Noto Sans" w:eastAsia="Noto Sans CJK JP"/>
                <w:sz w:val="15"/>
              </w:rPr>
              <w:t>Utiliser le keigo</w:t>
            </w:r>
          </w:p>
        </w:tc>
        <w:tc>
          <w:tcPr>
            <w:tcW w:type="dxa" w:w="5112"/>
            <w:tcMar>
              <w:top w:w="50" w:type="dxa"/>
              <w:start w:w="75" w:type="dxa"/>
              <w:bottom w:w="50" w:type="dxa"/>
              <w:end w:w="75" w:type="dxa"/>
            </w:tcMar>
          </w:tcPr>
          <w:p>
            <w:r>
              <w:rPr>
                <w:rFonts w:ascii="Noto Sans" w:hAnsi="Noto Sans" w:eastAsia="Noto Sans CJK JP"/>
                <w:sz w:val="15"/>
              </w:rPr>
              <w:t>Choisir forme honorifique ou humble selon les personnes impliquées.</w:t>
            </w:r>
          </w:p>
        </w:tc>
      </w:tr>
      <w:tr>
        <w:trPr>
          <w:cantSplit/>
        </w:trPr>
        <w:tc>
          <w:tcPr>
            <w:tcW w:type="dxa" w:w="5112"/>
            <w:tcMar>
              <w:top w:w="50" w:type="dxa"/>
              <w:start w:w="75" w:type="dxa"/>
              <w:bottom w:w="50" w:type="dxa"/>
              <w:end w:w="75" w:type="dxa"/>
            </w:tcMar>
          </w:tcPr>
          <w:p>
            <w:r>
              <w:rPr>
                <w:rFonts w:ascii="Noto Sans" w:hAnsi="Noto Sans" w:eastAsia="Noto Sans CJK JP"/>
                <w:sz w:val="15"/>
              </w:rPr>
              <w:t>Résumer</w:t>
            </w:r>
          </w:p>
        </w:tc>
        <w:tc>
          <w:tcPr>
            <w:tcW w:type="dxa" w:w="5112"/>
            <w:tcMar>
              <w:top w:w="50" w:type="dxa"/>
              <w:start w:w="75" w:type="dxa"/>
              <w:bottom w:w="50" w:type="dxa"/>
              <w:end w:w="75" w:type="dxa"/>
            </w:tcMar>
          </w:tcPr>
          <w:p>
            <w:r>
              <w:rPr>
                <w:rFonts w:ascii="Noto Sans" w:hAnsi="Noto Sans" w:eastAsia="Noto Sans CJK JP"/>
                <w:sz w:val="15"/>
              </w:rPr>
              <w:t>Restituer l'essentiel d'un texte ou audio avec ses propres mots.</w:t>
            </w:r>
          </w:p>
        </w:tc>
      </w:tr>
      <w:tr>
        <w:trPr>
          <w:cantSplit/>
        </w:trPr>
        <w:tc>
          <w:tcPr>
            <w:tcW w:type="dxa" w:w="5112"/>
            <w:tcMar>
              <w:top w:w="50" w:type="dxa"/>
              <w:start w:w="75" w:type="dxa"/>
              <w:bottom w:w="50" w:type="dxa"/>
              <w:end w:w="75" w:type="dxa"/>
            </w:tcMar>
          </w:tcPr>
          <w:p>
            <w:r>
              <w:rPr>
                <w:rFonts w:ascii="Noto Sans" w:hAnsi="Noto Sans" w:eastAsia="Noto Sans CJK JP"/>
                <w:sz w:val="15"/>
              </w:rPr>
              <w:t>Comparer des sources</w:t>
            </w:r>
          </w:p>
        </w:tc>
        <w:tc>
          <w:tcPr>
            <w:tcW w:type="dxa" w:w="5112"/>
            <w:tcMar>
              <w:top w:w="50" w:type="dxa"/>
              <w:start w:w="75" w:type="dxa"/>
              <w:bottom w:w="50" w:type="dxa"/>
              <w:end w:w="75" w:type="dxa"/>
            </w:tcMar>
          </w:tcPr>
          <w:p>
            <w:r>
              <w:rPr>
                <w:rFonts w:ascii="Noto Sans" w:hAnsi="Noto Sans" w:eastAsia="Noto Sans CJK JP"/>
                <w:sz w:val="15"/>
              </w:rPr>
              <w:t>Expliquer en quoi deux articles ou avis se rejoignent ou divergent.</w:t>
            </w:r>
          </w:p>
        </w:tc>
      </w:tr>
      <w:tr>
        <w:trPr>
          <w:cantSplit/>
        </w:trPr>
        <w:tc>
          <w:tcPr>
            <w:tcW w:type="dxa" w:w="5112"/>
            <w:tcMar>
              <w:top w:w="50" w:type="dxa"/>
              <w:start w:w="75" w:type="dxa"/>
              <w:bottom w:w="50" w:type="dxa"/>
              <w:end w:w="75" w:type="dxa"/>
            </w:tcMar>
          </w:tcPr>
          <w:p>
            <w:r>
              <w:rPr>
                <w:rFonts w:ascii="Noto Sans" w:hAnsi="Noto Sans" w:eastAsia="Noto Sans CJK JP"/>
                <w:sz w:val="15"/>
              </w:rPr>
              <w:t>Lire un texte formel</w:t>
            </w:r>
          </w:p>
        </w:tc>
        <w:tc>
          <w:tcPr>
            <w:tcW w:type="dxa" w:w="5112"/>
            <w:tcMar>
              <w:top w:w="50" w:type="dxa"/>
              <w:start w:w="75" w:type="dxa"/>
              <w:bottom w:w="50" w:type="dxa"/>
              <w:end w:w="75" w:type="dxa"/>
            </w:tcMar>
          </w:tcPr>
          <w:p>
            <w:r>
              <w:rPr>
                <w:rFonts w:ascii="Noto Sans" w:hAnsi="Noto Sans" w:eastAsia="Noto Sans CJK JP"/>
                <w:sz w:val="15"/>
              </w:rPr>
              <w:t>Comprendre un texte en である et ses connecteurs.</w:t>
            </w:r>
          </w:p>
        </w:tc>
      </w:tr>
      <w:tr>
        <w:trPr>
          <w:cantSplit/>
        </w:trPr>
        <w:tc>
          <w:tcPr>
            <w:tcW w:type="dxa" w:w="5112"/>
            <w:tcMar>
              <w:top w:w="50" w:type="dxa"/>
              <w:start w:w="75" w:type="dxa"/>
              <w:bottom w:w="50" w:type="dxa"/>
              <w:end w:w="75" w:type="dxa"/>
            </w:tcMar>
          </w:tcPr>
          <w:p>
            <w:r>
              <w:rPr>
                <w:rFonts w:ascii="Noto Sans" w:hAnsi="Noto Sans" w:eastAsia="Noto Sans CJK JP"/>
                <w:sz w:val="15"/>
              </w:rPr>
              <w:t>Participer à une discussion</w:t>
            </w:r>
          </w:p>
        </w:tc>
        <w:tc>
          <w:tcPr>
            <w:tcW w:type="dxa" w:w="5112"/>
            <w:tcMar>
              <w:top w:w="50" w:type="dxa"/>
              <w:start w:w="75" w:type="dxa"/>
              <w:bottom w:w="50" w:type="dxa"/>
              <w:end w:w="75" w:type="dxa"/>
            </w:tcMar>
          </w:tcPr>
          <w:p>
            <w:r>
              <w:rPr>
                <w:rFonts w:ascii="Noto Sans" w:hAnsi="Noto Sans" w:eastAsia="Noto Sans CJK JP"/>
                <w:sz w:val="15"/>
              </w:rPr>
              <w:t>Prendre, garder et rendre la parole tout en reliant son intervention aux autres.</w:t>
            </w:r>
          </w:p>
        </w:tc>
      </w:tr>
      <w:tr>
        <w:tc>
          <w:tcPr>
            <w:tcW w:type="dxa" w:w="5112"/>
          </w:tcPr>
          <w:p>
            <w:r/>
            <w:r>
              <w:rPr>
                <w:rFonts w:ascii="Noto Sans" w:hAnsi="Noto Sans" w:eastAsia="Noto Sans CJK JP"/>
                <w:b w:val="0"/>
                <w:sz w:val="15"/>
              </w:rPr>
              <w:t>Présenter avec une prosodie intelligible</w:t>
            </w:r>
          </w:p>
        </w:tc>
        <w:tc>
          <w:tcPr>
            <w:tcW w:type="dxa" w:w="5112"/>
          </w:tcPr>
          <w:p>
            <w:r/>
            <w:r>
              <w:rPr>
                <w:rFonts w:ascii="Noto Sans" w:hAnsi="Noto Sans" w:eastAsia="Noto Sans CJK JP"/>
                <w:b w:val="0"/>
                <w:sz w:val="15"/>
              </w:rPr>
              <w:t>Maintenir rythme, pauses, focalisation et intonation adaptés pendant un exposé de plusieurs minutes.</w:t>
            </w:r>
          </w:p>
        </w:tc>
      </w:tr>
    </w:tbl>
    <w:p>
      <w:pPr>
        <w:pStyle w:val="Heading1"/>
      </w:pPr>
      <w:r>
        <w:rPr>
          <w:rFonts w:ascii="Noto Sans" w:hAnsi="Noto Sans" w:eastAsia="Noto Sans CJK JP"/>
          <w:sz w:val="20"/>
        </w:rPr>
        <w:t>26. Ordre pédagogique recommandé de l'étape 6</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Code</w:t>
            </w:r>
          </w:p>
        </w:tc>
        <w:tc>
          <w:tcPr>
            <w:tcW w:type="dxa" w:w="3408"/>
            <w:shd w:fill="DCEAF0"/>
            <w:tcMar>
              <w:top w:w="65" w:type="dxa"/>
              <w:start w:w="90" w:type="dxa"/>
              <w:bottom w:w="65" w:type="dxa"/>
              <w:end w:w="90" w:type="dxa"/>
            </w:tcMar>
          </w:tcPr>
          <w:p>
            <w:r>
              <w:rPr>
                <w:rFonts w:ascii="Noto Sans" w:hAnsi="Noto Sans" w:eastAsia="Noto Sans CJK JP"/>
                <w:b/>
                <w:sz w:val="17"/>
              </w:rPr>
              <w:t>Bloc</w:t>
            </w:r>
          </w:p>
        </w:tc>
        <w:tc>
          <w:tcPr>
            <w:tcW w:type="dxa" w:w="3408"/>
            <w:shd w:fill="DCEAF0"/>
            <w:tcMar>
              <w:top w:w="65" w:type="dxa"/>
              <w:start w:w="90" w:type="dxa"/>
              <w:bottom w:w="65" w:type="dxa"/>
              <w:end w:w="90" w:type="dxa"/>
            </w:tcMar>
          </w:tcPr>
          <w:p>
            <w:r>
              <w:rPr>
                <w:rFonts w:ascii="Noto Sans" w:hAnsi="Noto Sans" w:eastAsia="Noto Sans CJK JP"/>
                <w:b/>
                <w:sz w:val="17"/>
              </w:rPr>
              <w:t>Intention</w:t>
            </w:r>
          </w:p>
        </w:tc>
      </w:tr>
      <w:tr>
        <w:trPr>
          <w:cantSplit/>
        </w:trPr>
        <w:tc>
          <w:tcPr>
            <w:tcW w:type="dxa" w:w="3408"/>
            <w:tcMar>
              <w:top w:w="50" w:type="dxa"/>
              <w:start w:w="75" w:type="dxa"/>
              <w:bottom w:w="50" w:type="dxa"/>
              <w:end w:w="75" w:type="dxa"/>
            </w:tcMar>
          </w:tcPr>
          <w:p>
            <w:r>
              <w:rPr>
                <w:rFonts w:ascii="Noto Sans" w:hAnsi="Noto Sans" w:eastAsia="Noto Sans CJK JP"/>
                <w:sz w:val="15"/>
              </w:rPr>
              <w:t>6A</w:t>
            </w:r>
          </w:p>
        </w:tc>
        <w:tc>
          <w:tcPr>
            <w:tcW w:type="dxa" w:w="3408"/>
            <w:tcMar>
              <w:top w:w="50" w:type="dxa"/>
              <w:start w:w="75" w:type="dxa"/>
              <w:bottom w:w="50" w:type="dxa"/>
              <w:end w:w="75" w:type="dxa"/>
            </w:tcMar>
          </w:tcPr>
          <w:p>
            <w:r/>
            <w:r>
              <w:rPr>
                <w:rFonts w:ascii="Noto Sans" w:hAnsi="Noto Sans" w:eastAsia="Noto Sans CJK JP"/>
                <w:b w:val="0"/>
                <w:sz w:val="15"/>
              </w:rPr>
              <w:t>Modalité avancée — comparaison et registre</w:t>
            </w:r>
          </w:p>
        </w:tc>
        <w:tc>
          <w:tcPr>
            <w:tcW w:type="dxa" w:w="3408"/>
            <w:tcMar>
              <w:top w:w="50" w:type="dxa"/>
              <w:start w:w="75" w:type="dxa"/>
              <w:bottom w:w="50" w:type="dxa"/>
              <w:end w:w="75" w:type="dxa"/>
            </w:tcMar>
          </w:tcPr>
          <w:p>
            <w:r/>
            <w:r>
              <w:rPr>
                <w:rFonts w:ascii="Noto Sans" w:hAnsi="Noto Sans" w:eastAsia="Noto Sans CJK JP"/>
                <w:b w:val="0"/>
                <w:sz w:val="15"/>
              </w:rPr>
              <w:t>Comparer はず / わけ / べき ; rendre に違いない productif ; restrictions, registre et reformulation.</w:t>
            </w:r>
          </w:p>
        </w:tc>
      </w:tr>
      <w:tr>
        <w:trPr>
          <w:cantSplit/>
        </w:trPr>
        <w:tc>
          <w:tcPr>
            <w:tcW w:type="dxa" w:w="3408"/>
            <w:tcMar>
              <w:top w:w="50" w:type="dxa"/>
              <w:start w:w="75" w:type="dxa"/>
              <w:bottom w:w="50" w:type="dxa"/>
              <w:end w:w="75" w:type="dxa"/>
            </w:tcMar>
          </w:tcPr>
          <w:p>
            <w:r>
              <w:rPr>
                <w:rFonts w:ascii="Noto Sans" w:hAnsi="Noto Sans" w:eastAsia="Noto Sans CJK JP"/>
                <w:sz w:val="15"/>
              </w:rPr>
              <w:t>6B</w:t>
            </w:r>
          </w:p>
        </w:tc>
        <w:tc>
          <w:tcPr>
            <w:tcW w:type="dxa" w:w="3408"/>
            <w:tcMar>
              <w:top w:w="50" w:type="dxa"/>
              <w:start w:w="75" w:type="dxa"/>
              <w:bottom w:w="50" w:type="dxa"/>
              <w:end w:w="75" w:type="dxa"/>
            </w:tcMar>
          </w:tcPr>
          <w:p>
            <w:r>
              <w:rPr>
                <w:rFonts w:ascii="Noto Sans" w:hAnsi="Noto Sans" w:eastAsia="Noto Sans CJK JP"/>
                <w:sz w:val="15"/>
              </w:rPr>
              <w:t>Limiter / relativiser</w:t>
            </w:r>
          </w:p>
        </w:tc>
        <w:tc>
          <w:tcPr>
            <w:tcW w:type="dxa" w:w="3408"/>
            <w:tcMar>
              <w:top w:w="50" w:type="dxa"/>
              <w:start w:w="75" w:type="dxa"/>
              <w:bottom w:w="50" w:type="dxa"/>
              <w:end w:w="75" w:type="dxa"/>
            </w:tcMar>
          </w:tcPr>
          <w:p>
            <w:r>
              <w:rPr>
                <w:rFonts w:ascii="Noto Sans" w:hAnsi="Noto Sans" w:eastAsia="Noto Sans CJK JP"/>
                <w:sz w:val="15"/>
              </w:rPr>
              <w:t>にすぎない, とは限らない, どころか...</w:t>
            </w:r>
          </w:p>
        </w:tc>
      </w:tr>
      <w:tr>
        <w:trPr>
          <w:cantSplit/>
        </w:trPr>
        <w:tc>
          <w:tcPr>
            <w:tcW w:type="dxa" w:w="3408"/>
            <w:tcMar>
              <w:top w:w="50" w:type="dxa"/>
              <w:start w:w="75" w:type="dxa"/>
              <w:bottom w:w="50" w:type="dxa"/>
              <w:end w:w="75" w:type="dxa"/>
            </w:tcMar>
          </w:tcPr>
          <w:p>
            <w:r>
              <w:rPr>
                <w:rFonts w:ascii="Noto Sans" w:hAnsi="Noto Sans" w:eastAsia="Noto Sans CJK JP"/>
                <w:sz w:val="15"/>
              </w:rPr>
              <w:t>6C</w:t>
            </w:r>
          </w:p>
        </w:tc>
        <w:tc>
          <w:tcPr>
            <w:tcW w:type="dxa" w:w="3408"/>
            <w:tcMar>
              <w:top w:w="50" w:type="dxa"/>
              <w:start w:w="75" w:type="dxa"/>
              <w:bottom w:w="50" w:type="dxa"/>
              <w:end w:w="75" w:type="dxa"/>
            </w:tcMar>
          </w:tcPr>
          <w:p>
            <w:r>
              <w:rPr>
                <w:rFonts w:ascii="Noto Sans" w:hAnsi="Noto Sans" w:eastAsia="Noto Sans CJK JP"/>
                <w:sz w:val="15"/>
              </w:rPr>
              <w:t>Concession avancée</w:t>
            </w:r>
          </w:p>
        </w:tc>
        <w:tc>
          <w:tcPr>
            <w:tcW w:type="dxa" w:w="3408"/>
            <w:tcMar>
              <w:top w:w="50" w:type="dxa"/>
              <w:start w:w="75" w:type="dxa"/>
              <w:bottom w:w="50" w:type="dxa"/>
              <w:end w:w="75" w:type="dxa"/>
            </w:tcMar>
          </w:tcPr>
          <w:p>
            <w:r>
              <w:rPr>
                <w:rFonts w:ascii="Noto Sans" w:hAnsi="Noto Sans" w:eastAsia="Noto Sans CJK JP"/>
                <w:sz w:val="15"/>
              </w:rPr>
              <w:t>ものの, にもかかわらず, とはいえ...</w:t>
            </w:r>
          </w:p>
        </w:tc>
      </w:tr>
      <w:tr>
        <w:trPr>
          <w:cantSplit/>
        </w:trPr>
        <w:tc>
          <w:tcPr>
            <w:tcW w:type="dxa" w:w="3408"/>
            <w:tcMar>
              <w:top w:w="50" w:type="dxa"/>
              <w:start w:w="75" w:type="dxa"/>
              <w:bottom w:w="50" w:type="dxa"/>
              <w:end w:w="75" w:type="dxa"/>
            </w:tcMar>
          </w:tcPr>
          <w:p>
            <w:r>
              <w:rPr>
                <w:rFonts w:ascii="Noto Sans" w:hAnsi="Noto Sans" w:eastAsia="Noto Sans CJK JP"/>
                <w:sz w:val="15"/>
              </w:rPr>
              <w:t>6D</w:t>
            </w:r>
          </w:p>
        </w:tc>
        <w:tc>
          <w:tcPr>
            <w:tcW w:type="dxa" w:w="3408"/>
            <w:tcMar>
              <w:top w:w="50" w:type="dxa"/>
              <w:start w:w="75" w:type="dxa"/>
              <w:bottom w:w="50" w:type="dxa"/>
              <w:end w:w="75" w:type="dxa"/>
            </w:tcMar>
          </w:tcPr>
          <w:p>
            <w:r>
              <w:rPr>
                <w:rFonts w:ascii="Noto Sans" w:hAnsi="Noto Sans" w:eastAsia="Noto Sans CJK JP"/>
                <w:sz w:val="15"/>
              </w:rPr>
              <w:t>Cause / conséquence</w:t>
            </w:r>
          </w:p>
        </w:tc>
        <w:tc>
          <w:tcPr>
            <w:tcW w:type="dxa" w:w="3408"/>
            <w:tcMar>
              <w:top w:w="50" w:type="dxa"/>
              <w:start w:w="75" w:type="dxa"/>
              <w:bottom w:w="50" w:type="dxa"/>
              <w:end w:w="75" w:type="dxa"/>
            </w:tcMar>
          </w:tcPr>
          <w:p>
            <w:r>
              <w:rPr>
                <w:rFonts w:ascii="Noto Sans" w:hAnsi="Noto Sans" w:eastAsia="Noto Sans CJK JP"/>
                <w:sz w:val="15"/>
              </w:rPr>
              <w:t>ため, ことから, だけに, ばかりに...</w:t>
            </w:r>
          </w:p>
        </w:tc>
      </w:tr>
      <w:tr>
        <w:trPr>
          <w:cantSplit/>
        </w:trPr>
        <w:tc>
          <w:tcPr>
            <w:tcW w:type="dxa" w:w="3408"/>
            <w:tcMar>
              <w:top w:w="50" w:type="dxa"/>
              <w:start w:w="75" w:type="dxa"/>
              <w:bottom w:w="50" w:type="dxa"/>
              <w:end w:w="75" w:type="dxa"/>
            </w:tcMar>
          </w:tcPr>
          <w:p>
            <w:r>
              <w:rPr>
                <w:rFonts w:ascii="Noto Sans" w:hAnsi="Noto Sans" w:eastAsia="Noto Sans CJK JP"/>
                <w:sz w:val="15"/>
              </w:rPr>
              <w:t>6E</w:t>
            </w:r>
          </w:p>
        </w:tc>
        <w:tc>
          <w:tcPr>
            <w:tcW w:type="dxa" w:w="3408"/>
            <w:tcMar>
              <w:top w:w="50" w:type="dxa"/>
              <w:start w:w="75" w:type="dxa"/>
              <w:bottom w:w="50" w:type="dxa"/>
              <w:end w:w="75" w:type="dxa"/>
            </w:tcMar>
          </w:tcPr>
          <w:p>
            <w:r>
              <w:rPr>
                <w:rFonts w:ascii="Noto Sans" w:hAnsi="Noto Sans" w:eastAsia="Noto Sans CJK JP"/>
                <w:sz w:val="15"/>
              </w:rPr>
              <w:t>Évolution / corrélation</w:t>
            </w:r>
          </w:p>
        </w:tc>
        <w:tc>
          <w:tcPr>
            <w:tcW w:type="dxa" w:w="3408"/>
            <w:tcMar>
              <w:top w:w="50" w:type="dxa"/>
              <w:start w:w="75" w:type="dxa"/>
              <w:bottom w:w="50" w:type="dxa"/>
              <w:end w:w="75" w:type="dxa"/>
            </w:tcMar>
          </w:tcPr>
          <w:p>
            <w:r>
              <w:rPr>
                <w:rFonts w:ascii="Noto Sans" w:hAnsi="Noto Sans" w:eastAsia="Noto Sans CJK JP"/>
                <w:sz w:val="15"/>
              </w:rPr>
              <w:t>につれて, に伴って, に応じて...</w:t>
            </w:r>
          </w:p>
        </w:tc>
      </w:tr>
      <w:tr>
        <w:trPr>
          <w:cantSplit/>
        </w:trPr>
        <w:tc>
          <w:tcPr>
            <w:tcW w:type="dxa" w:w="3408"/>
            <w:tcMar>
              <w:top w:w="50" w:type="dxa"/>
              <w:start w:w="75" w:type="dxa"/>
              <w:bottom w:w="50" w:type="dxa"/>
              <w:end w:w="75" w:type="dxa"/>
            </w:tcMar>
          </w:tcPr>
          <w:p>
            <w:r>
              <w:rPr>
                <w:rFonts w:ascii="Noto Sans" w:hAnsi="Noto Sans" w:eastAsia="Noto Sans CJK JP"/>
                <w:sz w:val="15"/>
              </w:rPr>
              <w:t>6F</w:t>
            </w:r>
          </w:p>
        </w:tc>
        <w:tc>
          <w:tcPr>
            <w:tcW w:type="dxa" w:w="3408"/>
            <w:tcMar>
              <w:top w:w="50" w:type="dxa"/>
              <w:start w:w="75" w:type="dxa"/>
              <w:bottom w:w="50" w:type="dxa"/>
              <w:end w:w="75" w:type="dxa"/>
            </w:tcMar>
          </w:tcPr>
          <w:p>
            <w:r>
              <w:rPr>
                <w:rFonts w:ascii="Noto Sans" w:hAnsi="Noto Sans" w:eastAsia="Noto Sans CJK JP"/>
                <w:sz w:val="15"/>
              </w:rPr>
              <w:t>Relations abstraites</w:t>
            </w:r>
          </w:p>
        </w:tc>
        <w:tc>
          <w:tcPr>
            <w:tcW w:type="dxa" w:w="3408"/>
            <w:tcMar>
              <w:top w:w="50" w:type="dxa"/>
              <w:start w:w="75" w:type="dxa"/>
              <w:bottom w:w="50" w:type="dxa"/>
              <w:end w:w="75" w:type="dxa"/>
            </w:tcMar>
          </w:tcPr>
          <w:p>
            <w:r>
              <w:rPr>
                <w:rFonts w:ascii="Noto Sans" w:hAnsi="Noto Sans" w:eastAsia="Noto Sans CJK JP"/>
                <w:sz w:val="15"/>
              </w:rPr>
              <w:t>について, に関して, に対して, をめぐって...</w:t>
            </w:r>
          </w:p>
        </w:tc>
      </w:tr>
      <w:tr>
        <w:trPr>
          <w:cantSplit/>
        </w:trPr>
        <w:tc>
          <w:tcPr>
            <w:tcW w:type="dxa" w:w="3408"/>
            <w:tcMar>
              <w:top w:w="50" w:type="dxa"/>
              <w:start w:w="75" w:type="dxa"/>
              <w:bottom w:w="50" w:type="dxa"/>
              <w:end w:w="75" w:type="dxa"/>
            </w:tcMar>
          </w:tcPr>
          <w:p>
            <w:r>
              <w:rPr>
                <w:rFonts w:ascii="Noto Sans" w:hAnsi="Noto Sans" w:eastAsia="Noto Sans CJK JP"/>
                <w:sz w:val="15"/>
              </w:rPr>
              <w:t>6G</w:t>
            </w:r>
          </w:p>
        </w:tc>
        <w:tc>
          <w:tcPr>
            <w:tcW w:type="dxa" w:w="3408"/>
            <w:tcMar>
              <w:top w:w="50" w:type="dxa"/>
              <w:start w:w="75" w:type="dxa"/>
              <w:bottom w:w="50" w:type="dxa"/>
              <w:end w:w="75" w:type="dxa"/>
            </w:tcMar>
          </w:tcPr>
          <w:p>
            <w:r/>
            <w:r>
              <w:rPr>
                <w:rFonts w:ascii="Noto Sans" w:hAnsi="Noto Sans" w:eastAsia="Noto Sans CJK JP"/>
                <w:b w:val="0"/>
                <w:sz w:val="15"/>
              </w:rPr>
              <w:t>Normes instituées</w:t>
            </w:r>
          </w:p>
        </w:tc>
        <w:tc>
          <w:tcPr>
            <w:tcW w:type="dxa" w:w="3408"/>
            <w:tcMar>
              <w:top w:w="50" w:type="dxa"/>
              <w:start w:w="75" w:type="dxa"/>
              <w:bottom w:w="50" w:type="dxa"/>
              <w:end w:w="75" w:type="dxa"/>
            </w:tcMar>
          </w:tcPr>
          <w:p>
            <w:r/>
            <w:r>
              <w:rPr>
                <w:rFonts w:ascii="Noto Sans" w:hAnsi="Noto Sans" w:eastAsia="Noto Sans CJK JP"/>
                <w:b w:val="0"/>
                <w:sz w:val="15"/>
              </w:rPr>
              <w:t>ことになっている, ようになっている, normes / procédures ; rappel seulement des décisions déjà étudiées.</w:t>
            </w:r>
          </w:p>
        </w:tc>
      </w:tr>
      <w:tr>
        <w:trPr>
          <w:cantSplit/>
        </w:trPr>
        <w:tc>
          <w:tcPr>
            <w:tcW w:type="dxa" w:w="3408"/>
            <w:tcMar>
              <w:top w:w="50" w:type="dxa"/>
              <w:start w:w="75" w:type="dxa"/>
              <w:bottom w:w="50" w:type="dxa"/>
              <w:end w:w="75" w:type="dxa"/>
            </w:tcMar>
          </w:tcPr>
          <w:p>
            <w:r>
              <w:rPr>
                <w:rFonts w:ascii="Noto Sans" w:hAnsi="Noto Sans" w:eastAsia="Noto Sans CJK JP"/>
                <w:sz w:val="15"/>
              </w:rPr>
              <w:t>6H</w:t>
            </w:r>
          </w:p>
        </w:tc>
        <w:tc>
          <w:tcPr>
            <w:tcW w:type="dxa" w:w="3408"/>
            <w:tcMar>
              <w:top w:w="50" w:type="dxa"/>
              <w:start w:w="75" w:type="dxa"/>
              <w:bottom w:w="50" w:type="dxa"/>
              <w:end w:w="75" w:type="dxa"/>
            </w:tcMar>
          </w:tcPr>
          <w:p>
            <w:r>
              <w:rPr>
                <w:rFonts w:ascii="Noto Sans" w:hAnsi="Noto Sans" w:eastAsia="Noto Sans CJK JP"/>
                <w:sz w:val="15"/>
              </w:rPr>
              <w:t>Style écrit</w:t>
            </w:r>
          </w:p>
        </w:tc>
        <w:tc>
          <w:tcPr>
            <w:tcW w:type="dxa" w:w="3408"/>
            <w:tcMar>
              <w:top w:w="50" w:type="dxa"/>
              <w:start w:w="75" w:type="dxa"/>
              <w:bottom w:w="50" w:type="dxa"/>
              <w:end w:w="75" w:type="dxa"/>
            </w:tcMar>
          </w:tcPr>
          <w:p>
            <w:r>
              <w:rPr>
                <w:rFonts w:ascii="Noto Sans" w:hAnsi="Noto Sans" w:eastAsia="Noto Sans CJK JP"/>
                <w:sz w:val="15"/>
              </w:rPr>
              <w:t>です/ます vs だ/である, nominalisation.</w:t>
            </w:r>
          </w:p>
        </w:tc>
      </w:tr>
      <w:tr>
        <w:trPr>
          <w:cantSplit/>
        </w:trPr>
        <w:tc>
          <w:tcPr>
            <w:tcW w:type="dxa" w:w="3408"/>
            <w:tcMar>
              <w:top w:w="50" w:type="dxa"/>
              <w:start w:w="75" w:type="dxa"/>
              <w:bottom w:w="50" w:type="dxa"/>
              <w:end w:w="75" w:type="dxa"/>
            </w:tcMar>
          </w:tcPr>
          <w:p>
            <w:r>
              <w:rPr>
                <w:rFonts w:ascii="Noto Sans" w:hAnsi="Noto Sans" w:eastAsia="Noto Sans CJK JP"/>
                <w:sz w:val="15"/>
              </w:rPr>
              <w:t>6I</w:t>
            </w:r>
          </w:p>
        </w:tc>
        <w:tc>
          <w:tcPr>
            <w:tcW w:type="dxa" w:w="3408"/>
            <w:tcMar>
              <w:top w:w="50" w:type="dxa"/>
              <w:start w:w="75" w:type="dxa"/>
              <w:bottom w:w="50" w:type="dxa"/>
              <w:end w:w="75" w:type="dxa"/>
            </w:tcMar>
          </w:tcPr>
          <w:p>
            <w:r>
              <w:rPr>
                <w:rFonts w:ascii="Noto Sans" w:hAnsi="Noto Sans" w:eastAsia="Noto Sans CJK JP"/>
                <w:sz w:val="15"/>
              </w:rPr>
              <w:t>Connecteurs</w:t>
            </w:r>
          </w:p>
        </w:tc>
        <w:tc>
          <w:tcPr>
            <w:tcW w:type="dxa" w:w="3408"/>
            <w:tcMar>
              <w:top w:w="50" w:type="dxa"/>
              <w:start w:w="75" w:type="dxa"/>
              <w:bottom w:w="50" w:type="dxa"/>
              <w:end w:w="75" w:type="dxa"/>
            </w:tcMar>
          </w:tcPr>
          <w:p>
            <w:r>
              <w:rPr>
                <w:rFonts w:ascii="Noto Sans" w:hAnsi="Noto Sans" w:eastAsia="Noto Sans CJK JP"/>
                <w:sz w:val="15"/>
              </w:rPr>
              <w:t>architecture d'un texte argumentatif.</w:t>
            </w:r>
          </w:p>
        </w:tc>
      </w:tr>
      <w:tr>
        <w:trPr>
          <w:cantSplit/>
        </w:trPr>
        <w:tc>
          <w:tcPr>
            <w:tcW w:type="dxa" w:w="3408"/>
            <w:tcMar>
              <w:top w:w="50" w:type="dxa"/>
              <w:start w:w="75" w:type="dxa"/>
              <w:bottom w:w="50" w:type="dxa"/>
              <w:end w:w="75" w:type="dxa"/>
            </w:tcMar>
          </w:tcPr>
          <w:p>
            <w:r>
              <w:rPr>
                <w:rFonts w:ascii="Noto Sans" w:hAnsi="Noto Sans" w:eastAsia="Noto Sans CJK JP"/>
                <w:sz w:val="15"/>
              </w:rPr>
              <w:t>6J</w:t>
            </w:r>
          </w:p>
        </w:tc>
        <w:tc>
          <w:tcPr>
            <w:tcW w:type="dxa" w:w="3408"/>
            <w:tcMar>
              <w:top w:w="50" w:type="dxa"/>
              <w:start w:w="75" w:type="dxa"/>
              <w:bottom w:w="50" w:type="dxa"/>
              <w:end w:w="75" w:type="dxa"/>
            </w:tcMar>
          </w:tcPr>
          <w:p>
            <w:r>
              <w:rPr>
                <w:rFonts w:ascii="Noto Sans" w:hAnsi="Noto Sans" w:eastAsia="Noto Sans CJK JP"/>
                <w:sz w:val="15"/>
              </w:rPr>
              <w:t>Argumentation</w:t>
            </w:r>
          </w:p>
        </w:tc>
        <w:tc>
          <w:tcPr>
            <w:tcW w:type="dxa" w:w="3408"/>
            <w:tcMar>
              <w:top w:w="50" w:type="dxa"/>
              <w:start w:w="75" w:type="dxa"/>
              <w:bottom w:w="50" w:type="dxa"/>
              <w:end w:w="75" w:type="dxa"/>
            </w:tcMar>
          </w:tcPr>
          <w:p>
            <w:r>
              <w:rPr>
                <w:rFonts w:ascii="Noto Sans" w:hAnsi="Noto Sans" w:eastAsia="Noto Sans CJK JP"/>
                <w:sz w:val="15"/>
              </w:rPr>
              <w:t>thèse, raisons, exemples, objections, conclusion.</w:t>
            </w:r>
          </w:p>
        </w:tc>
      </w:tr>
      <w:tr>
        <w:trPr>
          <w:cantSplit/>
        </w:trPr>
        <w:tc>
          <w:tcPr>
            <w:tcW w:type="dxa" w:w="3408"/>
            <w:tcMar>
              <w:top w:w="50" w:type="dxa"/>
              <w:start w:w="75" w:type="dxa"/>
              <w:bottom w:w="50" w:type="dxa"/>
              <w:end w:w="75" w:type="dxa"/>
            </w:tcMar>
          </w:tcPr>
          <w:p>
            <w:r>
              <w:rPr>
                <w:rFonts w:ascii="Noto Sans" w:hAnsi="Noto Sans" w:eastAsia="Noto Sans CJK JP"/>
                <w:sz w:val="15"/>
              </w:rPr>
              <w:t>6K</w:t>
            </w:r>
          </w:p>
        </w:tc>
        <w:tc>
          <w:tcPr>
            <w:tcW w:type="dxa" w:w="3408"/>
            <w:tcMar>
              <w:top w:w="50" w:type="dxa"/>
              <w:start w:w="75" w:type="dxa"/>
              <w:bottom w:w="50" w:type="dxa"/>
              <w:end w:w="75" w:type="dxa"/>
            </w:tcMar>
          </w:tcPr>
          <w:p>
            <w:r>
              <w:rPr>
                <w:rFonts w:ascii="Noto Sans" w:hAnsi="Noto Sans" w:eastAsia="Noto Sans CJK JP"/>
                <w:sz w:val="15"/>
              </w:rPr>
              <w:t>Reformulation</w:t>
            </w:r>
          </w:p>
        </w:tc>
        <w:tc>
          <w:tcPr>
            <w:tcW w:type="dxa" w:w="3408"/>
            <w:tcMar>
              <w:top w:w="50" w:type="dxa"/>
              <w:start w:w="75" w:type="dxa"/>
              <w:bottom w:w="50" w:type="dxa"/>
              <w:end w:w="75" w:type="dxa"/>
            </w:tcMar>
          </w:tcPr>
          <w:p>
            <w:r>
              <w:rPr>
                <w:rFonts w:ascii="Noto Sans" w:hAnsi="Noto Sans" w:eastAsia="Noto Sans CJK JP"/>
                <w:sz w:val="15"/>
              </w:rPr>
              <w:t>définition, paraphrase, stratégie de communication.</w:t>
            </w:r>
          </w:p>
        </w:tc>
      </w:tr>
      <w:tr>
        <w:trPr>
          <w:cantSplit/>
        </w:trPr>
        <w:tc>
          <w:tcPr>
            <w:tcW w:type="dxa" w:w="3408"/>
            <w:tcMar>
              <w:top w:w="50" w:type="dxa"/>
              <w:start w:w="75" w:type="dxa"/>
              <w:bottom w:w="50" w:type="dxa"/>
              <w:end w:w="75" w:type="dxa"/>
            </w:tcMar>
          </w:tcPr>
          <w:p>
            <w:r>
              <w:rPr>
                <w:rFonts w:ascii="Noto Sans" w:hAnsi="Noto Sans" w:eastAsia="Noto Sans CJK JP"/>
                <w:sz w:val="15"/>
              </w:rPr>
              <w:t>6L</w:t>
            </w:r>
          </w:p>
        </w:tc>
        <w:tc>
          <w:tcPr>
            <w:tcW w:type="dxa" w:w="3408"/>
            <w:tcMar>
              <w:top w:w="50" w:type="dxa"/>
              <w:start w:w="75" w:type="dxa"/>
              <w:bottom w:w="50" w:type="dxa"/>
              <w:end w:w="75" w:type="dxa"/>
            </w:tcMar>
          </w:tcPr>
          <w:p>
            <w:r>
              <w:rPr>
                <w:rFonts w:ascii="Noto Sans" w:hAnsi="Noto Sans" w:eastAsia="Noto Sans CJK JP"/>
                <w:sz w:val="15"/>
              </w:rPr>
              <w:t>Keigo 1</w:t>
            </w:r>
          </w:p>
        </w:tc>
        <w:tc>
          <w:tcPr>
            <w:tcW w:type="dxa" w:w="3408"/>
            <w:tcMar>
              <w:top w:w="50" w:type="dxa"/>
              <w:start w:w="75" w:type="dxa"/>
              <w:bottom w:w="50" w:type="dxa"/>
              <w:end w:w="75" w:type="dxa"/>
            </w:tcMar>
          </w:tcPr>
          <w:p>
            <w:r>
              <w:rPr>
                <w:rFonts w:ascii="Noto Sans" w:hAnsi="Noto Sans" w:eastAsia="Noto Sans CJK JP"/>
                <w:sz w:val="15"/>
              </w:rPr>
              <w:t>teineigo / sonkeigo / kenjogo.</w:t>
            </w:r>
          </w:p>
        </w:tc>
      </w:tr>
      <w:tr>
        <w:trPr>
          <w:cantSplit/>
        </w:trPr>
        <w:tc>
          <w:tcPr>
            <w:tcW w:type="dxa" w:w="3408"/>
            <w:tcMar>
              <w:top w:w="50" w:type="dxa"/>
              <w:start w:w="75" w:type="dxa"/>
              <w:bottom w:w="50" w:type="dxa"/>
              <w:end w:w="75" w:type="dxa"/>
            </w:tcMar>
          </w:tcPr>
          <w:p>
            <w:r>
              <w:rPr>
                <w:rFonts w:ascii="Noto Sans" w:hAnsi="Noto Sans" w:eastAsia="Noto Sans CJK JP"/>
                <w:sz w:val="15"/>
              </w:rPr>
              <w:t>6M</w:t>
            </w:r>
          </w:p>
        </w:tc>
        <w:tc>
          <w:tcPr>
            <w:tcW w:type="dxa" w:w="3408"/>
            <w:tcMar>
              <w:top w:w="50" w:type="dxa"/>
              <w:start w:w="75" w:type="dxa"/>
              <w:bottom w:w="50" w:type="dxa"/>
              <w:end w:w="75" w:type="dxa"/>
            </w:tcMar>
          </w:tcPr>
          <w:p>
            <w:r>
              <w:rPr>
                <w:rFonts w:ascii="Noto Sans" w:hAnsi="Noto Sans" w:eastAsia="Noto Sans CJK JP"/>
                <w:sz w:val="15"/>
              </w:rPr>
              <w:t>Keigo 2</w:t>
            </w:r>
          </w:p>
        </w:tc>
        <w:tc>
          <w:tcPr>
            <w:tcW w:type="dxa" w:w="3408"/>
            <w:tcMar>
              <w:top w:w="50" w:type="dxa"/>
              <w:start w:w="75" w:type="dxa"/>
              <w:bottom w:w="50" w:type="dxa"/>
              <w:end w:w="75" w:type="dxa"/>
            </w:tcMar>
          </w:tcPr>
          <w:p>
            <w:r>
              <w:rPr>
                <w:rFonts w:ascii="Noto Sans" w:hAnsi="Noto Sans" w:eastAsia="Noto Sans CJK JP"/>
                <w:sz w:val="15"/>
              </w:rPr>
              <w:t>uchi/soto, constructions et verbes spéciaux.</w:t>
            </w:r>
          </w:p>
        </w:tc>
      </w:tr>
      <w:tr>
        <w:trPr>
          <w:cantSplit/>
        </w:trPr>
        <w:tc>
          <w:tcPr>
            <w:tcW w:type="dxa" w:w="3408"/>
            <w:tcMar>
              <w:top w:w="50" w:type="dxa"/>
              <w:start w:w="75" w:type="dxa"/>
              <w:bottom w:w="50" w:type="dxa"/>
              <w:end w:w="75" w:type="dxa"/>
            </w:tcMar>
          </w:tcPr>
          <w:p>
            <w:r>
              <w:rPr>
                <w:rFonts w:ascii="Noto Sans" w:hAnsi="Noto Sans" w:eastAsia="Noto Sans CJK JP"/>
                <w:sz w:val="15"/>
              </w:rPr>
              <w:t>6N</w:t>
            </w:r>
          </w:p>
        </w:tc>
        <w:tc>
          <w:tcPr>
            <w:tcW w:type="dxa" w:w="3408"/>
            <w:tcMar>
              <w:top w:w="50" w:type="dxa"/>
              <w:start w:w="75" w:type="dxa"/>
              <w:bottom w:w="50" w:type="dxa"/>
              <w:end w:w="75" w:type="dxa"/>
            </w:tcMar>
          </w:tcPr>
          <w:p>
            <w:r>
              <w:rPr>
                <w:rFonts w:ascii="Noto Sans" w:hAnsi="Noto Sans" w:eastAsia="Noto Sans CJK JP"/>
                <w:sz w:val="15"/>
              </w:rPr>
              <w:t>Communication pro</w:t>
            </w:r>
          </w:p>
        </w:tc>
        <w:tc>
          <w:tcPr>
            <w:tcW w:type="dxa" w:w="3408"/>
            <w:tcMar>
              <w:top w:w="50" w:type="dxa"/>
              <w:start w:w="75" w:type="dxa"/>
              <w:bottom w:w="50" w:type="dxa"/>
              <w:end w:w="75" w:type="dxa"/>
            </w:tcMar>
          </w:tcPr>
          <w:p>
            <w:r>
              <w:rPr>
                <w:rFonts w:ascii="Noto Sans" w:hAnsi="Noto Sans" w:eastAsia="Noto Sans CJK JP"/>
                <w:sz w:val="15"/>
              </w:rPr>
              <w:t>téléphone, mail, rendez-vous, demande, compte rendu.</w:t>
            </w:r>
          </w:p>
        </w:tc>
      </w:tr>
      <w:tr>
        <w:trPr>
          <w:cantSplit/>
        </w:trPr>
        <w:tc>
          <w:tcPr>
            <w:tcW w:type="dxa" w:w="3408"/>
            <w:tcMar>
              <w:top w:w="50" w:type="dxa"/>
              <w:start w:w="75" w:type="dxa"/>
              <w:bottom w:w="50" w:type="dxa"/>
              <w:end w:w="75" w:type="dxa"/>
            </w:tcMar>
          </w:tcPr>
          <w:p>
            <w:r>
              <w:rPr>
                <w:rFonts w:ascii="Noto Sans" w:hAnsi="Noto Sans" w:eastAsia="Noto Sans CJK JP"/>
                <w:sz w:val="15"/>
              </w:rPr>
              <w:t>6O</w:t>
            </w:r>
          </w:p>
        </w:tc>
        <w:tc>
          <w:tcPr>
            <w:tcW w:type="dxa" w:w="3408"/>
            <w:tcMar>
              <w:top w:w="50" w:type="dxa"/>
              <w:start w:w="75" w:type="dxa"/>
              <w:bottom w:w="50" w:type="dxa"/>
              <w:end w:w="75" w:type="dxa"/>
            </w:tcMar>
          </w:tcPr>
          <w:p>
            <w:r>
              <w:rPr>
                <w:rFonts w:ascii="Noto Sans" w:hAnsi="Noto Sans" w:eastAsia="Noto Sans CJK JP"/>
                <w:sz w:val="15"/>
              </w:rPr>
              <w:t>Lecture avancée</w:t>
            </w:r>
          </w:p>
        </w:tc>
        <w:tc>
          <w:tcPr>
            <w:tcW w:type="dxa" w:w="3408"/>
            <w:tcMar>
              <w:top w:w="50" w:type="dxa"/>
              <w:start w:w="75" w:type="dxa"/>
              <w:bottom w:w="50" w:type="dxa"/>
              <w:end w:w="75" w:type="dxa"/>
            </w:tcMar>
          </w:tcPr>
          <w:p>
            <w:r>
              <w:rPr>
                <w:rFonts w:ascii="Noto Sans" w:hAnsi="Noto Sans" w:eastAsia="Noto Sans CJK JP"/>
                <w:sz w:val="15"/>
              </w:rPr>
              <w:t>articles, commentaires, intention de l'auteur.</w:t>
            </w:r>
          </w:p>
        </w:tc>
      </w:tr>
      <w:tr>
        <w:trPr>
          <w:cantSplit/>
        </w:trPr>
        <w:tc>
          <w:tcPr>
            <w:tcW w:type="dxa" w:w="3408"/>
            <w:tcMar>
              <w:top w:w="50" w:type="dxa"/>
              <w:start w:w="75" w:type="dxa"/>
              <w:bottom w:w="50" w:type="dxa"/>
              <w:end w:w="75" w:type="dxa"/>
            </w:tcMar>
          </w:tcPr>
          <w:p>
            <w:r>
              <w:rPr>
                <w:rFonts w:ascii="Noto Sans" w:hAnsi="Noto Sans" w:eastAsia="Noto Sans CJK JP"/>
                <w:sz w:val="15"/>
              </w:rPr>
              <w:t>6P</w:t>
            </w:r>
          </w:p>
        </w:tc>
        <w:tc>
          <w:tcPr>
            <w:tcW w:type="dxa" w:w="3408"/>
            <w:tcMar>
              <w:top w:w="50" w:type="dxa"/>
              <w:start w:w="75" w:type="dxa"/>
              <w:bottom w:w="50" w:type="dxa"/>
              <w:end w:w="75" w:type="dxa"/>
            </w:tcMar>
          </w:tcPr>
          <w:p>
            <w:r/>
            <w:r>
              <w:rPr>
                <w:rFonts w:ascii="Noto Sans" w:hAnsi="Noto Sans" w:eastAsia="Noto Sans CJK JP"/>
                <w:b w:val="0"/>
                <w:sz w:val="15"/>
              </w:rPr>
              <w:t>Écoute + prosodie</w:t>
            </w:r>
          </w:p>
        </w:tc>
        <w:tc>
          <w:tcPr>
            <w:tcW w:type="dxa" w:w="3408"/>
            <w:tcMar>
              <w:top w:w="50" w:type="dxa"/>
              <w:start w:w="75" w:type="dxa"/>
              <w:bottom w:w="50" w:type="dxa"/>
              <w:end w:w="75" w:type="dxa"/>
            </w:tcMar>
          </w:tcPr>
          <w:p>
            <w:r/>
            <w:r>
              <w:rPr>
                <w:rFonts w:ascii="Noto Sans" w:hAnsi="Noto Sans" w:eastAsia="Noto Sans CJK JP"/>
                <w:b w:val="0"/>
                <w:sz w:val="15"/>
              </w:rPr>
              <w:t>News, interviews, présentations ; débit soutenu, pauses, focalisation et intelligibilité.</w:t>
            </w:r>
          </w:p>
        </w:tc>
      </w:tr>
      <w:tr>
        <w:trPr>
          <w:cantSplit/>
        </w:trPr>
        <w:tc>
          <w:tcPr>
            <w:tcW w:type="dxa" w:w="3408"/>
            <w:tcMar>
              <w:top w:w="50" w:type="dxa"/>
              <w:start w:w="75" w:type="dxa"/>
              <w:bottom w:w="50" w:type="dxa"/>
              <w:end w:w="75" w:type="dxa"/>
            </w:tcMar>
          </w:tcPr>
          <w:p>
            <w:r>
              <w:rPr>
                <w:rFonts w:ascii="Noto Sans" w:hAnsi="Noto Sans" w:eastAsia="Noto Sans CJK JP"/>
                <w:sz w:val="15"/>
              </w:rPr>
              <w:t>6Q</w:t>
            </w:r>
          </w:p>
        </w:tc>
        <w:tc>
          <w:tcPr>
            <w:tcW w:type="dxa" w:w="3408"/>
            <w:tcMar>
              <w:top w:w="50" w:type="dxa"/>
              <w:start w:w="75" w:type="dxa"/>
              <w:bottom w:w="50" w:type="dxa"/>
              <w:end w:w="75" w:type="dxa"/>
            </w:tcMar>
          </w:tcPr>
          <w:p>
            <w:r>
              <w:rPr>
                <w:rFonts w:ascii="Noto Sans" w:hAnsi="Noto Sans" w:eastAsia="Noto Sans CJK JP"/>
                <w:sz w:val="15"/>
              </w:rPr>
              <w:t>Oral argumenté</w:t>
            </w:r>
          </w:p>
        </w:tc>
        <w:tc>
          <w:tcPr>
            <w:tcW w:type="dxa" w:w="3408"/>
            <w:tcMar>
              <w:top w:w="50" w:type="dxa"/>
              <w:start w:w="75" w:type="dxa"/>
              <w:bottom w:w="50" w:type="dxa"/>
              <w:end w:w="75" w:type="dxa"/>
            </w:tcMar>
          </w:tcPr>
          <w:p>
            <w:r>
              <w:rPr>
                <w:rFonts w:ascii="Noto Sans" w:hAnsi="Noto Sans" w:eastAsia="Noto Sans CJK JP"/>
                <w:sz w:val="15"/>
              </w:rPr>
              <w:t>discussion et présentation.</w:t>
            </w:r>
          </w:p>
        </w:tc>
      </w:tr>
      <w:tr>
        <w:trPr>
          <w:cantSplit/>
        </w:trPr>
        <w:tc>
          <w:tcPr>
            <w:tcW w:type="dxa" w:w="3408"/>
            <w:tcMar>
              <w:top w:w="50" w:type="dxa"/>
              <w:start w:w="75" w:type="dxa"/>
              <w:bottom w:w="50" w:type="dxa"/>
              <w:end w:w="75" w:type="dxa"/>
            </w:tcMar>
          </w:tcPr>
          <w:p>
            <w:r>
              <w:rPr>
                <w:rFonts w:ascii="Noto Sans" w:hAnsi="Noto Sans" w:eastAsia="Noto Sans CJK JP"/>
                <w:sz w:val="15"/>
              </w:rPr>
              <w:t>6R</w:t>
            </w:r>
          </w:p>
        </w:tc>
        <w:tc>
          <w:tcPr>
            <w:tcW w:type="dxa" w:w="3408"/>
            <w:tcMar>
              <w:top w:w="50" w:type="dxa"/>
              <w:start w:w="75" w:type="dxa"/>
              <w:bottom w:w="50" w:type="dxa"/>
              <w:end w:w="75" w:type="dxa"/>
            </w:tcMar>
          </w:tcPr>
          <w:p>
            <w:r>
              <w:rPr>
                <w:rFonts w:ascii="Noto Sans" w:hAnsi="Noto Sans" w:eastAsia="Noto Sans CJK JP"/>
                <w:sz w:val="15"/>
              </w:rPr>
              <w:t>Écriture avancée</w:t>
            </w:r>
          </w:p>
        </w:tc>
        <w:tc>
          <w:tcPr>
            <w:tcW w:type="dxa" w:w="3408"/>
            <w:tcMar>
              <w:top w:w="50" w:type="dxa"/>
              <w:start w:w="75" w:type="dxa"/>
              <w:bottom w:w="50" w:type="dxa"/>
              <w:end w:w="75" w:type="dxa"/>
            </w:tcMar>
          </w:tcPr>
          <w:p>
            <w:r>
              <w:rPr>
                <w:rFonts w:ascii="Noto Sans" w:hAnsi="Noto Sans" w:eastAsia="Noto Sans CJK JP"/>
                <w:sz w:val="15"/>
              </w:rPr>
              <w:t>résumé, argumentation, rapport court.</w:t>
            </w:r>
          </w:p>
        </w:tc>
      </w:tr>
      <w:tr>
        <w:trPr>
          <w:cantSplit/>
        </w:trPr>
        <w:tc>
          <w:tcPr>
            <w:tcW w:type="dxa" w:w="3408"/>
            <w:tcMar>
              <w:top w:w="50" w:type="dxa"/>
              <w:start w:w="75" w:type="dxa"/>
              <w:bottom w:w="50" w:type="dxa"/>
              <w:end w:w="75" w:type="dxa"/>
            </w:tcMar>
          </w:tcPr>
          <w:p>
            <w:r>
              <w:rPr>
                <w:rFonts w:ascii="Noto Sans" w:hAnsi="Noto Sans" w:eastAsia="Noto Sans CJK JP"/>
                <w:sz w:val="15"/>
              </w:rPr>
              <w:t>6S</w:t>
            </w:r>
          </w:p>
        </w:tc>
        <w:tc>
          <w:tcPr>
            <w:tcW w:type="dxa" w:w="3408"/>
            <w:tcMar>
              <w:top w:w="50" w:type="dxa"/>
              <w:start w:w="75" w:type="dxa"/>
              <w:bottom w:w="50" w:type="dxa"/>
              <w:end w:w="75" w:type="dxa"/>
            </w:tcMar>
          </w:tcPr>
          <w:p>
            <w:r>
              <w:rPr>
                <w:rFonts w:ascii="Noto Sans" w:hAnsi="Noto Sans" w:eastAsia="Noto Sans CJK JP"/>
                <w:sz w:val="15"/>
              </w:rPr>
              <w:t>Consolidation</w:t>
            </w:r>
          </w:p>
        </w:tc>
        <w:tc>
          <w:tcPr>
            <w:tcW w:type="dxa" w:w="3408"/>
            <w:tcMar>
              <w:top w:w="50" w:type="dxa"/>
              <w:start w:w="75" w:type="dxa"/>
              <w:bottom w:w="50" w:type="dxa"/>
              <w:end w:w="75" w:type="dxa"/>
            </w:tcMar>
          </w:tcPr>
          <w:p>
            <w:r>
              <w:rPr>
                <w:rFonts w:ascii="Noto Sans" w:hAnsi="Noto Sans" w:eastAsia="Noto Sans CJK JP"/>
                <w:sz w:val="15"/>
              </w:rPr>
              <w:t>vocabulaire, kanji, registres et documents authentiques.</w:t>
            </w:r>
          </w:p>
        </w:tc>
      </w:tr>
      <w:tr>
        <w:trPr>
          <w:cantSplit/>
        </w:trPr>
        <w:tc>
          <w:tcPr>
            <w:tcW w:type="dxa" w:w="3408"/>
            <w:tcMar>
              <w:top w:w="50" w:type="dxa"/>
              <w:start w:w="75" w:type="dxa"/>
              <w:bottom w:w="50" w:type="dxa"/>
              <w:end w:w="75" w:type="dxa"/>
            </w:tcMar>
          </w:tcPr>
          <w:p>
            <w:r>
              <w:rPr>
                <w:rFonts w:ascii="Noto Sans" w:hAnsi="Noto Sans" w:eastAsia="Noto Sans CJK JP"/>
                <w:sz w:val="15"/>
              </w:rPr>
              <w:t>6T</w:t>
            </w:r>
          </w:p>
        </w:tc>
        <w:tc>
          <w:tcPr>
            <w:tcW w:type="dxa" w:w="3408"/>
            <w:tcMar>
              <w:top w:w="50" w:type="dxa"/>
              <w:start w:w="75" w:type="dxa"/>
              <w:bottom w:w="50" w:type="dxa"/>
              <w:end w:w="75" w:type="dxa"/>
            </w:tcMar>
          </w:tcPr>
          <w:p>
            <w:r>
              <w:rPr>
                <w:rFonts w:ascii="Noto Sans" w:hAnsi="Noto Sans" w:eastAsia="Noto Sans CJK JP"/>
                <w:sz w:val="15"/>
              </w:rPr>
              <w:t>Évaluation finale</w:t>
            </w:r>
          </w:p>
        </w:tc>
        <w:tc>
          <w:tcPr>
            <w:tcW w:type="dxa" w:w="3408"/>
            <w:tcMar>
              <w:top w:w="50" w:type="dxa"/>
              <w:start w:w="75" w:type="dxa"/>
              <w:bottom w:w="50" w:type="dxa"/>
              <w:end w:w="75" w:type="dxa"/>
            </w:tcMar>
          </w:tcPr>
          <w:p>
            <w:r>
              <w:rPr>
                <w:rFonts w:ascii="Noto Sans" w:hAnsi="Noto Sans" w:eastAsia="Noto Sans CJK JP"/>
                <w:sz w:val="15"/>
              </w:rPr>
              <w:t>dossier multi-compétences sur un sujet général complexe.</w:t>
            </w:r>
          </w:p>
        </w:tc>
      </w:tr>
    </w:tbl>
    <w:tbl>
      <w:tblPr>
        <w:tblW w:type="auto" w:w="0"/>
        <w:jc w:val="center"/>
        <w:tblLook w:firstColumn="1" w:firstRow="1" w:lastColumn="0" w:lastRow="0" w:noHBand="0" w:noVBand="1" w:val="04A0"/>
      </w:tblPr>
      <w:tblGrid>
        <w:gridCol w:w="10224"/>
      </w:tblGrid>
      <w:tr>
        <w:trPr>
          <w:cantSplit/>
        </w:trPr>
        <w:tc>
          <w:tcPr>
            <w:tcW w:type="dxa" w:w="10224"/>
            <w:shd w:fill="F3F3F3"/>
            <w:tcMar>
              <w:top w:w="105" w:type="dxa"/>
              <w:start w:w="135" w:type="dxa"/>
              <w:bottom w:w="105" w:type="dxa"/>
              <w:end w:w="135" w:type="dxa"/>
            </w:tcMar>
          </w:tcPr>
          <w:p>
            <w:pPr>
              <w:spacing w:after="60"/>
            </w:pPr>
            <w:r>
              <w:rPr>
                <w:rFonts w:ascii="Noto Sans" w:hAnsi="Noto Sans" w:eastAsia="Noto Sans CJK JP"/>
                <w:b/>
                <w:sz w:val="20"/>
              </w:rPr>
              <w:t>Important</w:t>
            </w:r>
          </w:p>
          <w:p>
            <w:pPr>
              <w:spacing w:after="0"/>
            </w:pPr>
            <w:r>
              <w:rPr>
                <w:rFonts w:ascii="Noto Sans" w:hAnsi="Noto Sans" w:eastAsia="Noto Sans CJK JP"/>
                <w:sz w:val="19"/>
              </w:rPr>
              <w:t>L'étape 6 sera probablement beaucoup plus longue que les premieres étapes. Elle doit alterner grammaire fonctionnelle, documents authentiques, production et interaction. Une succession de 100 lecons de grammaire serait contraire à l'objectif.</w:t>
            </w:r>
          </w:p>
        </w:tc>
      </w:tr>
    </w:tbl>
    <w:p>
      <w:pPr>
        <w:spacing w:after="0"/>
      </w:pPr>
    </w:p>
    <w:p>
      <w:pPr>
        <w:pStyle w:val="Heading1"/>
      </w:pPr>
      <w:r>
        <w:t>27. Compétences à évaluer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Compétence</w:t>
            </w:r>
          </w:p>
        </w:tc>
        <w:tc>
          <w:tcPr>
            <w:tcW w:type="dxa" w:w="3408"/>
            <w:shd w:fill="DCEAF0"/>
            <w:tcMar>
              <w:top w:w="65" w:type="dxa"/>
              <w:start w:w="90" w:type="dxa"/>
              <w:bottom w:w="65" w:type="dxa"/>
              <w:end w:w="90" w:type="dxa"/>
            </w:tcMar>
          </w:tcPr>
          <w:p>
            <w:r>
              <w:rPr>
                <w:rFonts w:ascii="Noto Sans" w:hAnsi="Noto Sans" w:eastAsia="Noto Sans CJK JP"/>
                <w:b/>
                <w:sz w:val="17"/>
              </w:rPr>
              <w:t>Exemple d'exercice</w:t>
            </w:r>
          </w:p>
        </w:tc>
        <w:tc>
          <w:tcPr>
            <w:tcW w:type="dxa" w:w="3408"/>
            <w:shd w:fill="DCEAF0"/>
            <w:tcMar>
              <w:top w:w="65" w:type="dxa"/>
              <w:start w:w="90" w:type="dxa"/>
              <w:bottom w:w="65" w:type="dxa"/>
              <w:end w:w="90" w:type="dxa"/>
            </w:tcMar>
          </w:tcPr>
          <w:p>
            <w:r>
              <w:rPr>
                <w:rFonts w:ascii="Noto Sans" w:hAnsi="Noto Sans" w:eastAsia="Noto Sans CJK JP"/>
                <w:b/>
                <w:sz w:val="17"/>
              </w:rPr>
              <w:t>Obligatoire ?</w:t>
            </w:r>
          </w:p>
        </w:tc>
      </w:tr>
      <w:tr>
        <w:trPr>
          <w:cantSplit/>
        </w:trPr>
        <w:tc>
          <w:tcPr>
            <w:tcW w:type="dxa" w:w="3408"/>
            <w:tcMar>
              <w:top w:w="50" w:type="dxa"/>
              <w:start w:w="75" w:type="dxa"/>
              <w:bottom w:w="50" w:type="dxa"/>
              <w:end w:w="75" w:type="dxa"/>
            </w:tcMar>
          </w:tcPr>
          <w:p>
            <w:r>
              <w:rPr>
                <w:rFonts w:ascii="Noto Sans" w:hAnsi="Noto Sans" w:eastAsia="Noto Sans CJK JP"/>
                <w:sz w:val="15"/>
              </w:rPr>
              <w:t>Modalité</w:t>
            </w:r>
          </w:p>
        </w:tc>
        <w:tc>
          <w:tcPr>
            <w:tcW w:type="dxa" w:w="3408"/>
            <w:tcMar>
              <w:top w:w="50" w:type="dxa"/>
              <w:start w:w="75" w:type="dxa"/>
              <w:bottom w:w="50" w:type="dxa"/>
              <w:end w:w="75" w:type="dxa"/>
            </w:tcMar>
          </w:tcPr>
          <w:p>
            <w:r/>
            <w:r>
              <w:rPr>
                <w:rFonts w:ascii="Noto Sans" w:hAnsi="Noto Sans" w:eastAsia="Noto Sans CJK JP"/>
                <w:b w:val="0"/>
                <w:sz w:val="15"/>
              </w:rPr>
              <w:t>Comparer plusieurs formes selon nuance, registre, restriction et force argumentative</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Concession</w:t>
            </w:r>
          </w:p>
        </w:tc>
        <w:tc>
          <w:tcPr>
            <w:tcW w:type="dxa" w:w="3408"/>
            <w:tcMar>
              <w:top w:w="50" w:type="dxa"/>
              <w:start w:w="75" w:type="dxa"/>
              <w:bottom w:w="50" w:type="dxa"/>
              <w:end w:w="75" w:type="dxa"/>
            </w:tcMar>
          </w:tcPr>
          <w:p>
            <w:r>
              <w:rPr>
                <w:rFonts w:ascii="Noto Sans" w:hAnsi="Noto Sans" w:eastAsia="Noto Sans CJK JP"/>
                <w:sz w:val="15"/>
              </w:rPr>
              <w:t>Choisir une structure adaptée au registre</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Connecteurs</w:t>
            </w:r>
          </w:p>
        </w:tc>
        <w:tc>
          <w:tcPr>
            <w:tcW w:type="dxa" w:w="3408"/>
            <w:tcMar>
              <w:top w:w="50" w:type="dxa"/>
              <w:start w:w="75" w:type="dxa"/>
              <w:bottom w:w="50" w:type="dxa"/>
              <w:end w:w="75" w:type="dxa"/>
            </w:tcMar>
          </w:tcPr>
          <w:p>
            <w:r>
              <w:rPr>
                <w:rFonts w:ascii="Noto Sans" w:hAnsi="Noto Sans" w:eastAsia="Noto Sans CJK JP"/>
                <w:sz w:val="15"/>
              </w:rPr>
              <w:t>Reconstruire la logique d'un texte</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Lecture</w:t>
            </w:r>
          </w:p>
        </w:tc>
        <w:tc>
          <w:tcPr>
            <w:tcW w:type="dxa" w:w="3408"/>
            <w:tcMar>
              <w:top w:w="50" w:type="dxa"/>
              <w:start w:w="75" w:type="dxa"/>
              <w:bottom w:w="50" w:type="dxa"/>
              <w:end w:w="75" w:type="dxa"/>
            </w:tcMar>
          </w:tcPr>
          <w:p>
            <w:r>
              <w:rPr>
                <w:rFonts w:ascii="Noto Sans" w:hAnsi="Noto Sans" w:eastAsia="Noto Sans CJK JP"/>
                <w:sz w:val="15"/>
              </w:rPr>
              <w:t>Identifier thèse, argument, contre-argument, conclusion</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Écoute</w:t>
            </w:r>
          </w:p>
        </w:tc>
        <w:tc>
          <w:tcPr>
            <w:tcW w:type="dxa" w:w="3408"/>
            <w:tcMar>
              <w:top w:w="50" w:type="dxa"/>
              <w:start w:w="75" w:type="dxa"/>
              <w:bottom w:w="50" w:type="dxa"/>
              <w:end w:w="75" w:type="dxa"/>
            </w:tcMar>
          </w:tcPr>
          <w:p>
            <w:r>
              <w:rPr>
                <w:rFonts w:ascii="Noto Sans" w:hAnsi="Noto Sans" w:eastAsia="Noto Sans CJK JP"/>
                <w:sz w:val="15"/>
              </w:rPr>
              <w:t>Résumer une intervention longue</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Argumentation</w:t>
            </w:r>
          </w:p>
        </w:tc>
        <w:tc>
          <w:tcPr>
            <w:tcW w:type="dxa" w:w="3408"/>
            <w:tcMar>
              <w:top w:w="50" w:type="dxa"/>
              <w:start w:w="75" w:type="dxa"/>
              <w:bottom w:w="50" w:type="dxa"/>
              <w:end w:w="75" w:type="dxa"/>
            </w:tcMar>
          </w:tcPr>
          <w:p>
            <w:r>
              <w:rPr>
                <w:rFonts w:ascii="Noto Sans" w:hAnsi="Noto Sans" w:eastAsia="Noto Sans CJK JP"/>
                <w:sz w:val="15"/>
              </w:rPr>
              <w:t>Défendre une position et répondre à une objection</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Reformulation</w:t>
            </w:r>
          </w:p>
        </w:tc>
        <w:tc>
          <w:tcPr>
            <w:tcW w:type="dxa" w:w="3408"/>
            <w:tcMar>
              <w:top w:w="50" w:type="dxa"/>
              <w:start w:w="75" w:type="dxa"/>
              <w:bottom w:w="50" w:type="dxa"/>
              <w:end w:w="75" w:type="dxa"/>
            </w:tcMar>
          </w:tcPr>
          <w:p>
            <w:r>
              <w:rPr>
                <w:rFonts w:ascii="Noto Sans" w:hAnsi="Noto Sans" w:eastAsia="Noto Sans CJK JP"/>
                <w:sz w:val="15"/>
              </w:rPr>
              <w:t>Expliquer autrement une notion inconnue</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Keigo</w:t>
            </w:r>
          </w:p>
        </w:tc>
        <w:tc>
          <w:tcPr>
            <w:tcW w:type="dxa" w:w="3408"/>
            <w:tcMar>
              <w:top w:w="50" w:type="dxa"/>
              <w:start w:w="75" w:type="dxa"/>
              <w:bottom w:w="50" w:type="dxa"/>
              <w:end w:w="75" w:type="dxa"/>
            </w:tcMar>
          </w:tcPr>
          <w:p>
            <w:r>
              <w:rPr>
                <w:rFonts w:ascii="Noto Sans" w:hAnsi="Noto Sans" w:eastAsia="Noto Sans CJK JP"/>
                <w:sz w:val="15"/>
              </w:rPr>
              <w:t>Choisir sonkeigo / kenjogo selon la relation</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Professionnel</w:t>
            </w:r>
          </w:p>
        </w:tc>
        <w:tc>
          <w:tcPr>
            <w:tcW w:type="dxa" w:w="3408"/>
            <w:tcMar>
              <w:top w:w="50" w:type="dxa"/>
              <w:start w:w="75" w:type="dxa"/>
              <w:bottom w:w="50" w:type="dxa"/>
              <w:end w:w="75" w:type="dxa"/>
            </w:tcMar>
          </w:tcPr>
          <w:p>
            <w:r>
              <w:rPr>
                <w:rFonts w:ascii="Noto Sans" w:hAnsi="Noto Sans" w:eastAsia="Noto Sans CJK JP"/>
                <w:sz w:val="15"/>
              </w:rPr>
              <w:t>Rédiger un mail ou gérer une interaction simple</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Registre</w:t>
            </w:r>
          </w:p>
        </w:tc>
        <w:tc>
          <w:tcPr>
            <w:tcW w:type="dxa" w:w="3408"/>
            <w:tcMar>
              <w:top w:w="50" w:type="dxa"/>
              <w:start w:w="75" w:type="dxa"/>
              <w:bottom w:w="50" w:type="dxa"/>
              <w:end w:w="75" w:type="dxa"/>
            </w:tcMar>
          </w:tcPr>
          <w:p>
            <w:r>
              <w:rPr>
                <w:rFonts w:ascii="Noto Sans" w:hAnsi="Noto Sans" w:eastAsia="Noto Sans CJK JP"/>
                <w:sz w:val="15"/>
              </w:rPr>
              <w:t>Adapter oral/écrit, neutre/poli/formel</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Kanji</w:t>
            </w:r>
          </w:p>
        </w:tc>
        <w:tc>
          <w:tcPr>
            <w:tcW w:type="dxa" w:w="3408"/>
            <w:tcMar>
              <w:top w:w="50" w:type="dxa"/>
              <w:start w:w="75" w:type="dxa"/>
              <w:bottom w:w="50" w:type="dxa"/>
              <w:end w:w="75" w:type="dxa"/>
            </w:tcMar>
          </w:tcPr>
          <w:p>
            <w:r>
              <w:rPr>
                <w:rFonts w:ascii="Noto Sans" w:hAnsi="Noto Sans" w:eastAsia="Noto Sans CJK JP"/>
                <w:sz w:val="15"/>
              </w:rPr>
              <w:t>Lire du vocabulaire composé en contexte</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Production écrite</w:t>
            </w:r>
          </w:p>
        </w:tc>
        <w:tc>
          <w:tcPr>
            <w:tcW w:type="dxa" w:w="3408"/>
            <w:tcMar>
              <w:top w:w="50" w:type="dxa"/>
              <w:start w:w="75" w:type="dxa"/>
              <w:bottom w:w="50" w:type="dxa"/>
              <w:end w:w="75" w:type="dxa"/>
            </w:tcMar>
          </w:tcPr>
          <w:p>
            <w:r>
              <w:rPr>
                <w:rFonts w:ascii="Noto Sans" w:hAnsi="Noto Sans" w:eastAsia="Noto Sans CJK JP"/>
                <w:sz w:val="15"/>
              </w:rPr>
              <w:t>Rédiger texte structuré et cohérent</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Production orale</w:t>
            </w:r>
          </w:p>
        </w:tc>
        <w:tc>
          <w:tcPr>
            <w:tcW w:type="dxa" w:w="3408"/>
            <w:tcMar>
              <w:top w:w="50" w:type="dxa"/>
              <w:start w:w="75" w:type="dxa"/>
              <w:bottom w:w="50" w:type="dxa"/>
              <w:end w:w="75" w:type="dxa"/>
            </w:tcMar>
          </w:tcPr>
          <w:p>
            <w:r>
              <w:rPr>
                <w:rFonts w:ascii="Noto Sans" w:hAnsi="Noto Sans" w:eastAsia="Noto Sans CJK JP"/>
                <w:sz w:val="15"/>
              </w:rPr>
              <w:t>Présentation + questions</w:t>
            </w:r>
          </w:p>
        </w:tc>
        <w:tc>
          <w:tcPr>
            <w:tcW w:type="dxa" w:w="3408"/>
            <w:tcMar>
              <w:top w:w="50" w:type="dxa"/>
              <w:start w:w="75" w:type="dxa"/>
              <w:bottom w:w="50" w:type="dxa"/>
              <w:end w:w="75" w:type="dxa"/>
            </w:tcMar>
          </w:tcPr>
          <w:p>
            <w:r>
              <w:rPr>
                <w:rFonts w:ascii="Noto Sans" w:hAnsi="Noto Sans" w:eastAsia="Noto Sans CJK JP"/>
                <w:sz w:val="15"/>
              </w:rPr>
              <w:t>Oui</w:t>
            </w:r>
          </w:p>
        </w:tc>
      </w:tr>
      <w:tr>
        <w:trPr>
          <w:cantSplit/>
        </w:trPr>
        <w:tc>
          <w:tcPr>
            <w:tcW w:type="dxa" w:w="3408"/>
            <w:tcMar>
              <w:top w:w="50" w:type="dxa"/>
              <w:start w:w="75" w:type="dxa"/>
              <w:bottom w:w="50" w:type="dxa"/>
              <w:end w:w="75" w:type="dxa"/>
            </w:tcMar>
          </w:tcPr>
          <w:p>
            <w:r>
              <w:rPr>
                <w:rFonts w:ascii="Noto Sans" w:hAnsi="Noto Sans" w:eastAsia="Noto Sans CJK JP"/>
                <w:sz w:val="15"/>
              </w:rPr>
              <w:t>Écriture manuscrite</w:t>
            </w:r>
          </w:p>
        </w:tc>
        <w:tc>
          <w:tcPr>
            <w:tcW w:type="dxa" w:w="3408"/>
            <w:tcMar>
              <w:top w:w="50" w:type="dxa"/>
              <w:start w:w="75" w:type="dxa"/>
              <w:bottom w:w="50" w:type="dxa"/>
              <w:end w:w="75" w:type="dxa"/>
            </w:tcMar>
          </w:tcPr>
          <w:p>
            <w:r/>
            <w:r>
              <w:rPr>
                <w:rFonts w:ascii="Noto Sans" w:hAnsi="Noto Sans" w:eastAsia="Noto Sans CJK JP"/>
                <w:b w:val="0"/>
                <w:sz w:val="15"/>
              </w:rPr>
              <w:t>Tracer les kanji à la main (la production écrite saisie reste obligatoire)</w:t>
            </w:r>
          </w:p>
        </w:tc>
        <w:tc>
          <w:tcPr>
            <w:tcW w:type="dxa" w:w="3408"/>
            <w:tcMar>
              <w:top w:w="50" w:type="dxa"/>
              <w:start w:w="75" w:type="dxa"/>
              <w:bottom w:w="50" w:type="dxa"/>
              <w:end w:w="75" w:type="dxa"/>
            </w:tcMar>
          </w:tcPr>
          <w:p>
            <w:r>
              <w:rPr>
                <w:rFonts w:ascii="Noto Sans" w:hAnsi="Noto Sans" w:eastAsia="Noto Sans CJK JP"/>
                <w:sz w:val="15"/>
              </w:rPr>
              <w:t>Non</w:t>
            </w:r>
          </w:p>
        </w:tc>
      </w:tr>
      <w:tr>
        <w:tc>
          <w:tcPr>
            <w:tcW w:type="dxa" w:w="3408"/>
          </w:tcPr>
          <w:p>
            <w:r/>
            <w:r>
              <w:rPr>
                <w:rFonts w:ascii="Noto Sans" w:hAnsi="Noto Sans" w:eastAsia="Noto Sans CJK JP"/>
                <w:b w:val="0"/>
                <w:sz w:val="15"/>
              </w:rPr>
              <w:t>Prononciation / prosodie</w:t>
            </w:r>
          </w:p>
        </w:tc>
        <w:tc>
          <w:tcPr>
            <w:tcW w:type="dxa" w:w="3408"/>
          </w:tcPr>
          <w:p>
            <w:r/>
            <w:r>
              <w:rPr>
                <w:rFonts w:ascii="Noto Sans" w:hAnsi="Noto Sans" w:eastAsia="Noto Sans CJK JP"/>
                <w:b w:val="0"/>
                <w:sz w:val="15"/>
              </w:rPr>
              <w:t>Présenter plusieurs minutes avec rythme, pauses et intonation intelligibles</w:t>
            </w:r>
          </w:p>
        </w:tc>
        <w:tc>
          <w:tcPr>
            <w:tcW w:type="dxa" w:w="3408"/>
          </w:tcPr>
          <w:p>
            <w:r/>
            <w:r>
              <w:rPr>
                <w:rFonts w:ascii="Noto Sans" w:hAnsi="Noto Sans" w:eastAsia="Noto Sans CJK JP"/>
                <w:b w:val="0"/>
                <w:sz w:val="15"/>
              </w:rPr>
              <w:t>Oui</w:t>
            </w:r>
          </w:p>
        </w:tc>
      </w:tr>
    </w:tbl>
    <w:p>
      <w:pPr>
        <w:pStyle w:val="Heading1"/>
      </w:pPr>
      <w:r>
        <w:t>28. Critères de validation de l'étape 6</w:t>
      </w:r>
    </w:p>
    <w:p>
      <w:r>
        <w:rPr>
          <w:rFonts w:ascii="Noto Sans" w:hAnsi="Noto Sans" w:eastAsia="Noto Sans CJK JP"/>
          <w:sz w:val="20"/>
        </w:rPr>
        <w:t>Les seuils numériques seront définis dans les missions. À ce niveau, les évaluations devront être plus longues et moins prévisibles afin de mesurer l'autonomie.</w:t>
      </w:r>
    </w:p>
    <w:p>
      <w:pPr>
        <w:pStyle w:val="ListBullet"/>
        <w:spacing w:after="40"/>
      </w:pPr>
      <w:r>
        <w:rPr>
          <w:rFonts w:ascii="Noto Sans" w:hAnsi="Noto Sans" w:eastAsia="Noto Sans CJK JP"/>
          <w:sz w:val="19"/>
        </w:rPr>
        <w:t>l'utilisateur compare les modalités déjà connues selon nuance, registre et force argumentative, et utilise ～に違いない de façon productive dans les contextes étudiés ;</w:t>
      </w:r>
    </w:p>
    <w:p>
      <w:pPr>
        <w:pStyle w:val="ListBullet"/>
        <w:spacing w:after="40"/>
      </w:pPr>
      <w:r>
        <w:rPr>
          <w:rFonts w:ascii="Noto Sans" w:hAnsi="Noto Sans" w:eastAsia="Noto Sans CJK JP"/>
          <w:sz w:val="19"/>
        </w:rPr>
        <w:t>il peut organisér une argumentation orale ou écrite cohérente ;</w:t>
      </w:r>
    </w:p>
    <w:p>
      <w:pPr>
        <w:pStyle w:val="ListBullet"/>
        <w:spacing w:after="40"/>
      </w:pPr>
      <w:r>
        <w:rPr>
          <w:rFonts w:ascii="Noto Sans" w:hAnsi="Noto Sans" w:eastAsia="Noto Sans CJK JP"/>
          <w:sz w:val="19"/>
        </w:rPr>
        <w:t>il comprend les connecteurs formels et la logique de textes de plusieurs paragraphes ;</w:t>
      </w:r>
    </w:p>
    <w:p>
      <w:pPr>
        <w:pStyle w:val="ListBullet"/>
        <w:spacing w:after="40"/>
      </w:pPr>
      <w:r>
        <w:rPr>
          <w:rFonts w:ascii="Noto Sans" w:hAnsi="Noto Sans" w:eastAsia="Noto Sans CJK JP"/>
          <w:sz w:val="19"/>
        </w:rPr>
        <w:t>il lit des articles et commentaires généraux en identifiant l'intention de l'auteur ;</w:t>
      </w:r>
    </w:p>
    <w:p>
      <w:pPr>
        <w:pStyle w:val="ListBullet"/>
        <w:spacing w:after="40"/>
      </w:pPr>
      <w:r>
        <w:rPr>
          <w:rFonts w:ascii="Noto Sans" w:hAnsi="Noto Sans" w:eastAsia="Noto Sans CJK JP"/>
          <w:sz w:val="19"/>
        </w:rPr>
        <w:t>il suit des contenus audio naturels plus longs et en restitue l'essentiel ;</w:t>
      </w:r>
    </w:p>
    <w:p>
      <w:pPr>
        <w:pStyle w:val="ListBullet"/>
        <w:spacing w:after="40"/>
      </w:pPr>
      <w:r>
        <w:rPr>
          <w:rFonts w:ascii="Noto Sans" w:hAnsi="Noto Sans" w:eastAsia="Noto Sans CJK JP"/>
          <w:sz w:val="19"/>
        </w:rPr>
        <w:t>il peut reformuler lorsqu'un mot ou une expression lui manque ;</w:t>
      </w:r>
    </w:p>
    <w:p>
      <w:pPr>
        <w:pStyle w:val="ListBullet"/>
        <w:spacing w:after="40"/>
      </w:pPr>
      <w:r>
        <w:rPr>
          <w:rFonts w:ascii="Noto Sans" w:hAnsi="Noto Sans" w:eastAsia="Noto Sans CJK JP"/>
          <w:sz w:val="19"/>
        </w:rPr>
        <w:t>il utilise correctement les bases du keigo dans les situations enseignées ;</w:t>
      </w:r>
    </w:p>
    <w:p>
      <w:pPr>
        <w:pStyle w:val="ListBullet"/>
        <w:spacing w:after="40"/>
      </w:pPr>
      <w:r>
        <w:rPr>
          <w:rFonts w:ascii="Noto Sans" w:hAnsi="Noto Sans" w:eastAsia="Noto Sans CJK JP"/>
          <w:sz w:val="19"/>
        </w:rPr>
        <w:t>il distingue uchi / soto et évite les erreurs sociales majeures dans les exercices ;</w:t>
      </w:r>
    </w:p>
    <w:p>
      <w:pPr>
        <w:pStyle w:val="ListBullet"/>
        <w:spacing w:after="40"/>
      </w:pPr>
      <w:r>
        <w:rPr>
          <w:rFonts w:ascii="Noto Sans" w:hAnsi="Noto Sans" w:eastAsia="Noto Sans CJK JP"/>
          <w:sz w:val="19"/>
        </w:rPr>
        <w:t>il produit un mail professionnel et un court compte rendu correctement structurés ;</w:t>
      </w:r>
    </w:p>
    <w:p>
      <w:pPr>
        <w:pStyle w:val="ListBullet"/>
        <w:spacing w:after="40"/>
      </w:pPr>
      <w:r>
        <w:rPr>
          <w:rFonts w:ascii="Noto Sans" w:hAnsi="Noto Sans" w:eastAsia="Noto Sans CJK JP"/>
          <w:sz w:val="19"/>
        </w:rPr>
        <w:t>il peut présenter et défendre une opinion puis répondre a des questions ;</w:t>
      </w:r>
    </w:p>
    <w:p>
      <w:pPr>
        <w:pStyle w:val="ListBullet"/>
        <w:spacing w:after="40"/>
      </w:pPr>
      <w:r>
        <w:rPr>
          <w:rFonts w:ascii="Noto Sans" w:hAnsi="Noto Sans" w:eastAsia="Noto Sans CJK JP"/>
          <w:sz w:val="19"/>
        </w:rPr>
        <w:t>son vocabulaire abstrait et ses collocations permettent de parler de sujets au-delà du quotidien immédiat ;</w:t>
      </w:r>
    </w:p>
    <w:p>
      <w:pPr>
        <w:pStyle w:val="ListBullet"/>
        <w:spacing w:after="40"/>
      </w:pPr>
      <w:r>
        <w:rPr>
          <w:rFonts w:ascii="Noto Sans" w:hAnsi="Noto Sans" w:eastAsia="Noto Sans CJK JP"/>
          <w:sz w:val="19"/>
        </w:rPr>
        <w:t>sa lecture des kanji permet l'accès à des textes généraux authentiques avec recours raisonnable au dictionnaire ;</w:t>
      </w:r>
    </w:p>
    <w:p>
      <w:pPr>
        <w:pStyle w:val="ListBullet"/>
        <w:spacing w:after="40"/>
      </w:pPr>
      <w:r>
        <w:rPr>
          <w:rFonts w:ascii="Noto Sans" w:hAnsi="Noto Sans" w:eastAsia="Noto Sans CJK JP"/>
          <w:sz w:val="19"/>
        </w:rPr>
        <w:t>il adapte le registre au médium et à l'interlocuteur ;</w:t>
      </w:r>
    </w:p>
    <w:p>
      <w:pPr>
        <w:pStyle w:val="ListBullet"/>
        <w:spacing w:after="40"/>
      </w:pPr>
      <w:r>
        <w:rPr>
          <w:rFonts w:ascii="Noto Sans" w:hAnsi="Noto Sans" w:eastAsia="Noto Sans CJK JP"/>
          <w:sz w:val="19"/>
        </w:rPr>
        <w:t>il maintient une prononciation et une prosodie suffisamment stables pour rester facilement intelligible pendant une présentation ou une discussion longue ;</w:t>
      </w:r>
    </w:p>
    <w:p>
      <w:pPr>
        <w:pStyle w:val="ListBullet"/>
        <w:spacing w:after="40"/>
      </w:pPr>
      <w:r>
        <w:rPr>
          <w:rFonts w:ascii="Noto Sans" w:hAnsi="Noto Sans" w:eastAsia="Noto Sans CJK JP"/>
          <w:sz w:val="19"/>
        </w:rPr>
        <w:t>l’écriture manuscrite reste facultative, mais la production écrite saisie et la conversion kana → kanji sont obligatoires dans les tâches prévues.</w:t>
      </w:r>
    </w:p>
    <w:p>
      <w:pPr>
        <w:pStyle w:val="Heading1"/>
      </w:pPr>
      <w:r>
        <w:t>29. Ce que l'étape 6 exclut volontairement</w:t>
      </w:r>
    </w:p>
    <w:p>
      <w:pPr>
        <w:pStyle w:val="ListBullet"/>
        <w:spacing w:after="40"/>
      </w:pPr>
      <w:r>
        <w:rPr>
          <w:rFonts w:ascii="Noto Sans" w:hAnsi="Noto Sans" w:eastAsia="Noto Sans CJK JP"/>
          <w:sz w:val="19"/>
        </w:rPr>
        <w:t>maîtrise exhaustive de tous les jōyō kanji ;</w:t>
      </w:r>
    </w:p>
    <w:p>
      <w:pPr>
        <w:pStyle w:val="ListBullet"/>
        <w:spacing w:after="40"/>
      </w:pPr>
      <w:r>
        <w:rPr>
          <w:rFonts w:ascii="Noto Sans" w:hAnsi="Noto Sans" w:eastAsia="Noto Sans CJK JP"/>
          <w:sz w:val="19"/>
        </w:rPr>
        <w:t>littérature classique ou japonais ancien ;</w:t>
      </w:r>
    </w:p>
    <w:p>
      <w:pPr>
        <w:pStyle w:val="ListBullet"/>
        <w:spacing w:after="40"/>
      </w:pPr>
      <w:r>
        <w:rPr>
          <w:rFonts w:ascii="Noto Sans" w:hAnsi="Noto Sans" w:eastAsia="Noto Sans CJK JP"/>
          <w:sz w:val="19"/>
        </w:rPr>
        <w:t>lecture littéraire complexe comme objectif principal ;</w:t>
      </w:r>
    </w:p>
    <w:p>
      <w:pPr>
        <w:pStyle w:val="ListBullet"/>
        <w:spacing w:after="40"/>
      </w:pPr>
      <w:r>
        <w:rPr>
          <w:rFonts w:ascii="Noto Sans" w:hAnsi="Noto Sans" w:eastAsia="Noto Sans CJK JP"/>
          <w:sz w:val="19"/>
        </w:rPr>
        <w:t>terminologie scientifique ou professionnelle spécialisée ;</w:t>
      </w:r>
    </w:p>
    <w:p>
      <w:pPr>
        <w:pStyle w:val="ListBullet"/>
        <w:spacing w:after="40"/>
      </w:pPr>
      <w:r>
        <w:rPr>
          <w:rFonts w:ascii="Noto Sans" w:hAnsi="Noto Sans" w:eastAsia="Noto Sans CJK JP"/>
          <w:sz w:val="19"/>
        </w:rPr>
        <w:t>rédaction universitaire longue et normes académiques spécialisées ;</w:t>
      </w:r>
    </w:p>
    <w:p>
      <w:pPr>
        <w:pStyle w:val="ListBullet"/>
        <w:spacing w:after="40"/>
      </w:pPr>
      <w:r>
        <w:rPr>
          <w:rFonts w:ascii="Noto Sans" w:hAnsi="Noto Sans" w:eastAsia="Noto Sans CJK JP"/>
          <w:sz w:val="19"/>
        </w:rPr>
        <w:t>interprétation simultanée ou traduction professionnelle ;</w:t>
      </w:r>
    </w:p>
    <w:p>
      <w:pPr>
        <w:pStyle w:val="ListBullet"/>
        <w:spacing w:after="40"/>
      </w:pPr>
      <w:r>
        <w:rPr>
          <w:rFonts w:ascii="Noto Sans" w:hAnsi="Noto Sans" w:eastAsia="Noto Sans CJK JP"/>
          <w:sz w:val="19"/>
        </w:rPr>
        <w:t>dialectes régionaux comme compétences productives ;</w:t>
      </w:r>
    </w:p>
    <w:p>
      <w:pPr>
        <w:pStyle w:val="ListBullet"/>
        <w:spacing w:after="40"/>
      </w:pPr>
      <w:r>
        <w:rPr>
          <w:rFonts w:ascii="Noto Sans" w:hAnsi="Noto Sans" w:eastAsia="Noto Sans CJK JP"/>
          <w:sz w:val="19"/>
        </w:rPr>
        <w:t>toutes les nuances rares de keigo et conventions propres à chaque secteur ;</w:t>
      </w:r>
    </w:p>
    <w:p>
      <w:pPr>
        <w:pStyle w:val="ListBullet"/>
        <w:spacing w:after="40"/>
      </w:pPr>
      <w:r>
        <w:rPr>
          <w:rFonts w:ascii="Noto Sans" w:hAnsi="Noto Sans" w:eastAsia="Noto Sans CJK JP"/>
          <w:sz w:val="19"/>
        </w:rPr>
        <w:t>expressions idiomatiques, proverbes et 四字熟語 de faible fréquence ;</w:t>
      </w:r>
    </w:p>
    <w:p>
      <w:pPr>
        <w:pStyle w:val="ListBullet"/>
        <w:spacing w:after="40"/>
      </w:pPr>
      <w:r>
        <w:rPr>
          <w:rFonts w:ascii="Noto Sans" w:hAnsi="Noto Sans" w:eastAsia="Noto Sans CJK JP"/>
          <w:sz w:val="19"/>
        </w:rPr>
        <w:t>compréhension sans effort de n'importe quel accent, domaine ou texte très spécialisé ;</w:t>
      </w:r>
    </w:p>
    <w:p>
      <w:pPr>
        <w:pStyle w:val="ListBullet"/>
        <w:spacing w:after="40"/>
      </w:pPr>
      <w:r>
        <w:rPr>
          <w:rFonts w:ascii="Noto Sans" w:hAnsi="Noto Sans" w:eastAsia="Noto Sans CJK JP"/>
          <w:sz w:val="19"/>
        </w:rPr>
        <w:t>imitation parfaite d’un accent ou d’une prosodie native comme critère de validation ;</w:t>
      </w:r>
    </w:p>
    <w:p>
      <w:pPr>
        <w:pStyle w:val="ListBullet"/>
        <w:spacing w:after="40"/>
      </w:pPr>
      <w:r>
        <w:rPr>
          <w:rFonts w:ascii="Noto Sans" w:hAnsi="Noto Sans" w:eastAsia="Noto Sans CJK JP"/>
          <w:sz w:val="19"/>
        </w:rPr>
        <w:t>niveau quasi natif de style, humour, ironie et rhétorique.</w:t>
      </w:r>
    </w:p>
    <w:tbl>
      <w:tblPr>
        <w:tblW w:type="auto" w:w="0"/>
        <w:jc w:val="center"/>
        <w:tblLook w:firstColumn="1" w:firstRow="1" w:lastColumn="0" w:lastRow="0" w:noHBand="0" w:noVBand="1" w:val="04A0"/>
      </w:tblPr>
      <w:tblGrid>
        <w:gridCol w:w="10224"/>
      </w:tblGrid>
      <w:tr>
        <w:trPr>
          <w:cantSplit/>
        </w:trPr>
        <w:tc>
          <w:tcPr>
            <w:tcW w:type="dxa" w:w="10224"/>
            <w:shd w:fill="FFF4DE"/>
            <w:tcMar>
              <w:top w:w="105" w:type="dxa"/>
              <w:start w:w="135" w:type="dxa"/>
              <w:bottom w:w="105" w:type="dxa"/>
              <w:end w:w="135" w:type="dxa"/>
            </w:tcMar>
          </w:tcPr>
          <w:p>
            <w:pPr>
              <w:spacing w:after="60"/>
            </w:pPr>
            <w:r>
              <w:rPr>
                <w:rFonts w:ascii="Noto Sans" w:hAnsi="Noto Sans" w:eastAsia="Noto Sans CJK JP"/>
                <w:b/>
                <w:sz w:val="20"/>
              </w:rPr>
              <w:t>Pourquoi cette frontière est importante</w:t>
            </w:r>
          </w:p>
          <w:p>
            <w:pPr>
              <w:spacing w:after="0"/>
            </w:pPr>
            <w:r>
              <w:rPr>
                <w:rFonts w:ascii="Noto Sans" w:hAnsi="Noto Sans" w:eastAsia="Noto Sans CJK JP"/>
                <w:sz w:val="19"/>
              </w:rPr>
              <w:t>L'étape 6 donne une autonomie avancée GÉNÉRALE. L'étape 7 sera celle de la consolidation C1 vers C2 : textes longs et complexes, implicite fin, littérature, domaines spécialisés, idiomes, style, rhétorique, humour et capacité a continuer d'apprendre directement en japonais.</w:t>
            </w:r>
          </w:p>
        </w:tc>
      </w:tr>
    </w:tbl>
    <w:p>
      <w:pPr>
        <w:spacing w:after="0"/>
      </w:pPr>
    </w:p>
    <w:p>
      <w:pPr>
        <w:pStyle w:val="Heading1"/>
      </w:pPr>
      <w:r>
        <w:t>30. Passerelle vers l'étape 7</w:t>
      </w:r>
    </w:p>
    <w:p>
      <w:r>
        <w:rPr>
          <w:rFonts w:ascii="Noto Sans" w:hAnsi="Noto Sans" w:eastAsia="Noto Sans CJK JP"/>
          <w:sz w:val="20"/>
        </w:rPr>
        <w:t>À la fin de l'étape 6, l'utilisateur peut fonctionner dans la plupart des situations générales, sociales et professionnelles non spécialisées. L'étape 7 ne sera plus une simple suite de grammaire : elle devra apprendre à comprendre les exceptions, les styles, les sous-entendus et les domaines inconnus, et surtout a devenir capable de progresser seul grâce àu japonais.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Fin étape 6</w:t>
            </w:r>
          </w:p>
        </w:tc>
        <w:tc>
          <w:tcPr>
            <w:tcW w:type="dxa" w:w="5112"/>
            <w:shd w:fill="DCEAF0"/>
            <w:tcMar>
              <w:top w:w="65" w:type="dxa"/>
              <w:start w:w="90" w:type="dxa"/>
              <w:bottom w:w="65" w:type="dxa"/>
              <w:end w:w="90" w:type="dxa"/>
            </w:tcMar>
          </w:tcPr>
          <w:p>
            <w:r>
              <w:rPr>
                <w:rFonts w:ascii="Noto Sans" w:hAnsi="Noto Sans" w:eastAsia="Noto Sans CJK JP"/>
                <w:b/>
                <w:sz w:val="17"/>
              </w:rPr>
              <w:t>Début étape 7</w:t>
            </w:r>
          </w:p>
        </w:tc>
      </w:tr>
      <w:tr>
        <w:trPr>
          <w:cantSplit/>
        </w:trPr>
        <w:tc>
          <w:tcPr>
            <w:tcW w:type="dxa" w:w="5112"/>
            <w:tcMar>
              <w:top w:w="50" w:type="dxa"/>
              <w:start w:w="75" w:type="dxa"/>
              <w:bottom w:w="50" w:type="dxa"/>
              <w:end w:w="75" w:type="dxa"/>
            </w:tcMar>
          </w:tcPr>
          <w:p>
            <w:r>
              <w:rPr>
                <w:rFonts w:ascii="Noto Sans" w:hAnsi="Noto Sans" w:eastAsia="Noto Sans CJK JP"/>
                <w:sz w:val="16"/>
              </w:rPr>
              <w:t>Articles et essais accessibles</w:t>
            </w:r>
          </w:p>
        </w:tc>
        <w:tc>
          <w:tcPr>
            <w:tcW w:type="dxa" w:w="5112"/>
            <w:tcMar>
              <w:top w:w="50" w:type="dxa"/>
              <w:start w:w="75" w:type="dxa"/>
              <w:bottom w:w="50" w:type="dxa"/>
              <w:end w:w="75" w:type="dxa"/>
            </w:tcMar>
          </w:tcPr>
          <w:p>
            <w:r>
              <w:rPr>
                <w:rFonts w:ascii="Noto Sans" w:hAnsi="Noto Sans" w:eastAsia="Noto Sans CJK JP"/>
                <w:sz w:val="16"/>
              </w:rPr>
              <w:t>Textes longs, littéraires, académiques et spécialisés</w:t>
            </w:r>
          </w:p>
        </w:tc>
      </w:tr>
      <w:tr>
        <w:trPr>
          <w:cantSplit/>
        </w:trPr>
        <w:tc>
          <w:tcPr>
            <w:tcW w:type="dxa" w:w="5112"/>
            <w:tcMar>
              <w:top w:w="50" w:type="dxa"/>
              <w:start w:w="75" w:type="dxa"/>
              <w:bottom w:w="50" w:type="dxa"/>
              <w:end w:w="75" w:type="dxa"/>
            </w:tcMar>
          </w:tcPr>
          <w:p>
            <w:r>
              <w:rPr>
                <w:rFonts w:ascii="Noto Sans" w:hAnsi="Noto Sans" w:eastAsia="Noto Sans CJK JP"/>
                <w:sz w:val="16"/>
              </w:rPr>
              <w:t>Actualités / présentations</w:t>
            </w:r>
          </w:p>
        </w:tc>
        <w:tc>
          <w:tcPr>
            <w:tcW w:type="dxa" w:w="5112"/>
            <w:tcMar>
              <w:top w:w="50" w:type="dxa"/>
              <w:start w:w="75" w:type="dxa"/>
              <w:bottom w:w="50" w:type="dxa"/>
              <w:end w:w="75" w:type="dxa"/>
            </w:tcMar>
          </w:tcPr>
          <w:p>
            <w:r>
              <w:rPr>
                <w:rFonts w:ascii="Noto Sans" w:hAnsi="Noto Sans" w:eastAsia="Noto Sans CJK JP"/>
                <w:sz w:val="16"/>
              </w:rPr>
              <w:t>Débats complexes, conférences et discours implicites</w:t>
            </w:r>
          </w:p>
        </w:tc>
      </w:tr>
      <w:tr>
        <w:trPr>
          <w:cantSplit/>
        </w:trPr>
        <w:tc>
          <w:tcPr>
            <w:tcW w:type="dxa" w:w="5112"/>
            <w:tcMar>
              <w:top w:w="50" w:type="dxa"/>
              <w:start w:w="75" w:type="dxa"/>
              <w:bottom w:w="50" w:type="dxa"/>
              <w:end w:w="75" w:type="dxa"/>
            </w:tcMar>
          </w:tcPr>
          <w:p>
            <w:r>
              <w:rPr>
                <w:rFonts w:ascii="Noto Sans" w:hAnsi="Noto Sans" w:eastAsia="Noto Sans CJK JP"/>
                <w:sz w:val="16"/>
              </w:rPr>
              <w:t>Keigo général</w:t>
            </w:r>
          </w:p>
        </w:tc>
        <w:tc>
          <w:tcPr>
            <w:tcW w:type="dxa" w:w="5112"/>
            <w:tcMar>
              <w:top w:w="50" w:type="dxa"/>
              <w:start w:w="75" w:type="dxa"/>
              <w:bottom w:w="50" w:type="dxa"/>
              <w:end w:w="75" w:type="dxa"/>
            </w:tcMar>
          </w:tcPr>
          <w:p>
            <w:r>
              <w:rPr>
                <w:rFonts w:ascii="Noto Sans" w:hAnsi="Noto Sans" w:eastAsia="Noto Sans CJK JP"/>
                <w:sz w:val="16"/>
              </w:rPr>
              <w:t>Nuances fines et conventions sectorielles</w:t>
            </w:r>
          </w:p>
        </w:tc>
      </w:tr>
      <w:tr>
        <w:trPr>
          <w:cantSplit/>
        </w:trPr>
        <w:tc>
          <w:tcPr>
            <w:tcW w:type="dxa" w:w="5112"/>
            <w:tcMar>
              <w:top w:w="50" w:type="dxa"/>
              <w:start w:w="75" w:type="dxa"/>
              <w:bottom w:w="50" w:type="dxa"/>
              <w:end w:w="75" w:type="dxa"/>
            </w:tcMar>
          </w:tcPr>
          <w:p>
            <w:r>
              <w:rPr>
                <w:rFonts w:ascii="Noto Sans" w:hAnsi="Noto Sans" w:eastAsia="Noto Sans CJK JP"/>
                <w:sz w:val="16"/>
              </w:rPr>
              <w:t>Argumentation structurée</w:t>
            </w:r>
          </w:p>
        </w:tc>
        <w:tc>
          <w:tcPr>
            <w:tcW w:type="dxa" w:w="5112"/>
            <w:tcMar>
              <w:top w:w="50" w:type="dxa"/>
              <w:start w:w="75" w:type="dxa"/>
              <w:bottom w:w="50" w:type="dxa"/>
              <w:end w:w="75" w:type="dxa"/>
            </w:tcMar>
          </w:tcPr>
          <w:p>
            <w:r>
              <w:rPr>
                <w:rFonts w:ascii="Noto Sans" w:hAnsi="Noto Sans" w:eastAsia="Noto Sans CJK JP"/>
                <w:sz w:val="16"/>
              </w:rPr>
              <w:t>Rhétorique, style et positionnement subtil</w:t>
            </w:r>
          </w:p>
        </w:tc>
      </w:tr>
      <w:tr>
        <w:trPr>
          <w:cantSplit/>
        </w:trPr>
        <w:tc>
          <w:tcPr>
            <w:tcW w:type="dxa" w:w="5112"/>
            <w:tcMar>
              <w:top w:w="50" w:type="dxa"/>
              <w:start w:w="75" w:type="dxa"/>
              <w:bottom w:w="50" w:type="dxa"/>
              <w:end w:w="75" w:type="dxa"/>
            </w:tcMar>
          </w:tcPr>
          <w:p>
            <w:r>
              <w:rPr>
                <w:rFonts w:ascii="Noto Sans" w:hAnsi="Noto Sans" w:eastAsia="Noto Sans CJK JP"/>
                <w:sz w:val="16"/>
              </w:rPr>
              <w:t>Vocabulaire abstrait général</w:t>
            </w:r>
          </w:p>
        </w:tc>
        <w:tc>
          <w:tcPr>
            <w:tcW w:type="dxa" w:w="5112"/>
            <w:tcMar>
              <w:top w:w="50" w:type="dxa"/>
              <w:start w:w="75" w:type="dxa"/>
              <w:bottom w:w="50" w:type="dxa"/>
              <w:end w:w="75" w:type="dxa"/>
            </w:tcMar>
          </w:tcPr>
          <w:p>
            <w:r>
              <w:rPr>
                <w:rFonts w:ascii="Noto Sans" w:hAnsi="Noto Sans" w:eastAsia="Noto Sans CJK JP"/>
                <w:sz w:val="16"/>
              </w:rPr>
              <w:t>Lexique spécialisé, idiomes et collocations fines</w:t>
            </w:r>
          </w:p>
        </w:tc>
      </w:tr>
      <w:tr>
        <w:trPr>
          <w:cantSplit/>
        </w:trPr>
        <w:tc>
          <w:tcPr>
            <w:tcW w:type="dxa" w:w="5112"/>
            <w:tcMar>
              <w:top w:w="50" w:type="dxa"/>
              <w:start w:w="75" w:type="dxa"/>
              <w:bottom w:w="50" w:type="dxa"/>
              <w:end w:w="75" w:type="dxa"/>
            </w:tcMar>
          </w:tcPr>
          <w:p>
            <w:r>
              <w:rPr>
                <w:rFonts w:ascii="Noto Sans" w:hAnsi="Noto Sans" w:eastAsia="Noto Sans CJK JP"/>
                <w:sz w:val="16"/>
              </w:rPr>
              <w:t>Bonne autonomie</w:t>
            </w:r>
          </w:p>
        </w:tc>
        <w:tc>
          <w:tcPr>
            <w:tcW w:type="dxa" w:w="5112"/>
            <w:tcMar>
              <w:top w:w="50" w:type="dxa"/>
              <w:start w:w="75" w:type="dxa"/>
              <w:bottom w:w="50" w:type="dxa"/>
              <w:end w:w="75" w:type="dxa"/>
            </w:tcMar>
          </w:tcPr>
          <w:p>
            <w:r>
              <w:rPr>
                <w:rFonts w:ascii="Noto Sans" w:hAnsi="Noto Sans" w:eastAsia="Noto Sans CJK JP"/>
                <w:sz w:val="16"/>
              </w:rPr>
              <w:t>Auto-apprentissage directement en japonais</w:t>
            </w:r>
          </w:p>
        </w:tc>
      </w:tr>
    </w:tbl>
    <w:p>
      <w:pPr>
        <w:pStyle w:val="Heading1"/>
      </w:pPr>
      <w:r>
        <w:t>31. Glossaire minimal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Terme</w:t>
            </w:r>
          </w:p>
        </w:tc>
        <w:tc>
          <w:tcPr>
            <w:tcW w:type="dxa" w:w="5112"/>
            <w:shd w:fill="DCEAF0"/>
            <w:tcMar>
              <w:top w:w="65" w:type="dxa"/>
              <w:start w:w="90" w:type="dxa"/>
              <w:bottom w:w="65" w:type="dxa"/>
              <w:end w:w="90" w:type="dxa"/>
            </w:tcMar>
          </w:tcPr>
          <w:p>
            <w:r>
              <w:rPr>
                <w:rFonts w:ascii="Noto Sans" w:hAnsi="Noto Sans" w:eastAsia="Noto Sans CJK JP"/>
                <w:b/>
                <w:sz w:val="17"/>
              </w:rPr>
              <w:t>Explication simple</w:t>
            </w:r>
          </w:p>
        </w:tc>
      </w:tr>
      <w:tr>
        <w:trPr>
          <w:cantSplit/>
        </w:trPr>
        <w:tc>
          <w:tcPr>
            <w:tcW w:type="dxa" w:w="5112"/>
            <w:tcMar>
              <w:top w:w="50" w:type="dxa"/>
              <w:start w:w="75" w:type="dxa"/>
              <w:bottom w:w="50" w:type="dxa"/>
              <w:end w:w="75" w:type="dxa"/>
            </w:tcMar>
          </w:tcPr>
          <w:p>
            <w:r>
              <w:rPr>
                <w:rFonts w:ascii="Noto Sans" w:hAnsi="Noto Sans" w:eastAsia="Noto Sans CJK JP"/>
                <w:sz w:val="16"/>
              </w:rPr>
              <w:t>Modalité</w:t>
            </w:r>
          </w:p>
        </w:tc>
        <w:tc>
          <w:tcPr>
            <w:tcW w:type="dxa" w:w="5112"/>
            <w:tcMar>
              <w:top w:w="50" w:type="dxa"/>
              <w:start w:w="75" w:type="dxa"/>
              <w:bottom w:w="50" w:type="dxa"/>
              <w:end w:w="75" w:type="dxa"/>
            </w:tcMar>
          </w:tcPr>
          <w:p>
            <w:r>
              <w:rPr>
                <w:rFonts w:ascii="Noto Sans" w:hAnsi="Noto Sans" w:eastAsia="Noto Sans CJK JP"/>
                <w:sz w:val="16"/>
              </w:rPr>
              <w:t>Façon dont le locuteur présente une information : certaine, probable, obligatoire, souhaitable, impossible, etc.</w:t>
            </w:r>
          </w:p>
        </w:tc>
      </w:tr>
      <w:tr>
        <w:trPr>
          <w:cantSplit/>
        </w:trPr>
        <w:tc>
          <w:tcPr>
            <w:tcW w:type="dxa" w:w="5112"/>
            <w:tcMar>
              <w:top w:w="50" w:type="dxa"/>
              <w:start w:w="75" w:type="dxa"/>
              <w:bottom w:w="50" w:type="dxa"/>
              <w:end w:w="75" w:type="dxa"/>
            </w:tcMar>
          </w:tcPr>
          <w:p>
            <w:r>
              <w:rPr>
                <w:rFonts w:ascii="Noto Sans" w:hAnsi="Noto Sans" w:eastAsia="Noto Sans CJK JP"/>
                <w:sz w:val="16"/>
              </w:rPr>
              <w:t>Concession</w:t>
            </w:r>
          </w:p>
        </w:tc>
        <w:tc>
          <w:tcPr>
            <w:tcW w:type="dxa" w:w="5112"/>
            <w:tcMar>
              <w:top w:w="50" w:type="dxa"/>
              <w:start w:w="75" w:type="dxa"/>
              <w:bottom w:w="50" w:type="dxa"/>
              <w:end w:w="75" w:type="dxa"/>
            </w:tcMar>
          </w:tcPr>
          <w:p>
            <w:r>
              <w:rPr>
                <w:rFonts w:ascii="Noto Sans" w:hAnsi="Noto Sans" w:eastAsia="Noto Sans CJK JP"/>
                <w:sz w:val="16"/>
              </w:rPr>
              <w:t>Reconnaître un fait puis présenter un résultat ou une idée qui contraste avec ce fait.</w:t>
            </w:r>
          </w:p>
        </w:tc>
      </w:tr>
      <w:tr>
        <w:trPr>
          <w:cantSplit/>
        </w:trPr>
        <w:tc>
          <w:tcPr>
            <w:tcW w:type="dxa" w:w="5112"/>
            <w:tcMar>
              <w:top w:w="50" w:type="dxa"/>
              <w:start w:w="75" w:type="dxa"/>
              <w:bottom w:w="50" w:type="dxa"/>
              <w:end w:w="75" w:type="dxa"/>
            </w:tcMar>
          </w:tcPr>
          <w:p>
            <w:r>
              <w:rPr>
                <w:rFonts w:ascii="Noto Sans" w:hAnsi="Noto Sans" w:eastAsia="Noto Sans CJK JP"/>
                <w:sz w:val="16"/>
              </w:rPr>
              <w:t>Connecteur</w:t>
            </w:r>
          </w:p>
        </w:tc>
        <w:tc>
          <w:tcPr>
            <w:tcW w:type="dxa" w:w="5112"/>
            <w:tcMar>
              <w:top w:w="50" w:type="dxa"/>
              <w:start w:w="75" w:type="dxa"/>
              <w:bottom w:w="50" w:type="dxa"/>
              <w:end w:w="75" w:type="dxa"/>
            </w:tcMar>
          </w:tcPr>
          <w:p>
            <w:r>
              <w:rPr>
                <w:rFonts w:ascii="Noto Sans" w:hAnsi="Noto Sans" w:eastAsia="Noto Sans CJK JP"/>
                <w:sz w:val="16"/>
              </w:rPr>
              <w:t>Mot ou expression qui indique le lien logique entre deux phrases ou paragraphes.</w:t>
            </w:r>
          </w:p>
        </w:tc>
      </w:tr>
      <w:tr>
        <w:trPr>
          <w:cantSplit/>
        </w:trPr>
        <w:tc>
          <w:tcPr>
            <w:tcW w:type="dxa" w:w="5112"/>
            <w:tcMar>
              <w:top w:w="50" w:type="dxa"/>
              <w:start w:w="75" w:type="dxa"/>
              <w:bottom w:w="50" w:type="dxa"/>
              <w:end w:w="75" w:type="dxa"/>
            </w:tcMar>
          </w:tcPr>
          <w:p>
            <w:r>
              <w:rPr>
                <w:rFonts w:ascii="Noto Sans" w:hAnsi="Noto Sans" w:eastAsia="Noto Sans CJK JP"/>
                <w:sz w:val="16"/>
              </w:rPr>
              <w:t>Argumentation</w:t>
            </w:r>
          </w:p>
        </w:tc>
        <w:tc>
          <w:tcPr>
            <w:tcW w:type="dxa" w:w="5112"/>
            <w:tcMar>
              <w:top w:w="50" w:type="dxa"/>
              <w:start w:w="75" w:type="dxa"/>
              <w:bottom w:w="50" w:type="dxa"/>
              <w:end w:w="75" w:type="dxa"/>
            </w:tcMar>
          </w:tcPr>
          <w:p>
            <w:r>
              <w:rPr>
                <w:rFonts w:ascii="Noto Sans" w:hAnsi="Noto Sans" w:eastAsia="Noto Sans CJK JP"/>
                <w:sz w:val="16"/>
              </w:rPr>
              <w:t>Organisation d'une position avec raisons, exemples, objections et conclusion.</w:t>
            </w:r>
          </w:p>
        </w:tc>
      </w:tr>
      <w:tr>
        <w:trPr>
          <w:cantSplit/>
        </w:trPr>
        <w:tc>
          <w:tcPr>
            <w:tcW w:type="dxa" w:w="5112"/>
            <w:tcMar>
              <w:top w:w="50" w:type="dxa"/>
              <w:start w:w="75" w:type="dxa"/>
              <w:bottom w:w="50" w:type="dxa"/>
              <w:end w:w="75" w:type="dxa"/>
            </w:tcMar>
          </w:tcPr>
          <w:p>
            <w:r>
              <w:rPr>
                <w:rFonts w:ascii="Noto Sans" w:hAnsi="Noto Sans" w:eastAsia="Noto Sans CJK JP"/>
                <w:sz w:val="16"/>
              </w:rPr>
              <w:t>Reformulation</w:t>
            </w:r>
          </w:p>
        </w:tc>
        <w:tc>
          <w:tcPr>
            <w:tcW w:type="dxa" w:w="5112"/>
            <w:tcMar>
              <w:top w:w="50" w:type="dxa"/>
              <w:start w:w="75" w:type="dxa"/>
              <w:bottom w:w="50" w:type="dxa"/>
              <w:end w:w="75" w:type="dxa"/>
            </w:tcMar>
          </w:tcPr>
          <w:p>
            <w:r>
              <w:rPr>
                <w:rFonts w:ascii="Noto Sans" w:hAnsi="Noto Sans" w:eastAsia="Noto Sans CJK JP"/>
                <w:sz w:val="16"/>
              </w:rPr>
              <w:t>Dire la même idée autrement pour préciser ou faciliter la compréhension.</w:t>
            </w:r>
          </w:p>
        </w:tc>
      </w:tr>
      <w:tr>
        <w:trPr>
          <w:cantSplit/>
        </w:trPr>
        <w:tc>
          <w:tcPr>
            <w:tcW w:type="dxa" w:w="5112"/>
            <w:tcMar>
              <w:top w:w="50" w:type="dxa"/>
              <w:start w:w="75" w:type="dxa"/>
              <w:bottom w:w="50" w:type="dxa"/>
              <w:end w:w="75" w:type="dxa"/>
            </w:tcMar>
          </w:tcPr>
          <w:p>
            <w:r>
              <w:rPr>
                <w:rFonts w:ascii="Noto Sans" w:hAnsi="Noto Sans" w:eastAsia="Noto Sans CJK JP"/>
                <w:sz w:val="16"/>
              </w:rPr>
              <w:t>Teineigo</w:t>
            </w:r>
          </w:p>
        </w:tc>
        <w:tc>
          <w:tcPr>
            <w:tcW w:type="dxa" w:w="5112"/>
            <w:tcMar>
              <w:top w:w="50" w:type="dxa"/>
              <w:start w:w="75" w:type="dxa"/>
              <w:bottom w:w="50" w:type="dxa"/>
              <w:end w:w="75" w:type="dxa"/>
            </w:tcMar>
          </w:tcPr>
          <w:p>
            <w:r>
              <w:rPr>
                <w:rFonts w:ascii="Noto Sans" w:hAnsi="Noto Sans" w:eastAsia="Noto Sans CJK JP"/>
                <w:sz w:val="16"/>
              </w:rPr>
              <w:t>Langage poli, notamment avec です / ます.</w:t>
            </w:r>
          </w:p>
        </w:tc>
      </w:tr>
      <w:tr>
        <w:trPr>
          <w:cantSplit/>
        </w:trPr>
        <w:tc>
          <w:tcPr>
            <w:tcW w:type="dxa" w:w="5112"/>
            <w:tcMar>
              <w:top w:w="50" w:type="dxa"/>
              <w:start w:w="75" w:type="dxa"/>
              <w:bottom w:w="50" w:type="dxa"/>
              <w:end w:w="75" w:type="dxa"/>
            </w:tcMar>
          </w:tcPr>
          <w:p>
            <w:r>
              <w:rPr>
                <w:rFonts w:ascii="Noto Sans" w:hAnsi="Noto Sans" w:eastAsia="Noto Sans CJK JP"/>
                <w:sz w:val="16"/>
              </w:rPr>
              <w:t>Sonkeigo</w:t>
            </w:r>
          </w:p>
        </w:tc>
        <w:tc>
          <w:tcPr>
            <w:tcW w:type="dxa" w:w="5112"/>
            <w:tcMar>
              <w:top w:w="50" w:type="dxa"/>
              <w:start w:w="75" w:type="dxa"/>
              <w:bottom w:w="50" w:type="dxa"/>
              <w:end w:w="75" w:type="dxa"/>
            </w:tcMar>
          </w:tcPr>
          <w:p>
            <w:r>
              <w:rPr>
                <w:rFonts w:ascii="Noto Sans" w:hAnsi="Noto Sans" w:eastAsia="Noto Sans CJK JP"/>
                <w:sz w:val="16"/>
              </w:rPr>
              <w:t>Langage honorifique qui élève l'action d'une personne respectée.</w:t>
            </w:r>
          </w:p>
        </w:tc>
      </w:tr>
      <w:tr>
        <w:trPr>
          <w:cantSplit/>
        </w:trPr>
        <w:tc>
          <w:tcPr>
            <w:tcW w:type="dxa" w:w="5112"/>
            <w:tcMar>
              <w:top w:w="50" w:type="dxa"/>
              <w:start w:w="75" w:type="dxa"/>
              <w:bottom w:w="50" w:type="dxa"/>
              <w:end w:w="75" w:type="dxa"/>
            </w:tcMar>
          </w:tcPr>
          <w:p>
            <w:r>
              <w:rPr>
                <w:rFonts w:ascii="Noto Sans" w:hAnsi="Noto Sans" w:eastAsia="Noto Sans CJK JP"/>
                <w:sz w:val="16"/>
              </w:rPr>
              <w:t>Kenjogo</w:t>
            </w:r>
          </w:p>
        </w:tc>
        <w:tc>
          <w:tcPr>
            <w:tcW w:type="dxa" w:w="5112"/>
            <w:tcMar>
              <w:top w:w="50" w:type="dxa"/>
              <w:start w:w="75" w:type="dxa"/>
              <w:bottom w:w="50" w:type="dxa"/>
              <w:end w:w="75" w:type="dxa"/>
            </w:tcMar>
          </w:tcPr>
          <w:p>
            <w:r>
              <w:rPr>
                <w:rFonts w:ascii="Noto Sans" w:hAnsi="Noto Sans" w:eastAsia="Noto Sans CJK JP"/>
                <w:sz w:val="16"/>
              </w:rPr>
              <w:t>Langage humble qui présente modestement son action / celle de son groupe envers l'autre.</w:t>
            </w:r>
          </w:p>
        </w:tc>
      </w:tr>
      <w:tr>
        <w:trPr>
          <w:cantSplit/>
        </w:trPr>
        <w:tc>
          <w:tcPr>
            <w:tcW w:type="dxa" w:w="5112"/>
            <w:tcMar>
              <w:top w:w="50" w:type="dxa"/>
              <w:start w:w="75" w:type="dxa"/>
              <w:bottom w:w="50" w:type="dxa"/>
              <w:end w:w="75" w:type="dxa"/>
            </w:tcMar>
          </w:tcPr>
          <w:p>
            <w:r>
              <w:rPr>
                <w:rFonts w:ascii="Noto Sans" w:hAnsi="Noto Sans" w:eastAsia="Noto Sans CJK JP"/>
                <w:sz w:val="16"/>
              </w:rPr>
              <w:t>Uchi / soto</w:t>
            </w:r>
          </w:p>
        </w:tc>
        <w:tc>
          <w:tcPr>
            <w:tcW w:type="dxa" w:w="5112"/>
            <w:tcMar>
              <w:top w:w="50" w:type="dxa"/>
              <w:start w:w="75" w:type="dxa"/>
              <w:bottom w:w="50" w:type="dxa"/>
              <w:end w:w="75" w:type="dxa"/>
            </w:tcMar>
          </w:tcPr>
          <w:p>
            <w:r>
              <w:rPr>
                <w:rFonts w:ascii="Noto Sans" w:hAnsi="Noto Sans" w:eastAsia="Noto Sans CJK JP"/>
                <w:sz w:val="16"/>
              </w:rPr>
              <w:t>Distinction contextuelle entre son groupe et les personnes extérieures au groupe.</w:t>
            </w:r>
          </w:p>
        </w:tc>
      </w:tr>
      <w:tr>
        <w:trPr>
          <w:cantSplit/>
        </w:trPr>
        <w:tc>
          <w:tcPr>
            <w:tcW w:type="dxa" w:w="5112"/>
            <w:tcMar>
              <w:top w:w="50" w:type="dxa"/>
              <w:start w:w="75" w:type="dxa"/>
              <w:bottom w:w="50" w:type="dxa"/>
              <w:end w:w="75" w:type="dxa"/>
            </w:tcMar>
          </w:tcPr>
          <w:p>
            <w:r>
              <w:rPr>
                <w:rFonts w:ascii="Noto Sans" w:hAnsi="Noto Sans" w:eastAsia="Noto Sans CJK JP"/>
                <w:sz w:val="16"/>
              </w:rPr>
              <w:t>Style である</w:t>
            </w:r>
          </w:p>
        </w:tc>
        <w:tc>
          <w:tcPr>
            <w:tcW w:type="dxa" w:w="5112"/>
            <w:tcMar>
              <w:top w:w="50" w:type="dxa"/>
              <w:start w:w="75" w:type="dxa"/>
              <w:bottom w:w="50" w:type="dxa"/>
              <w:end w:w="75" w:type="dxa"/>
            </w:tcMar>
          </w:tcPr>
          <w:p>
            <w:r>
              <w:rPr>
                <w:rFonts w:ascii="Noto Sans" w:hAnsi="Noto Sans" w:eastAsia="Noto Sans CJK JP"/>
                <w:sz w:val="16"/>
              </w:rPr>
              <w:t>Style écrit neutre / formel fréquent dans textes explicatifs, rapports et essais.</w:t>
            </w:r>
          </w:p>
        </w:tc>
      </w:tr>
      <w:tr>
        <w:trPr>
          <w:cantSplit/>
        </w:trPr>
        <w:tc>
          <w:tcPr>
            <w:tcW w:type="dxa" w:w="5112"/>
            <w:tcMar>
              <w:top w:w="50" w:type="dxa"/>
              <w:start w:w="75" w:type="dxa"/>
              <w:bottom w:w="50" w:type="dxa"/>
              <w:end w:w="75" w:type="dxa"/>
            </w:tcMar>
          </w:tcPr>
          <w:p>
            <w:r>
              <w:rPr>
                <w:rFonts w:ascii="Noto Sans" w:hAnsi="Noto Sans" w:eastAsia="Noto Sans CJK JP"/>
                <w:sz w:val="16"/>
              </w:rPr>
              <w:t>Collocation</w:t>
            </w:r>
          </w:p>
        </w:tc>
        <w:tc>
          <w:tcPr>
            <w:tcW w:type="dxa" w:w="5112"/>
            <w:tcMar>
              <w:top w:w="50" w:type="dxa"/>
              <w:start w:w="75" w:type="dxa"/>
              <w:bottom w:w="50" w:type="dxa"/>
              <w:end w:w="75" w:type="dxa"/>
            </w:tcMar>
          </w:tcPr>
          <w:p>
            <w:r>
              <w:rPr>
                <w:rFonts w:ascii="Noto Sans" w:hAnsi="Noto Sans" w:eastAsia="Noto Sans CJK JP"/>
                <w:sz w:val="16"/>
              </w:rPr>
              <w:t>Association de mots considérée naturelle : 影響を与える, 対策を取る...</w:t>
            </w:r>
          </w:p>
        </w:tc>
      </w:tr>
      <w:tr>
        <w:trPr>
          <w:cantSplit/>
        </w:trPr>
        <w:tc>
          <w:tcPr>
            <w:tcW w:type="dxa" w:w="5112"/>
            <w:tcMar>
              <w:top w:w="50" w:type="dxa"/>
              <w:start w:w="75" w:type="dxa"/>
              <w:bottom w:w="50" w:type="dxa"/>
              <w:end w:w="75" w:type="dxa"/>
            </w:tcMar>
          </w:tcPr>
          <w:p>
            <w:r>
              <w:rPr>
                <w:rFonts w:ascii="Noto Sans" w:hAnsi="Noto Sans" w:eastAsia="Noto Sans CJK JP"/>
                <w:sz w:val="16"/>
              </w:rPr>
              <w:t>Texte authentique</w:t>
            </w:r>
          </w:p>
        </w:tc>
        <w:tc>
          <w:tcPr>
            <w:tcW w:type="dxa" w:w="5112"/>
            <w:tcMar>
              <w:top w:w="50" w:type="dxa"/>
              <w:start w:w="75" w:type="dxa"/>
              <w:bottom w:w="50" w:type="dxa"/>
              <w:end w:w="75" w:type="dxa"/>
            </w:tcMar>
          </w:tcPr>
          <w:p>
            <w:r>
              <w:rPr>
                <w:rFonts w:ascii="Noto Sans" w:hAnsi="Noto Sans" w:eastAsia="Noto Sans CJK JP"/>
                <w:sz w:val="16"/>
              </w:rPr>
              <w:t>Contenu créé pour des locuteurs japonais et non spécialement simplifié pour l'apprentissage.</w:t>
            </w:r>
          </w:p>
        </w:tc>
      </w:tr>
      <w:tr>
        <w:tc>
          <w:tcPr>
            <w:tcW w:type="dxa" w:w="5112"/>
          </w:tcPr>
          <w:p>
            <w:r/>
            <w:r>
              <w:rPr>
                <w:rFonts w:ascii="Noto Sans" w:hAnsi="Noto Sans" w:eastAsia="Noto Sans CJK JP"/>
                <w:b w:val="0"/>
                <w:sz w:val="15"/>
              </w:rPr>
              <w:t>Prosodie</w:t>
            </w:r>
          </w:p>
        </w:tc>
        <w:tc>
          <w:tcPr>
            <w:tcW w:type="dxa" w:w="5112"/>
          </w:tcPr>
          <w:p>
            <w:r/>
            <w:r>
              <w:rPr>
                <w:rFonts w:ascii="Noto Sans" w:hAnsi="Noto Sans" w:eastAsia="Noto Sans CJK JP"/>
                <w:b w:val="0"/>
                <w:sz w:val="15"/>
              </w:rPr>
              <w:t>Rythme, pauses, focalisation et intonation qui structurent un énoncé au-delà de la prononciation de chaque son.</w:t>
            </w:r>
          </w:p>
        </w:tc>
      </w:tr>
    </w:tbl>
    <w:p>
      <w:pPr>
        <w:pStyle w:val="Heading1"/>
      </w:pPr>
      <w:r>
        <w:t>32. Points à figer lors du futur document « Missions étape 6 »</w:t>
      </w:r>
    </w:p>
    <w:p>
      <w:pPr>
        <w:pStyle w:val="ListBullet"/>
        <w:spacing w:after="40"/>
      </w:pPr>
      <w:r>
        <w:rPr>
          <w:rFonts w:ascii="Noto Sans" w:hAnsi="Noto Sans" w:eastAsia="Noto Sans CJK JP"/>
          <w:sz w:val="19"/>
        </w:rPr>
        <w:t>quelles structures avancées sont actives (à produire) ou seulement passives (à reconnaître) ;</w:t>
      </w:r>
    </w:p>
    <w:p>
      <w:pPr>
        <w:pStyle w:val="ListBullet"/>
        <w:spacing w:after="40"/>
      </w:pPr>
      <w:r>
        <w:rPr>
          <w:rFonts w:ascii="Noto Sans" w:hAnsi="Noto Sans" w:eastAsia="Noto Sans CJK JP"/>
          <w:sz w:val="19"/>
        </w:rPr>
        <w:t>ordre de comparaison des modalités déjà acquises, statut productif de ～に違いない et critères de choix selon registre / force argumentative ;</w:t>
      </w:r>
    </w:p>
    <w:p>
      <w:pPr>
        <w:pStyle w:val="ListBullet"/>
        <w:spacing w:after="40"/>
      </w:pPr>
      <w:r>
        <w:rPr>
          <w:rFonts w:ascii="Noto Sans" w:hAnsi="Noto Sans" w:eastAsia="Noto Sans CJK JP"/>
          <w:sz w:val="19"/>
        </w:rPr>
        <w:t>liste exacte des connecteurs obligatoires ;</w:t>
      </w:r>
    </w:p>
    <w:p>
      <w:pPr>
        <w:pStyle w:val="ListBullet"/>
        <w:spacing w:after="40"/>
      </w:pPr>
      <w:r>
        <w:rPr>
          <w:rFonts w:ascii="Noto Sans" w:hAnsi="Noto Sans" w:eastAsia="Noto Sans CJK JP"/>
          <w:sz w:val="19"/>
        </w:rPr>
        <w:t>bibliothèque de textes authentiques et niveau de simplification autorisé ;</w:t>
      </w:r>
    </w:p>
    <w:p>
      <w:pPr>
        <w:pStyle w:val="ListBullet"/>
        <w:spacing w:after="40"/>
      </w:pPr>
      <w:r>
        <w:rPr>
          <w:rFonts w:ascii="Noto Sans" w:hAnsi="Noto Sans" w:eastAsia="Noto Sans CJK JP"/>
          <w:sz w:val="19"/>
        </w:rPr>
        <w:t>progression article court → commentaire → texte argumentatif ;</w:t>
      </w:r>
    </w:p>
    <w:p>
      <w:pPr>
        <w:pStyle w:val="ListBullet"/>
        <w:spacing w:after="40"/>
      </w:pPr>
      <w:r>
        <w:rPr>
          <w:rFonts w:ascii="Noto Sans" w:hAnsi="Noto Sans" w:eastAsia="Noto Sans CJK JP"/>
          <w:sz w:val="19"/>
        </w:rPr>
        <w:t>critères de correction d'un résumé ;</w:t>
      </w:r>
    </w:p>
    <w:p>
      <w:pPr>
        <w:pStyle w:val="ListBullet"/>
        <w:spacing w:after="40"/>
      </w:pPr>
      <w:r>
        <w:rPr>
          <w:rFonts w:ascii="Noto Sans" w:hAnsi="Noto Sans" w:eastAsia="Noto Sans CJK JP"/>
          <w:sz w:val="19"/>
        </w:rPr>
        <w:t>types d'exercices pour analyser intention et point de vue de l'auteur ;</w:t>
      </w:r>
    </w:p>
    <w:p>
      <w:pPr>
        <w:pStyle w:val="ListBullet"/>
        <w:spacing w:after="40"/>
      </w:pPr>
      <w:r>
        <w:rPr>
          <w:rFonts w:ascii="Noto Sans" w:hAnsi="Noto Sans" w:eastAsia="Noto Sans CJK JP"/>
          <w:sz w:val="19"/>
        </w:rPr>
        <w:t>critères de prononciation / prosodie pour les présentations : intelligibilité, débit, pauses, focalisation et intonation ;</w:t>
      </w:r>
    </w:p>
    <w:p>
      <w:pPr>
        <w:pStyle w:val="ListBullet"/>
        <w:spacing w:after="40"/>
      </w:pPr>
      <w:r>
        <w:rPr>
          <w:rFonts w:ascii="Noto Sans" w:hAnsi="Noto Sans" w:eastAsia="Noto Sans CJK JP"/>
          <w:sz w:val="19"/>
        </w:rPr>
        <w:t>méthode de shadowing / auto-enregistrement et rôle éventuel des métadonnées prosodiques ;</w:t>
      </w:r>
    </w:p>
    <w:p>
      <w:pPr>
        <w:pStyle w:val="ListBullet"/>
        <w:spacing w:after="40"/>
      </w:pPr>
      <w:r>
        <w:rPr>
          <w:rFonts w:ascii="Noto Sans" w:hAnsi="Noto Sans" w:eastAsia="Noto Sans CJK JP"/>
          <w:sz w:val="19"/>
        </w:rPr>
        <w:t>progression des audios : interview, reportage, exposé, discussion ;</w:t>
      </w:r>
    </w:p>
    <w:p>
      <w:pPr>
        <w:pStyle w:val="ListBullet"/>
        <w:spacing w:after="40"/>
      </w:pPr>
      <w:r>
        <w:rPr>
          <w:rFonts w:ascii="Noto Sans" w:hAnsi="Noto Sans" w:eastAsia="Noto Sans CJK JP"/>
          <w:sz w:val="19"/>
        </w:rPr>
        <w:t>durée cible des présentations orales ;</w:t>
      </w:r>
    </w:p>
    <w:p>
      <w:pPr>
        <w:pStyle w:val="ListBullet"/>
        <w:spacing w:after="40"/>
      </w:pPr>
      <w:r>
        <w:rPr>
          <w:rFonts w:ascii="Noto Sans" w:hAnsi="Noto Sans" w:eastAsia="Noto Sans CJK JP"/>
          <w:sz w:val="19"/>
        </w:rPr>
        <w:t>système d'évaluation des arguments au-delà de la seule correction grammaticale ;</w:t>
      </w:r>
    </w:p>
    <w:p>
      <w:pPr>
        <w:pStyle w:val="ListBullet"/>
        <w:spacing w:after="40"/>
      </w:pPr>
      <w:r>
        <w:rPr>
          <w:rFonts w:ascii="Noto Sans" w:hAnsi="Noto Sans" w:eastAsia="Noto Sans CJK JP"/>
          <w:sz w:val="19"/>
        </w:rPr>
        <w:t>catalogue de situations keigo et matrice uchi / soto ;</w:t>
      </w:r>
    </w:p>
    <w:p>
      <w:pPr>
        <w:pStyle w:val="ListBullet"/>
        <w:spacing w:after="40"/>
      </w:pPr>
      <w:r>
        <w:rPr>
          <w:rFonts w:ascii="Noto Sans" w:hAnsi="Noto Sans" w:eastAsia="Noto Sans CJK JP"/>
          <w:sz w:val="19"/>
        </w:rPr>
        <w:t>liste des verbes honorifiques / humbles obligatoires ;</w:t>
      </w:r>
    </w:p>
    <w:p>
      <w:pPr>
        <w:pStyle w:val="ListBullet"/>
        <w:spacing w:after="40"/>
      </w:pPr>
      <w:r>
        <w:rPr>
          <w:rFonts w:ascii="Noto Sans" w:hAnsi="Noto Sans" w:eastAsia="Noto Sans CJK JP"/>
          <w:sz w:val="19"/>
        </w:rPr>
        <w:t>critères de production écrite saisie : conversion kana → kanji, ponctuation, cohérence de style et relecture ;</w:t>
      </w:r>
    </w:p>
    <w:p>
      <w:pPr>
        <w:pStyle w:val="ListBullet"/>
        <w:spacing w:after="40"/>
      </w:pPr>
      <w:r>
        <w:rPr>
          <w:rFonts w:ascii="Noto Sans" w:hAnsi="Noto Sans" w:eastAsia="Noto Sans CJK JP"/>
          <w:sz w:val="19"/>
        </w:rPr>
        <w:t>format des exercices de mail, téléphone et rendez-vous professionnel ;</w:t>
      </w:r>
    </w:p>
    <w:p>
      <w:pPr>
        <w:pStyle w:val="ListBullet"/>
        <w:spacing w:after="40"/>
      </w:pPr>
      <w:r>
        <w:rPr>
          <w:rFonts w:ascii="Noto Sans" w:hAnsi="Noto Sans" w:eastAsia="Noto Sans CJK JP"/>
          <w:sz w:val="19"/>
        </w:rPr>
        <w:t>gestion des réponses multiples selon registre ;</w:t>
      </w:r>
    </w:p>
    <w:p>
      <w:pPr>
        <w:pStyle w:val="ListBullet"/>
        <w:spacing w:after="40"/>
      </w:pPr>
      <w:r>
        <w:rPr>
          <w:rFonts w:ascii="Noto Sans" w:hAnsi="Noto Sans" w:eastAsia="Noto Sans CJK JP"/>
          <w:sz w:val="19"/>
        </w:rPr>
        <w:t>progression vocabulaire abstrait / collocations / familles lexicales ;</w:t>
      </w:r>
    </w:p>
    <w:p>
      <w:pPr>
        <w:pStyle w:val="ListBullet"/>
        <w:spacing w:after="40"/>
      </w:pPr>
      <w:r>
        <w:rPr>
          <w:rFonts w:ascii="Noto Sans" w:hAnsi="Noto Sans" w:eastAsia="Noto Sans CJK JP"/>
          <w:sz w:val="19"/>
        </w:rPr>
        <w:t>niveau de densité de kanji par texte ;</w:t>
      </w:r>
    </w:p>
    <w:p>
      <w:pPr>
        <w:pStyle w:val="ListBullet"/>
        <w:spacing w:after="40"/>
      </w:pPr>
      <w:r>
        <w:rPr>
          <w:rFonts w:ascii="Noto Sans" w:hAnsi="Noto Sans" w:eastAsia="Noto Sans CJK JP"/>
          <w:sz w:val="19"/>
        </w:rPr>
        <w:t>utilisation du dictionnaire comme compétence explicite ;</w:t>
      </w:r>
    </w:p>
    <w:p>
      <w:pPr>
        <w:pStyle w:val="ListBullet"/>
        <w:spacing w:after="40"/>
      </w:pPr>
      <w:r>
        <w:rPr>
          <w:rFonts w:ascii="Noto Sans" w:hAnsi="Noto Sans" w:eastAsia="Noto Sans CJK JP"/>
          <w:sz w:val="19"/>
        </w:rPr>
        <w:t>seuil de tolérance aux mots inconnus pendant la lecture ;</w:t>
      </w:r>
    </w:p>
    <w:p>
      <w:pPr>
        <w:pStyle w:val="ListBullet"/>
        <w:spacing w:after="40"/>
      </w:pPr>
      <w:r>
        <w:rPr>
          <w:rFonts w:ascii="Noto Sans" w:hAnsi="Noto Sans" w:eastAsia="Noto Sans CJK JP"/>
          <w:sz w:val="19"/>
        </w:rPr>
        <w:t>évaluation finale multi-supports : texte + audio + discussion + production écrite ;</w:t>
      </w:r>
    </w:p>
    <w:p>
      <w:pPr>
        <w:pStyle w:val="ListBullet"/>
        <w:spacing w:after="40"/>
      </w:pPr>
      <w:r>
        <w:rPr>
          <w:rFonts w:ascii="Noto Sans" w:hAnsi="Noto Sans" w:eastAsia="Noto Sans CJK JP"/>
          <w:sz w:val="19"/>
        </w:rPr>
        <w:t>critères de passage vers l'étape 7 basés sur l'autonomie et non sur un nombre de règles mémorisées.</w:t>
      </w:r>
    </w:p>
    <w:p>
      <w:pPr>
        <w:pStyle w:val="Heading1"/>
      </w:pPr>
      <w:r>
        <w:t>33. Références de cadrage</w:t>
      </w:r>
    </w:p>
    <w:p>
      <w:r>
        <w:rPr>
          <w:rFonts w:ascii="Noto Sans" w:hAnsi="Noto Sans" w:eastAsia="Noto Sans CJK JP"/>
          <w:sz w:val="18"/>
        </w:rPr>
        <w:t>Ces références officielles servent uniquement de repères de cadrage. B2/C1 et JLPT N2/N1 sont des horizons approximatifs de comparaison, pas des certifications automatiques de l’étape 6. Le JF Standard décrit des Can-do de communication, tandis que le JLPT mesure surtout connaissances linguistiques, lecture et écoute et ne valide pas l’oral libre.</w:t>
      </w:r>
    </w:p>
    <w:p>
      <w:pPr>
        <w:pStyle w:val="ListBullet"/>
        <w:spacing w:after="40"/>
      </w:pPr>
      <w:r>
        <w:rPr>
          <w:rFonts w:ascii="Noto Sans" w:hAnsi="Noto Sans" w:eastAsia="Noto Sans CJK JP"/>
          <w:sz w:val="16"/>
        </w:rPr>
        <w:t xml:space="preserve">Japan Foundation — JF Standard Guidebook : au niveau B2, interaction fluide, argumentation et lecture d'articles ; au niveau C1, usage flexible dans des contextes sociaux et professionnels. </w:t>
      </w:r>
      <w:r>
        <w:rPr>
          <w:rFonts w:ascii="Noto Sans" w:hAnsi="Noto Sans" w:eastAsia="Noto Sans CJK JP"/>
          <w:color w:val="285578"/>
          <w:sz w:val="16"/>
        </w:rPr>
        <w:t>https://www.jfstandard.jpf.go.jp/pdf/web_whole_en.pdf</w:t>
      </w:r>
    </w:p>
    <w:p>
      <w:pPr>
        <w:pStyle w:val="ListBullet"/>
        <w:spacing w:after="40"/>
      </w:pPr>
      <w:r>
        <w:rPr>
          <w:rFonts w:ascii="Noto Sans" w:hAnsi="Noto Sans" w:eastAsia="Noto Sans CJK JP"/>
          <w:sz w:val="16"/>
        </w:rPr>
        <w:t xml:space="preserve">Japan Foundation — JF Standard : les niveaux sont définis par les Can-do et non par un nombre de règles, mots ou kanji. </w:t>
      </w:r>
      <w:r>
        <w:rPr>
          <w:rFonts w:ascii="Noto Sans" w:hAnsi="Noto Sans" w:eastAsia="Noto Sans CJK JP"/>
          <w:color w:val="285578"/>
          <w:sz w:val="16"/>
        </w:rPr>
        <w:t>https://www.jfstandard.jpf.go.jp/summaryen/ja/render.do</w:t>
      </w:r>
    </w:p>
    <w:p>
      <w:pPr>
        <w:pStyle w:val="ListBullet"/>
        <w:spacing w:after="40"/>
      </w:pPr>
      <w:r>
        <w:rPr>
          <w:rFonts w:ascii="Noto Sans" w:hAnsi="Noto Sans" w:eastAsia="Noto Sans CJK JP"/>
          <w:sz w:val="19"/>
        </w:rPr>
        <w:t>JLPT officiel — N2 : compréhension de japonais utilisé au quotidien et dans des situations variées ; N1 : compréhension dans une grande variété de circonstances, avec textes complexes et contenus oraux naturels. https://www.jlpt.jp/e/about/levelsummary.html</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CJK JP"/>
        <w:sz w:val="16"/>
      </w:rPr>
      <w:t>Application japonais — Étape 6 : Japonais avancé général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