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Noto Sans" w:hAnsi="Noto Sans" w:eastAsia="Noto Sans CJK JP"/>
          <w:b/>
          <w:color w:val="50646E"/>
          <w:sz w:val="22"/>
        </w:rPr>
        <w:t>APPRENTISSAGE DU JAPONAIS</w:t>
      </w:r>
    </w:p>
    <w:p>
      <w:pPr>
        <w:pStyle w:val="Title"/>
        <w:jc w:val="center"/>
      </w:pPr>
      <w:r>
        <w:rPr>
          <w:rFonts w:ascii="Noto Sans" w:hAnsi="Noto Sans" w:eastAsia="Noto Sans CJK JP"/>
          <w:b/>
          <w:color w:val="19374B"/>
          <w:sz w:val="48"/>
        </w:rPr>
        <w:t>Étape 7 — Autonomie avancée</w:t>
      </w:r>
    </w:p>
    <w:p>
      <w:pPr>
        <w:jc w:val="center"/>
      </w:pPr>
      <w:r>
        <w:rPr>
          <w:rFonts w:ascii="Noto Sans" w:hAnsi="Noto Sans" w:eastAsia="Noto Sans CJK JP"/>
          <w:color w:val="375564"/>
          <w:sz w:val="22"/>
        </w:rPr>
        <w:t>Horizon C1 → C2 • Implicite • Style • Autonomie • Contenus complexes • Spécialisations</w:t>
      </w:r>
    </w:p>
    <w:p/>
    <w:tbl>
      <w:tblPr>
        <w:tblW w:type="auto" w:w="0"/>
        <w:jc w:val="center"/>
        <w:tblLook w:firstColumn="1" w:firstRow="1" w:lastColumn="0" w:lastRow="0" w:noHBand="0" w:noVBand="1" w:val="04A0"/>
      </w:tblPr>
      <w:tblGrid>
        <w:gridCol w:w="10224"/>
      </w:tblGrid>
      <w:tr>
        <w:trPr>
          <w:cantSplit w:val="1"/>
        </w:trPr>
        <w:tc>
          <w:tcPr>
            <w:tcW w:type="dxa" w:w="10224"/>
            <w:shd w:fill="E8F3F6"/>
            <w:tcMar>
              <w:top w:w="105" w:type="dxa"/>
              <w:start w:w="135" w:type="dxa"/>
              <w:bottom w:w="105" w:type="dxa"/>
              <w:end w:w="135" w:type="dxa"/>
            </w:tcMar>
          </w:tcPr>
          <w:p>
            <w:pPr>
              <w:spacing w:after="60"/>
            </w:pPr>
            <w:r>
              <w:rPr>
                <w:rFonts w:ascii="Noto Sans" w:hAnsi="Noto Sans" w:eastAsia="Noto Sans CJK JP"/>
                <w:b/>
                <w:sz w:val="20"/>
              </w:rPr>
              <w:t>But de cette étape</w:t>
            </w:r>
          </w:p>
          <w:p>
            <w:pPr>
              <w:spacing w:after="0"/>
            </w:pPr>
            <w:r>
              <w:rPr>
                <w:rFonts w:ascii="Noto Sans" w:hAnsi="Noto Sans" w:eastAsia="Noto Sans CJK JP"/>
                <w:sz w:val="19"/>
              </w:rPr>
              <w:t>À la fin de l’étape 7, l’utilisateur possède le tronc commun nécessaire pour continuer à progresser sans dépendre d’un parcours francophone guidé. Il peut comprendre et produire des contenus longs et complexes, gérer l’implicite et le registre, réparer une interaction, utiliser des ressources japonaises, apprendre du vocabulaire directement en japonais et commencer une spécialisation choisie. Les domaines spécialisés ne sont pas tous obligatoires : ils deviennent des branches électives après ou autour de la validation du tronc commun.</w:t>
            </w:r>
          </w:p>
        </w:tc>
      </w:tr>
    </w:tbl>
    <w:p>
      <w:pPr>
        <w:spacing w:after="0"/>
      </w:pPr>
    </w:p>
    <w:p>
      <w:pPr>
        <w:jc w:val="center"/>
      </w:pPr>
      <w:r>
        <w:rPr>
          <w:rFonts w:ascii="Noto Sans" w:hAnsi="Noto Sans" w:eastAsia="Noto Sans CJK JP"/>
          <w:color w:val="5A6469"/>
          <w:sz w:val="18"/>
        </w:rPr>
        <w:t>Étape terminale du tronc commun guidé — elle débloque ensuite un mode d’autonomie et des spécialisations.</w:t>
      </w:r>
    </w:p>
    <w:p>
      <w:r>
        <w:br w:type="page"/>
      </w:r>
    </w:p>
    <w:p>
      <w:pPr>
        <w:pStyle w:val="Heading1"/>
      </w:pPr>
      <w:r>
        <w:t>1. Position de l’étape 7 dans le parcours global</w:t>
      </w:r>
    </w:p>
    <w:p>
      <w:r>
        <w:rPr>
          <w:rFonts w:ascii="Noto Sans" w:hAnsi="Noto Sans" w:eastAsia="Noto Sans CJK JP"/>
          <w:sz w:val="20"/>
        </w:rPr>
        <w:t>L’étape 6 a donné une autonomie avancée générale : argumentation, textes complexes, keigo et communication professionnelle courante. L’étape 7 ne cherche plus principalement à ajouter de nouvelles règles. Elle apprend à gérer ce qui n’a pas été préparé à l’avance : variation, implicite, mots inconnus, contenus longs, styles différents et besoins personnels.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1"/>
        </w:trPr>
        <w:tc>
          <w:tcPr>
            <w:tcW w:type="dxa" w:w="3408"/>
            <w:shd w:fill="DCEAF0"/>
            <w:tcMar>
              <w:top w:w="65" w:type="dxa"/>
              <w:start w:w="90" w:type="dxa"/>
              <w:bottom w:w="65" w:type="dxa"/>
              <w:end w:w="90" w:type="dxa"/>
            </w:tcMar>
          </w:tcPr>
          <w:p>
            <w:r>
              <w:rPr>
                <w:rFonts w:ascii="Noto Sans" w:hAnsi="Noto Sans" w:eastAsia="Noto Sans CJK JP"/>
                <w:b/>
                <w:sz w:val="17"/>
              </w:rPr>
              <w:t>Avant</w:t>
            </w:r>
          </w:p>
        </w:tc>
        <w:tc>
          <w:tcPr>
            <w:tcW w:type="dxa" w:w="3408"/>
            <w:shd w:fill="DCEAF0"/>
            <w:tcMar>
              <w:top w:w="65" w:type="dxa"/>
              <w:start w:w="90" w:type="dxa"/>
              <w:bottom w:w="65" w:type="dxa"/>
              <w:end w:w="90" w:type="dxa"/>
            </w:tcMar>
          </w:tcPr>
          <w:p>
            <w:r>
              <w:rPr>
                <w:rFonts w:ascii="Noto Sans" w:hAnsi="Noto Sans" w:eastAsia="Noto Sans CJK JP"/>
                <w:b/>
                <w:sz w:val="17"/>
              </w:rPr>
              <w:t>Étape 7</w:t>
            </w:r>
          </w:p>
        </w:tc>
        <w:tc>
          <w:tcPr>
            <w:tcW w:type="dxa" w:w="3408"/>
            <w:shd w:fill="DCEAF0"/>
            <w:tcMar>
              <w:top w:w="65" w:type="dxa"/>
              <w:start w:w="90" w:type="dxa"/>
              <w:bottom w:w="65" w:type="dxa"/>
              <w:end w:w="90" w:type="dxa"/>
            </w:tcMar>
          </w:tcPr>
          <w:p>
            <w:r>
              <w:rPr>
                <w:rFonts w:ascii="Noto Sans" w:hAnsi="Noto Sans" w:eastAsia="Noto Sans CJK JP"/>
                <w:b/>
                <w:sz w:val="17"/>
              </w:rPr>
              <w:t>Après</w:t>
            </w:r>
          </w:p>
        </w:tc>
      </w:tr>
      <w:tr>
        <w:trPr>
          <w:cantSplit w:val="1"/>
        </w:trPr>
        <w:tc>
          <w:tcPr>
            <w:tcW w:type="dxa" w:w="3408"/>
            <w:tcMar>
              <w:top w:w="50" w:type="dxa"/>
              <w:start w:w="75" w:type="dxa"/>
              <w:bottom w:w="50" w:type="dxa"/>
              <w:end w:w="75" w:type="dxa"/>
            </w:tcMar>
          </w:tcPr>
          <w:p>
            <w:r>
              <w:rPr>
                <w:rFonts w:ascii="Noto Sans" w:hAnsi="Noto Sans" w:eastAsia="Noto Sans CJK JP"/>
                <w:sz w:val="15"/>
              </w:rPr>
              <w:t>Japonais avancé général</w:t>
            </w:r>
          </w:p>
        </w:tc>
        <w:tc>
          <w:tcPr>
            <w:tcW w:type="dxa" w:w="3408"/>
            <w:tcMar>
              <w:top w:w="50" w:type="dxa"/>
              <w:start w:w="75" w:type="dxa"/>
              <w:bottom w:w="50" w:type="dxa"/>
              <w:end w:w="75" w:type="dxa"/>
            </w:tcMar>
          </w:tcPr>
          <w:p>
            <w:r>
              <w:rPr>
                <w:rFonts w:ascii="Noto Sans" w:hAnsi="Noto Sans" w:eastAsia="Noto Sans CJK JP"/>
                <w:sz w:val="15"/>
              </w:rPr>
              <w:t>Autonomie linguistique et apprentissage autonome</w:t>
            </w:r>
          </w:p>
        </w:tc>
        <w:tc>
          <w:tcPr>
            <w:tcW w:type="dxa" w:w="3408"/>
            <w:tcMar>
              <w:top w:w="50" w:type="dxa"/>
              <w:start w:w="75" w:type="dxa"/>
              <w:bottom w:w="50" w:type="dxa"/>
              <w:end w:w="75" w:type="dxa"/>
            </w:tcMar>
          </w:tcPr>
          <w:p>
            <w:r>
              <w:rPr>
                <w:rFonts w:ascii="Noto Sans" w:hAnsi="Noto Sans" w:eastAsia="Noto Sans CJK JP"/>
                <w:sz w:val="15"/>
              </w:rPr>
              <w:t>Mode autonomie + spécialisations choisies</w:t>
            </w:r>
          </w:p>
        </w:tc>
      </w:tr>
      <w:tr>
        <w:trPr>
          <w:cantSplit w:val="1"/>
        </w:trPr>
        <w:tc>
          <w:tcPr>
            <w:tcW w:type="dxa" w:w="3408"/>
            <w:tcMar>
              <w:top w:w="50" w:type="dxa"/>
              <w:start w:w="75" w:type="dxa"/>
              <w:bottom w:w="50" w:type="dxa"/>
              <w:end w:w="75" w:type="dxa"/>
            </w:tcMar>
          </w:tcPr>
          <w:p>
            <w:r>
              <w:rPr>
                <w:rFonts w:ascii="Noto Sans" w:hAnsi="Noto Sans" w:eastAsia="Noto Sans CJK JP"/>
                <w:sz w:val="15"/>
              </w:rPr>
              <w:t>Bonne compréhension de contenus complexes</w:t>
            </w:r>
          </w:p>
        </w:tc>
        <w:tc>
          <w:tcPr>
            <w:tcW w:type="dxa" w:w="3408"/>
            <w:tcMar>
              <w:top w:w="50" w:type="dxa"/>
              <w:start w:w="75" w:type="dxa"/>
              <w:bottom w:w="50" w:type="dxa"/>
              <w:end w:w="75" w:type="dxa"/>
            </w:tcMar>
          </w:tcPr>
          <w:p>
            <w:r>
              <w:rPr>
                <w:rFonts w:ascii="Noto Sans" w:hAnsi="Noto Sans" w:eastAsia="Noto Sans CJK JP"/>
                <w:sz w:val="15"/>
              </w:rPr>
              <w:t>Gérer nuances, implicite, variation et inconnus</w:t>
            </w:r>
          </w:p>
        </w:tc>
        <w:tc>
          <w:tcPr>
            <w:tcW w:type="dxa" w:w="3408"/>
            <w:tcMar>
              <w:top w:w="50" w:type="dxa"/>
              <w:start w:w="75" w:type="dxa"/>
              <w:bottom w:w="50" w:type="dxa"/>
              <w:end w:w="75" w:type="dxa"/>
            </w:tcMar>
          </w:tcPr>
          <w:p>
            <w:r>
              <w:rPr>
                <w:rFonts w:ascii="Noto Sans" w:hAnsi="Noto Sans" w:eastAsia="Noto Sans CJK JP"/>
                <w:sz w:val="15"/>
              </w:rPr>
              <w:t>Approfondissement sans plafond fixe</w:t>
            </w:r>
          </w:p>
        </w:tc>
      </w:tr>
      <w:tr>
        <w:trPr>
          <w:cantSplit w:val="1"/>
        </w:trPr>
        <w:tc>
          <w:tcPr>
            <w:tcW w:type="dxa" w:w="3408"/>
            <w:tcMar>
              <w:top w:w="50" w:type="dxa"/>
              <w:start w:w="75" w:type="dxa"/>
              <w:bottom w:w="50" w:type="dxa"/>
              <w:end w:w="75" w:type="dxa"/>
            </w:tcMar>
          </w:tcPr>
          <w:p>
            <w:r>
              <w:rPr>
                <w:rFonts w:ascii="Noto Sans" w:hAnsi="Noto Sans" w:eastAsia="Noto Sans CJK JP"/>
                <w:sz w:val="15"/>
              </w:rPr>
              <w:t>Keigo général</w:t>
            </w:r>
          </w:p>
        </w:tc>
        <w:tc>
          <w:tcPr>
            <w:tcW w:type="dxa" w:w="3408"/>
            <w:tcMar>
              <w:top w:w="50" w:type="dxa"/>
              <w:start w:w="75" w:type="dxa"/>
              <w:bottom w:w="50" w:type="dxa"/>
              <w:end w:w="75" w:type="dxa"/>
            </w:tcMar>
          </w:tcPr>
          <w:p>
            <w:r>
              <w:rPr>
                <w:rFonts w:ascii="Noto Sans" w:hAnsi="Noto Sans" w:eastAsia="Noto Sans CJK JP"/>
                <w:sz w:val="15"/>
              </w:rPr>
              <w:t>Adaptation fine du registre dans le tronc commun</w:t>
            </w:r>
          </w:p>
        </w:tc>
        <w:tc>
          <w:tcPr>
            <w:tcW w:type="dxa" w:w="3408"/>
            <w:tcMar>
              <w:top w:w="50" w:type="dxa"/>
              <w:start w:w="75" w:type="dxa"/>
              <w:bottom w:w="50" w:type="dxa"/>
              <w:end w:w="75" w:type="dxa"/>
            </w:tcMar>
          </w:tcPr>
          <w:p>
            <w:r>
              <w:rPr>
                <w:rFonts w:ascii="Noto Sans" w:hAnsi="Noto Sans" w:eastAsia="Noto Sans CJK JP"/>
                <w:sz w:val="15"/>
              </w:rPr>
              <w:t>Conventions sectorielles selon spécialisation</w:t>
            </w:r>
          </w:p>
        </w:tc>
      </w:tr>
      <w:tr>
        <w:trPr>
          <w:cantSplit w:val="1"/>
        </w:trPr>
        <w:tc>
          <w:tcPr>
            <w:tcW w:type="dxa" w:w="3408"/>
            <w:tcMar>
              <w:top w:w="50" w:type="dxa"/>
              <w:start w:w="75" w:type="dxa"/>
              <w:bottom w:w="50" w:type="dxa"/>
              <w:end w:w="75" w:type="dxa"/>
            </w:tcMar>
          </w:tcPr>
          <w:p>
            <w:r>
              <w:rPr>
                <w:rFonts w:ascii="Noto Sans" w:hAnsi="Noto Sans" w:eastAsia="Noto Sans CJK JP"/>
                <w:sz w:val="15"/>
              </w:rPr>
              <w:t>Vocabulaire abstrait large</w:t>
            </w:r>
          </w:p>
        </w:tc>
        <w:tc>
          <w:tcPr>
            <w:tcW w:type="dxa" w:w="3408"/>
            <w:tcMar>
              <w:top w:w="50" w:type="dxa"/>
              <w:start w:w="75" w:type="dxa"/>
              <w:bottom w:w="50" w:type="dxa"/>
              <w:end w:w="75" w:type="dxa"/>
            </w:tcMar>
          </w:tcPr>
          <w:p>
            <w:r>
              <w:rPr>
                <w:rFonts w:ascii="Noto Sans" w:hAnsi="Noto Sans" w:eastAsia="Noto Sans CJK JP"/>
                <w:sz w:val="15"/>
              </w:rPr>
              <w:t>Stratégies pour apprendre de nouveaux domaines</w:t>
            </w:r>
          </w:p>
        </w:tc>
        <w:tc>
          <w:tcPr>
            <w:tcW w:type="dxa" w:w="3408"/>
            <w:tcMar>
              <w:top w:w="50" w:type="dxa"/>
              <w:start w:w="75" w:type="dxa"/>
              <w:bottom w:w="50" w:type="dxa"/>
              <w:end w:w="75" w:type="dxa"/>
            </w:tcMar>
          </w:tcPr>
          <w:p>
            <w:r>
              <w:rPr>
                <w:rFonts w:ascii="Noto Sans" w:hAnsi="Noto Sans" w:eastAsia="Noto Sans CJK JP"/>
                <w:sz w:val="15"/>
              </w:rPr>
              <w:t>Lexique spécialisé selon objectif</w:t>
            </w:r>
          </w:p>
        </w:tc>
      </w:tr>
    </w:tbl>
    <w:p>
      <w:pPr>
        <w:pStyle w:val="Heading1"/>
      </w:pPr>
      <w:r>
        <w:t>2. Prérequis</w:t>
      </w:r>
    </w:p>
    <w:p>
      <w:pPr>
        <w:pStyle w:val="ListBullet"/>
        <w:spacing w:after="40"/>
      </w:pPr>
      <w:r>
        <w:rPr>
          <w:rFonts w:ascii="Noto Sans" w:hAnsi="Noto Sans" w:eastAsia="Noto Sans CJK JP"/>
          <w:sz w:val="19"/>
        </w:rPr>
        <w:t>avoir validé l’étape 6 ;</w:t>
      </w:r>
    </w:p>
    <w:p>
      <w:pPr>
        <w:pStyle w:val="ListBullet"/>
        <w:spacing w:after="40"/>
      </w:pPr>
      <w:r>
        <w:rPr>
          <w:rFonts w:ascii="Noto Sans" w:hAnsi="Noto Sans" w:eastAsia="Noto Sans CJK JP"/>
          <w:sz w:val="19"/>
        </w:rPr>
        <w:t>comprendre les principaux contenus de presse, interviews, présentations et discussions générales à vitesse naturelle ;</w:t>
      </w:r>
    </w:p>
    <w:p>
      <w:pPr>
        <w:pStyle w:val="ListBullet"/>
        <w:spacing w:after="40"/>
      </w:pPr>
      <w:r>
        <w:rPr>
          <w:rFonts w:ascii="Noto Sans" w:hAnsi="Noto Sans" w:eastAsia="Noto Sans CJK JP"/>
          <w:sz w:val="19"/>
        </w:rPr>
        <w:t>argumenter à l’oral et à l’écrit avec une structure claire ;</w:t>
      </w:r>
    </w:p>
    <w:p>
      <w:pPr>
        <w:pStyle w:val="ListBullet"/>
        <w:spacing w:after="40"/>
      </w:pPr>
      <w:r>
        <w:rPr>
          <w:rFonts w:ascii="Noto Sans" w:hAnsi="Noto Sans" w:eastAsia="Noto Sans CJK JP"/>
          <w:sz w:val="19"/>
        </w:rPr>
        <w:t>utiliser les bases du keigo et adapter le registre à une situation sociale ou professionnelle ;</w:t>
      </w:r>
    </w:p>
    <w:p>
      <w:pPr>
        <w:pStyle w:val="ListBullet"/>
        <w:spacing w:after="40"/>
      </w:pPr>
      <w:r>
        <w:rPr>
          <w:rFonts w:ascii="Noto Sans" w:hAnsi="Noto Sans" w:eastAsia="Noto Sans CJK JP"/>
          <w:sz w:val="19"/>
        </w:rPr>
        <w:t>lire des textes authentiques généraux avec recours raisonnable au dictionnaire ;</w:t>
      </w:r>
    </w:p>
    <w:p>
      <w:pPr>
        <w:pStyle w:val="ListBullet"/>
        <w:spacing w:after="40"/>
      </w:pPr>
      <w:r>
        <w:rPr>
          <w:rFonts w:ascii="Noto Sans" w:hAnsi="Noto Sans" w:eastAsia="Noto Sans CJK JP"/>
          <w:sz w:val="19"/>
        </w:rPr>
        <w:t>résumer, reformuler et expliquer une idée complexe avec ses propres mots ;</w:t>
      </w:r>
    </w:p>
    <w:p>
      <w:pPr>
        <w:pStyle w:val="ListBullet"/>
        <w:spacing w:after="40"/>
      </w:pPr>
      <w:r>
        <w:rPr>
          <w:rFonts w:ascii="Noto Sans" w:hAnsi="Noto Sans" w:eastAsia="Noto Sans CJK JP"/>
          <w:sz w:val="19"/>
        </w:rPr>
        <w:t>posséder une base de kanji et de vocabulaire suffisante pour déduire une partie du sens par le contexte.</w:t>
      </w:r>
    </w:p>
    <w:p>
      <w:pPr>
        <w:pStyle w:val="Heading1"/>
      </w:pPr>
      <w:r>
        <w:t>3. Architecture interne de l’étape 7 : tronc commun et branches électives</w:t>
      </w:r>
    </w:p>
    <w:p>
      <w:r>
        <w:rPr>
          <w:rFonts w:ascii="Noto Sans" w:hAnsi="Noto Sans" w:eastAsia="Noto Sans CJK JP"/>
          <w:sz w:val="20"/>
        </w:rPr>
        <w:t>C’est la correction structurante de cette étape. La maîtrise avancée ne doit pas obliger chaque utilisateur à étudier la littérature, le japonais classique, un dialecte, l’université et plusieurs métiers. L’étape 7 est donc divisée en deux couches.</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90" w:type="dxa"/>
              <w:bottom w:w="65" w:type="dxa"/>
              <w:end w:w="90" w:type="dxa"/>
            </w:tcMar>
          </w:tcPr>
          <w:p>
            <w:r>
              <w:rPr>
                <w:rFonts w:ascii="Noto Sans" w:hAnsi="Noto Sans" w:eastAsia="Noto Sans CJK JP"/>
                <w:b/>
                <w:sz w:val="17"/>
              </w:rPr>
              <w:t>Tronc commun obligatoire</w:t>
            </w:r>
          </w:p>
        </w:tc>
        <w:tc>
          <w:tcPr>
            <w:tcW w:type="dxa" w:w="5112"/>
            <w:shd w:fill="DCEAF0"/>
            <w:tcMar>
              <w:top w:w="65" w:type="dxa"/>
              <w:start w:w="90" w:type="dxa"/>
              <w:bottom w:w="65" w:type="dxa"/>
              <w:end w:w="90" w:type="dxa"/>
            </w:tcMar>
          </w:tcPr>
          <w:p>
            <w:r>
              <w:rPr>
                <w:rFonts w:ascii="Noto Sans" w:hAnsi="Noto Sans" w:eastAsia="Noto Sans CJK JP"/>
                <w:b/>
                <w:sz w:val="17"/>
              </w:rPr>
              <w:t>Branches optionnelles / électives</w:t>
            </w:r>
          </w:p>
        </w:tc>
      </w:tr>
      <w:tr>
        <w:trPr>
          <w:cantSplit w:val="1"/>
        </w:trPr>
        <w:tc>
          <w:tcPr>
            <w:tcW w:type="dxa" w:w="5112"/>
            <w:tcMar>
              <w:top w:w="50" w:type="dxa"/>
              <w:start w:w="75" w:type="dxa"/>
              <w:bottom w:w="50" w:type="dxa"/>
              <w:end w:w="75" w:type="dxa"/>
            </w:tcMar>
          </w:tcPr>
          <w:p>
            <w:r>
              <w:rPr>
                <w:rFonts w:ascii="Noto Sans" w:hAnsi="Noto Sans" w:eastAsia="Noto Sans CJK JP"/>
                <w:sz w:val="15"/>
              </w:rPr>
              <w:t>Gérer l’inconnu et déduire le sens</w:t>
            </w:r>
          </w:p>
        </w:tc>
        <w:tc>
          <w:tcPr>
            <w:tcW w:type="dxa" w:w="5112"/>
            <w:tcMar>
              <w:top w:w="50" w:type="dxa"/>
              <w:start w:w="75" w:type="dxa"/>
              <w:bottom w:w="50" w:type="dxa"/>
              <w:end w:w="75" w:type="dxa"/>
            </w:tcMar>
          </w:tcPr>
          <w:p>
            <w:r>
              <w:rPr>
                <w:rFonts w:ascii="Noto Sans" w:hAnsi="Noto Sans" w:eastAsia="Noto Sans CJK JP"/>
                <w:sz w:val="15"/>
              </w:rPr>
              <w:t>Lecture littéraire approfondie</w:t>
            </w:r>
          </w:p>
        </w:tc>
      </w:tr>
      <w:tr>
        <w:trPr>
          <w:cantSplit w:val="1"/>
        </w:trPr>
        <w:tc>
          <w:tcPr>
            <w:tcW w:type="dxa" w:w="5112"/>
            <w:tcMar>
              <w:top w:w="50" w:type="dxa"/>
              <w:start w:w="75" w:type="dxa"/>
              <w:bottom w:w="50" w:type="dxa"/>
              <w:end w:w="75" w:type="dxa"/>
            </w:tcMar>
          </w:tcPr>
          <w:p>
            <w:r>
              <w:rPr>
                <w:rFonts w:ascii="Noto Sans" w:hAnsi="Noto Sans" w:eastAsia="Noto Sans CJK JP"/>
                <w:sz w:val="15"/>
              </w:rPr>
              <w:t>Implicite, nuance, registre et style</w:t>
            </w:r>
          </w:p>
        </w:tc>
        <w:tc>
          <w:tcPr>
            <w:tcW w:type="dxa" w:w="5112"/>
            <w:tcMar>
              <w:top w:w="50" w:type="dxa"/>
              <w:start w:w="75" w:type="dxa"/>
              <w:bottom w:w="50" w:type="dxa"/>
              <w:end w:w="75" w:type="dxa"/>
            </w:tcMar>
          </w:tcPr>
          <w:p>
            <w:r>
              <w:rPr>
                <w:rFonts w:ascii="Noto Sans" w:hAnsi="Noto Sans" w:eastAsia="Noto Sans CJK JP"/>
                <w:sz w:val="15"/>
              </w:rPr>
              <w:t>Japonais classique au-delà d’une sensibilisation</w:t>
            </w:r>
          </w:p>
        </w:tc>
      </w:tr>
      <w:tr>
        <w:trPr>
          <w:cantSplit w:val="1"/>
        </w:trPr>
        <w:tc>
          <w:tcPr>
            <w:tcW w:type="dxa" w:w="5112"/>
            <w:tcMar>
              <w:top w:w="50" w:type="dxa"/>
              <w:start w:w="75" w:type="dxa"/>
              <w:bottom w:w="50" w:type="dxa"/>
              <w:end w:w="75" w:type="dxa"/>
            </w:tcMar>
          </w:tcPr>
          <w:p>
            <w:r>
              <w:rPr>
                <w:rFonts w:ascii="Noto Sans" w:hAnsi="Noto Sans" w:eastAsia="Noto Sans CJK JP"/>
                <w:sz w:val="15"/>
              </w:rPr>
              <w:t>Interaction complexe, réparation et reformulation</w:t>
            </w:r>
          </w:p>
        </w:tc>
        <w:tc>
          <w:tcPr>
            <w:tcW w:type="dxa" w:w="5112"/>
            <w:tcMar>
              <w:top w:w="50" w:type="dxa"/>
              <w:start w:w="75" w:type="dxa"/>
              <w:bottom w:w="50" w:type="dxa"/>
              <w:end w:w="75" w:type="dxa"/>
            </w:tcMar>
          </w:tcPr>
          <w:p>
            <w:r>
              <w:rPr>
                <w:rFonts w:ascii="Noto Sans" w:hAnsi="Noto Sans" w:eastAsia="Noto Sans CJK JP"/>
                <w:sz w:val="15"/>
              </w:rPr>
              <w:t>Dialecte choisi en production</w:t>
            </w:r>
          </w:p>
        </w:tc>
      </w:tr>
      <w:tr>
        <w:trPr>
          <w:cantSplit w:val="1"/>
        </w:trPr>
        <w:tc>
          <w:tcPr>
            <w:tcW w:type="dxa" w:w="5112"/>
            <w:tcMar>
              <w:top w:w="50" w:type="dxa"/>
              <w:start w:w="75" w:type="dxa"/>
              <w:bottom w:w="50" w:type="dxa"/>
              <w:end w:w="75" w:type="dxa"/>
            </w:tcMar>
          </w:tcPr>
          <w:p>
            <w:r>
              <w:rPr>
                <w:rFonts w:ascii="Noto Sans" w:hAnsi="Noto Sans" w:eastAsia="Noto Sans CJK JP"/>
                <w:sz w:val="15"/>
              </w:rPr>
              <w:t>Dictionnaire monolingue, corpus et auto-apprentissage</w:t>
            </w:r>
          </w:p>
        </w:tc>
        <w:tc>
          <w:tcPr>
            <w:tcW w:type="dxa" w:w="5112"/>
            <w:tcMar>
              <w:top w:w="50" w:type="dxa"/>
              <w:start w:w="75" w:type="dxa"/>
              <w:bottom w:w="50" w:type="dxa"/>
              <w:end w:w="75" w:type="dxa"/>
            </w:tcMar>
          </w:tcPr>
          <w:p>
            <w:r>
              <w:rPr>
                <w:rFonts w:ascii="Noto Sans" w:hAnsi="Noto Sans" w:eastAsia="Noto Sans CJK JP"/>
                <w:sz w:val="15"/>
              </w:rPr>
              <w:t>Parcours académique spécialisé</w:t>
            </w:r>
          </w:p>
        </w:tc>
      </w:tr>
      <w:tr>
        <w:trPr>
          <w:cantSplit w:val="1"/>
        </w:trPr>
        <w:tc>
          <w:tcPr>
            <w:tcW w:type="dxa" w:w="5112"/>
            <w:tcMar>
              <w:top w:w="50" w:type="dxa"/>
              <w:start w:w="75" w:type="dxa"/>
              <w:bottom w:w="50" w:type="dxa"/>
              <w:end w:w="75" w:type="dxa"/>
            </w:tcMar>
          </w:tcPr>
          <w:p>
            <w:r>
              <w:rPr>
                <w:rFonts w:ascii="Noto Sans" w:hAnsi="Noto Sans" w:eastAsia="Noto Sans CJK JP"/>
                <w:sz w:val="15"/>
              </w:rPr>
              <w:t>Compréhension de contenus longs et complexes</w:t>
            </w:r>
          </w:p>
        </w:tc>
        <w:tc>
          <w:tcPr>
            <w:tcW w:type="dxa" w:w="5112"/>
            <w:tcMar>
              <w:top w:w="50" w:type="dxa"/>
              <w:start w:w="75" w:type="dxa"/>
              <w:bottom w:w="50" w:type="dxa"/>
              <w:end w:w="75" w:type="dxa"/>
            </w:tcMar>
          </w:tcPr>
          <w:p>
            <w:r>
              <w:rPr>
                <w:rFonts w:ascii="Noto Sans" w:hAnsi="Noto Sans" w:eastAsia="Noto Sans CJK JP"/>
                <w:sz w:val="15"/>
              </w:rPr>
              <w:t>Parcours métier / technique spécialisé</w:t>
            </w:r>
          </w:p>
        </w:tc>
      </w:tr>
      <w:tr>
        <w:trPr>
          <w:cantSplit w:val="1"/>
        </w:trPr>
        <w:tc>
          <w:tcPr>
            <w:tcW w:type="dxa" w:w="5112"/>
            <w:tcMar>
              <w:top w:w="50" w:type="dxa"/>
              <w:start w:w="75" w:type="dxa"/>
              <w:bottom w:w="50" w:type="dxa"/>
              <w:end w:w="75" w:type="dxa"/>
            </w:tcMar>
          </w:tcPr>
          <w:p>
            <w:r>
              <w:rPr>
                <w:rFonts w:ascii="Noto Sans" w:hAnsi="Noto Sans" w:eastAsia="Noto Sans CJK JP"/>
                <w:sz w:val="15"/>
              </w:rPr>
              <w:t>Production longue adaptée au public</w:t>
            </w:r>
          </w:p>
        </w:tc>
        <w:tc>
          <w:tcPr>
            <w:tcW w:type="dxa" w:w="5112"/>
            <w:tcMar>
              <w:top w:w="50" w:type="dxa"/>
              <w:start w:w="75" w:type="dxa"/>
              <w:bottom w:w="50" w:type="dxa"/>
              <w:end w:w="75" w:type="dxa"/>
            </w:tcMar>
          </w:tcPr>
          <w:p>
            <w:r>
              <w:rPr>
                <w:rFonts w:ascii="Noto Sans" w:hAnsi="Noto Sans" w:eastAsia="Noto Sans CJK JP"/>
                <w:sz w:val="15"/>
              </w:rPr>
              <w:t>Média / anime / manga comme spécialisation</w:t>
            </w:r>
          </w:p>
        </w:tc>
      </w:tr>
      <w:tr>
        <w:trPr>
          <w:cantSplit w:val="1"/>
        </w:trPr>
        <w:tc>
          <w:tcPr>
            <w:tcW w:type="dxa" w:w="5112"/>
            <w:tcMar>
              <w:top w:w="50" w:type="dxa"/>
              <w:start w:w="75" w:type="dxa"/>
              <w:bottom w:w="50" w:type="dxa"/>
              <w:end w:w="75" w:type="dxa"/>
            </w:tcMar>
          </w:tcPr>
          <w:p>
            <w:r>
              <w:rPr>
                <w:rFonts w:ascii="Noto Sans" w:hAnsi="Noto Sans" w:eastAsia="Noto Sans CJK JP"/>
                <w:sz w:val="15"/>
              </w:rPr>
              <w:t>Prononciation / prosodie avancée et adaptation du registre</w:t>
            </w:r>
          </w:p>
        </w:tc>
        <w:tc>
          <w:tcPr>
            <w:tcW w:type="dxa" w:w="5112"/>
            <w:tcMar>
              <w:top w:w="50" w:type="dxa"/>
              <w:start w:w="75" w:type="dxa"/>
              <w:bottom w:w="50" w:type="dxa"/>
              <w:end w:w="75" w:type="dxa"/>
            </w:tcMar>
          </w:tcPr>
          <w:p>
            <w:r>
              <w:rPr>
                <w:rFonts w:ascii="Noto Sans" w:hAnsi="Noto Sans" w:eastAsia="Noto Sans CJK JP"/>
                <w:sz w:val="15"/>
              </w:rPr>
              <w:t>Autres domaines selon les objectifs</w:t>
            </w:r>
          </w:p>
        </w:tc>
      </w:tr>
      <w:tr>
        <w:trPr>
          <w:cantSplit w:val="1"/>
        </w:trPr>
        <w:tc>
          <w:tcPr>
            <w:tcW w:type="dxa" w:w="5112"/>
            <w:tcMar>
              <w:top w:w="50" w:type="dxa"/>
              <w:start w:w="75" w:type="dxa"/>
              <w:bottom w:w="50" w:type="dxa"/>
              <w:end w:w="75" w:type="dxa"/>
            </w:tcMar>
          </w:tcPr>
          <w:p>
            <w:r>
              <w:rPr>
                <w:rFonts w:ascii="Noto Sans" w:hAnsi="Noto Sans" w:eastAsia="Noto Sans CJK JP"/>
                <w:sz w:val="15"/>
              </w:rPr>
              <w:t>Choisir et démarrer au moins une première spécialisation</w:t>
            </w:r>
          </w:p>
        </w:tc>
        <w:tc>
          <w:tcPr>
            <w:tcW w:type="dxa" w:w="5112"/>
            <w:tcMar>
              <w:top w:w="50" w:type="dxa"/>
              <w:start w:w="75" w:type="dxa"/>
              <w:bottom w:w="50" w:type="dxa"/>
              <w:end w:w="75" w:type="dxa"/>
            </w:tcMar>
          </w:tcPr>
          <w:p>
            <w:r>
              <w:rPr>
                <w:rFonts w:ascii="Noto Sans" w:hAnsi="Noto Sans" w:eastAsia="Noto Sans CJK JP"/>
                <w:sz w:val="15"/>
              </w:rPr>
              <w:t>Maîtrise complète de toutes les spécialisations</w:t>
            </w:r>
          </w:p>
        </w:tc>
      </w:tr>
    </w:tbl>
    <w:tbl>
      <w:tblPr>
        <w:tblW w:type="auto" w:w="0"/>
        <w:jc w:val="center"/>
        <w:tblLook w:firstColumn="1" w:firstRow="1" w:lastColumn="0" w:lastRow="0" w:noHBand="0" w:noVBand="1" w:val="04A0"/>
      </w:tblPr>
      <w:tblGrid>
        <w:gridCol w:w="10224"/>
      </w:tblGrid>
      <w:tr>
        <w:trPr>
          <w:cantSplit w:val="1"/>
        </w:trPr>
        <w:tc>
          <w:tcPr>
            <w:tcW w:type="dxa" w:w="10224"/>
            <w:shd w:fill="FFF4DE"/>
            <w:tcMar>
              <w:top w:w="105" w:type="dxa"/>
              <w:start w:w="135" w:type="dxa"/>
              <w:bottom w:w="105" w:type="dxa"/>
              <w:end w:w="135" w:type="dxa"/>
            </w:tcMar>
          </w:tcPr>
          <w:p>
            <w:pPr>
              <w:spacing w:after="60"/>
            </w:pPr>
            <w:r>
              <w:rPr>
                <w:rFonts w:ascii="Noto Sans" w:hAnsi="Noto Sans" w:eastAsia="Noto Sans CJK JP"/>
                <w:b/>
                <w:sz w:val="20"/>
              </w:rPr>
              <w:t>Conséquence pédagogique</w:t>
            </w:r>
          </w:p>
          <w:p>
            <w:pPr>
              <w:spacing w:after="0"/>
            </w:pPr>
            <w:r>
              <w:rPr>
                <w:rFonts w:ascii="Noto Sans" w:hAnsi="Noto Sans" w:eastAsia="Noto Sans CJK JP"/>
                <w:sz w:val="19"/>
              </w:rPr>
              <w:t>Pour valider l’étape 7, l’utilisateur doit réussir le tronc commun et effectuer une première entrée dans une spécialisation choisie. Il n’a pas à maîtriser toutes les branches électives. La fin du tronc commun débloque un « Mode autonomie » dans lequel le parcours devient de plus en plus personnalisé.</w:t>
            </w:r>
          </w:p>
        </w:tc>
      </w:tr>
    </w:tbl>
    <w:p>
      <w:pPr>
        <w:spacing w:after="0"/>
      </w:pPr>
    </w:p>
    <w:p>
      <w:pPr>
        <w:pStyle w:val="Heading1"/>
      </w:pPr>
      <w:r>
        <w:t>4. Définition de la réussite finale</w:t>
      </w:r>
    </w:p>
    <w:p>
      <w:r>
        <w:rPr>
          <w:rFonts w:ascii="Noto Sans" w:hAnsi="Noto Sans" w:eastAsia="Noto Sans CJK JP"/>
          <w:sz w:val="20"/>
        </w:rPr>
        <w:t>L’utilisateur n’a pas besoin de « tout connaître ». Il doit être capable de :</w:t>
      </w:r>
    </w:p>
    <w:p>
      <w:pPr>
        <w:pStyle w:val="ListBullet"/>
        <w:spacing w:after="40"/>
      </w:pPr>
      <w:r>
        <w:rPr>
          <w:rFonts w:ascii="Noto Sans" w:hAnsi="Noto Sans" w:eastAsia="Noto Sans CJK JP"/>
          <w:sz w:val="19"/>
        </w:rPr>
        <w:t>comprendre l’essentiel et les nuances de contenus longs même lorsqu’ils contiennent des éléments inconnus ;</w:t>
      </w:r>
    </w:p>
    <w:p>
      <w:pPr>
        <w:pStyle w:val="ListBullet"/>
        <w:spacing w:after="40"/>
      </w:pPr>
      <w:r>
        <w:rPr>
          <w:rFonts w:ascii="Noto Sans" w:hAnsi="Noto Sans" w:eastAsia="Noto Sans CJK JP"/>
          <w:sz w:val="19"/>
        </w:rPr>
        <w:t>identifier implicite, sous-entendus, distance, hésitation, ironie fréquente et intention du locuteur ;</w:t>
      </w:r>
    </w:p>
    <w:p>
      <w:pPr>
        <w:pStyle w:val="ListBullet"/>
        <w:spacing w:after="40"/>
      </w:pPr>
      <w:r>
        <w:rPr>
          <w:rFonts w:ascii="Noto Sans" w:hAnsi="Noto Sans" w:eastAsia="Noto Sans CJK JP"/>
          <w:sz w:val="19"/>
        </w:rPr>
        <w:t>adapter naturellement niveau de politesse, vocabulaire, rythme et structure du discours ;</w:t>
      </w:r>
    </w:p>
    <w:p>
      <w:pPr>
        <w:pStyle w:val="ListBullet"/>
        <w:spacing w:after="40"/>
      </w:pPr>
      <w:r>
        <w:rPr>
          <w:rFonts w:ascii="Noto Sans" w:hAnsi="Noto Sans" w:eastAsia="Noto Sans CJK JP"/>
          <w:sz w:val="19"/>
        </w:rPr>
        <w:t>expliquer un sujet complexe à un public qui ne possède pas les mêmes connaissances ;</w:t>
      </w:r>
    </w:p>
    <w:p>
      <w:pPr>
        <w:pStyle w:val="ListBullet"/>
        <w:spacing w:after="40"/>
      </w:pPr>
      <w:r>
        <w:rPr>
          <w:rFonts w:ascii="Noto Sans" w:hAnsi="Noto Sans" w:eastAsia="Noto Sans CJK JP"/>
          <w:sz w:val="19"/>
        </w:rPr>
        <w:t>lire et exploiter des contenus généraux complexes et savoir utiliser les outils appropriés lorsqu’un texte devient spécialisé ;</w:t>
      </w:r>
    </w:p>
    <w:p>
      <w:pPr>
        <w:pStyle w:val="ListBullet"/>
        <w:spacing w:after="40"/>
      </w:pPr>
      <w:r>
        <w:rPr>
          <w:rFonts w:ascii="Noto Sans" w:hAnsi="Noto Sans" w:eastAsia="Noto Sans CJK JP"/>
          <w:sz w:val="19"/>
        </w:rPr>
        <w:t>écrire des textes longs et structurés dans plusieurs registres généraux ;</w:t>
      </w:r>
    </w:p>
    <w:p>
      <w:pPr>
        <w:pStyle w:val="ListBullet"/>
        <w:spacing w:after="40"/>
      </w:pPr>
      <w:r>
        <w:rPr>
          <w:rFonts w:ascii="Noto Sans" w:hAnsi="Noto Sans" w:eastAsia="Noto Sans CJK JP"/>
          <w:sz w:val="19"/>
        </w:rPr>
        <w:t>participer à un débat, une réunion ou une discussion complexe en temps réel ;</w:t>
      </w:r>
    </w:p>
    <w:p>
      <w:pPr>
        <w:pStyle w:val="ListBullet"/>
        <w:spacing w:after="40"/>
      </w:pPr>
      <w:r>
        <w:rPr>
          <w:rFonts w:ascii="Noto Sans" w:hAnsi="Noto Sans" w:eastAsia="Noto Sans CJK JP"/>
          <w:sz w:val="19"/>
        </w:rPr>
        <w:t>utiliser dictionnaires japonais, corpus, exemples natifs et ressources de référence sans revenir systématiquement au français ;</w:t>
      </w:r>
    </w:p>
    <w:p>
      <w:pPr>
        <w:pStyle w:val="ListBullet"/>
        <w:spacing w:after="40"/>
      </w:pPr>
      <w:r>
        <w:rPr>
          <w:rFonts w:ascii="Noto Sans" w:hAnsi="Noto Sans" w:eastAsia="Noto Sans CJK JP"/>
          <w:sz w:val="19"/>
        </w:rPr>
        <w:t>identifier ses lacunes et organiser lui-même ses révisions ;</w:t>
      </w:r>
    </w:p>
    <w:p>
      <w:pPr>
        <w:pStyle w:val="ListBullet"/>
        <w:spacing w:after="40"/>
      </w:pPr>
      <w:r>
        <w:rPr>
          <w:rFonts w:ascii="Noto Sans" w:hAnsi="Noto Sans" w:eastAsia="Noto Sans CJK JP"/>
          <w:sz w:val="19"/>
        </w:rPr>
        <w:t>apprendre un nouveau domaine lexical directement en japonais ;</w:t>
      </w:r>
    </w:p>
    <w:p>
      <w:pPr>
        <w:pStyle w:val="ListBullet"/>
        <w:spacing w:after="40"/>
      </w:pPr>
      <w:r>
        <w:rPr>
          <w:rFonts w:ascii="Noto Sans" w:hAnsi="Noto Sans" w:eastAsia="Noto Sans CJK JP"/>
          <w:sz w:val="19"/>
        </w:rPr>
        <w:t>choisir une spécialisation cohérente avec ses objectifs et commencer à y transférer ses compétences générales.</w:t>
      </w:r>
    </w:p>
    <w:tbl>
      <w:tblPr>
        <w:tblW w:type="auto" w:w="0"/>
        <w:jc w:val="center"/>
        <w:tblLook w:firstColumn="1" w:firstRow="1" w:lastColumn="0" w:lastRow="0" w:noHBand="0" w:noVBand="1" w:val="04A0"/>
      </w:tblPr>
      <w:tblGrid>
        <w:gridCol w:w="10224"/>
      </w:tblGrid>
      <w:tr>
        <w:trPr>
          <w:cantSplit w:val="1"/>
        </w:trPr>
        <w:tc>
          <w:tcPr>
            <w:tcW w:type="dxa" w:w="10224"/>
            <w:shd w:fill="FFF4DE"/>
            <w:tcMar>
              <w:top w:w="105" w:type="dxa"/>
              <w:start w:w="135" w:type="dxa"/>
              <w:bottom w:w="105" w:type="dxa"/>
              <w:end w:w="135" w:type="dxa"/>
            </w:tcMar>
          </w:tcPr>
          <w:p>
            <w:pPr>
              <w:spacing w:after="60"/>
            </w:pPr>
            <w:r>
              <w:rPr>
                <w:rFonts w:ascii="Noto Sans" w:hAnsi="Noto Sans" w:eastAsia="Noto Sans CJK JP"/>
                <w:b/>
                <w:sz w:val="20"/>
              </w:rPr>
              <w:t>Point fondamental</w:t>
            </w:r>
          </w:p>
          <w:p>
            <w:pPr>
              <w:spacing w:after="0"/>
            </w:pPr>
            <w:r>
              <w:rPr>
                <w:rFonts w:ascii="Noto Sans" w:hAnsi="Noto Sans" w:eastAsia="Noto Sans CJK JP"/>
                <w:sz w:val="19"/>
              </w:rPr>
              <w:t>L’horizon C1 / C2 sert ici de repère pédagogique, pas de certification automatique. Finir l’étape 7 ne signifie ni « connaître tout le japonais » ni parler exactement comme n’importe quel natif dans tous les domaines. La réussite finale correspond à une forte autonomie, à une communication complexe efficace et à la capacité de continuer à apprendre.</w:t>
            </w:r>
          </w:p>
        </w:tc>
      </w:tr>
    </w:tbl>
    <w:p>
      <w:pPr>
        <w:spacing w:after="0"/>
      </w:pPr>
    </w:p>
    <w:p>
      <w:pPr>
        <w:pStyle w:val="Heading1"/>
      </w:pPr>
      <w:r>
        <w:t>5. Principe pédagogique : apprendre à gérer l’inconnu</w:t>
      </w:r>
    </w:p>
    <w:p>
      <w:r>
        <w:rPr>
          <w:rFonts w:ascii="Noto Sans" w:hAnsi="Noto Sans" w:eastAsia="Noto Sans CJK JP"/>
          <w:sz w:val="20"/>
        </w:rPr>
        <w:t>Jusqu’ici, l’application contrôlait largement les notions nouvelles. À l’étape 7, une partie des activités doit volontairement contenir du vocabulaire, des expressions ou des références inconnues afin d’apprendre à continuer malgré elles.</w:t>
      </w:r>
    </w:p>
    <w:p>
      <w:pPr>
        <w:pStyle w:val="ListBullet"/>
        <w:spacing w:after="40"/>
      </w:pPr>
      <w:r>
        <w:rPr>
          <w:rFonts w:ascii="Noto Sans" w:hAnsi="Noto Sans" w:eastAsia="Noto Sans CJK JP"/>
          <w:sz w:val="19"/>
        </w:rPr>
        <w:t>distinguer ce qui est indispensable à la compréhension de ce qui peut être ignoré temporairement ;</w:t>
      </w:r>
    </w:p>
    <w:p>
      <w:pPr>
        <w:pStyle w:val="ListBullet"/>
        <w:spacing w:after="40"/>
      </w:pPr>
      <w:r>
        <w:rPr>
          <w:rFonts w:ascii="Noto Sans" w:hAnsi="Noto Sans" w:eastAsia="Noto Sans CJK JP"/>
          <w:sz w:val="19"/>
        </w:rPr>
        <w:t>déduire le sens par contexte, kanji, morphologie, opposition logique et structure du discours ;</w:t>
      </w:r>
    </w:p>
    <w:p>
      <w:pPr>
        <w:pStyle w:val="ListBullet"/>
        <w:spacing w:after="40"/>
      </w:pPr>
      <w:r>
        <w:rPr>
          <w:rFonts w:ascii="Noto Sans" w:hAnsi="Noto Sans" w:eastAsia="Noto Sans CJK JP"/>
          <w:sz w:val="19"/>
        </w:rPr>
        <w:t>savoir quand utiliser un dictionnaire et quand poursuivre sans interrompre la lecture ;</w:t>
      </w:r>
    </w:p>
    <w:p>
      <w:pPr>
        <w:pStyle w:val="ListBullet"/>
        <w:spacing w:after="40"/>
      </w:pPr>
      <w:r>
        <w:rPr>
          <w:rFonts w:ascii="Noto Sans" w:hAnsi="Noto Sans" w:eastAsia="Noto Sans CJK JP"/>
          <w:sz w:val="19"/>
        </w:rPr>
        <w:t>vérifier une hypothèse puis revenir au texte ou à l’audio ;</w:t>
      </w:r>
    </w:p>
    <w:p>
      <w:pPr>
        <w:pStyle w:val="ListBullet"/>
        <w:spacing w:after="40"/>
      </w:pPr>
      <w:r>
        <w:rPr>
          <w:rFonts w:ascii="Noto Sans" w:hAnsi="Noto Sans" w:eastAsia="Noto Sans CJK JP"/>
          <w:sz w:val="19"/>
        </w:rPr>
        <w:t>reformuler une idée même lorsque le mot exact manque ;</w:t>
      </w:r>
    </w:p>
    <w:p>
      <w:pPr>
        <w:pStyle w:val="ListBullet"/>
        <w:spacing w:after="40"/>
      </w:pPr>
      <w:r>
        <w:rPr>
          <w:rFonts w:ascii="Noto Sans" w:hAnsi="Noto Sans" w:eastAsia="Noto Sans CJK JP"/>
          <w:sz w:val="19"/>
        </w:rPr>
        <w:t>accepter une compréhension partielle provisoire avant une seconde lecture ou écoute.</w:t>
      </w:r>
    </w:p>
    <w:p>
      <w:pPr>
        <w:pStyle w:val="Heading1"/>
      </w:pPr>
      <w:r>
        <w:t>6. Bloc A — Implicite, sous-entendus et informations non dites</w:t>
      </w:r>
    </w:p>
    <w:p>
      <w:pPr>
        <w:pStyle w:val="ListBullet"/>
        <w:spacing w:after="40"/>
      </w:pPr>
      <w:r>
        <w:rPr>
          <w:rFonts w:ascii="Noto Sans" w:hAnsi="Noto Sans" w:eastAsia="Noto Sans CJK JP"/>
          <w:sz w:val="19"/>
        </w:rPr>
        <w:t>reconstruire un sujet, un objet ou un référent omis sur plusieurs phrases ;</w:t>
      </w:r>
    </w:p>
    <w:p>
      <w:pPr>
        <w:pStyle w:val="ListBullet"/>
        <w:spacing w:after="40"/>
      </w:pPr>
      <w:r>
        <w:rPr>
          <w:rFonts w:ascii="Noto Sans" w:hAnsi="Noto Sans" w:eastAsia="Noto Sans CJK JP"/>
          <w:sz w:val="19"/>
        </w:rPr>
        <w:t>comprendre une conclusion suggérée sans être formulée directement ;</w:t>
      </w:r>
    </w:p>
    <w:p>
      <w:pPr>
        <w:pStyle w:val="ListBullet"/>
        <w:spacing w:after="40"/>
      </w:pPr>
      <w:r>
        <w:rPr>
          <w:rFonts w:ascii="Noto Sans" w:hAnsi="Noto Sans" w:eastAsia="Noto Sans CJK JP"/>
          <w:sz w:val="19"/>
        </w:rPr>
        <w:t>identifier un refus indirect, une réserve ou une critique atténuée ;</w:t>
      </w:r>
    </w:p>
    <w:p>
      <w:pPr>
        <w:pStyle w:val="ListBullet"/>
        <w:spacing w:after="40"/>
      </w:pPr>
      <w:r>
        <w:rPr>
          <w:rFonts w:ascii="Noto Sans" w:hAnsi="Noto Sans" w:eastAsia="Noto Sans CJK JP"/>
          <w:sz w:val="19"/>
        </w:rPr>
        <w:t>comprendre lorsqu’une réponse comme ちょっと… fonctionne pratiquement comme un refus ;</w:t>
      </w:r>
    </w:p>
    <w:p>
      <w:pPr>
        <w:pStyle w:val="ListBullet"/>
        <w:spacing w:after="40"/>
      </w:pPr>
      <w:r>
        <w:rPr>
          <w:rFonts w:ascii="Noto Sans" w:hAnsi="Noto Sans" w:eastAsia="Noto Sans CJK JP"/>
          <w:sz w:val="19"/>
        </w:rPr>
        <w:t>repérer ce que le locuteur suppose déjà connu de l’interlocuteur ;</w:t>
      </w:r>
    </w:p>
    <w:p>
      <w:pPr>
        <w:pStyle w:val="ListBullet"/>
        <w:spacing w:after="40"/>
      </w:pPr>
      <w:r>
        <w:rPr>
          <w:rFonts w:ascii="Noto Sans" w:hAnsi="Noto Sans" w:eastAsia="Noto Sans CJK JP"/>
          <w:sz w:val="19"/>
        </w:rPr>
        <w:t>comprendre les changements de thème qui ne sont pas annoncés explicitement ;</w:t>
      </w:r>
    </w:p>
    <w:p>
      <w:pPr>
        <w:pStyle w:val="ListBullet"/>
        <w:spacing w:after="40"/>
      </w:pPr>
      <w:r>
        <w:rPr>
          <w:rFonts w:ascii="Noto Sans" w:hAnsi="Noto Sans" w:eastAsia="Noto Sans CJK JP"/>
          <w:sz w:val="19"/>
        </w:rPr>
        <w:t>distinguer silence, hésitation et formulation inachevée dans leur fonction interactionnelle.</w:t>
      </w:r>
    </w:p>
    <w:p>
      <w:pPr>
        <w:pStyle w:val="Heading1"/>
      </w:pPr>
      <w:r>
        <w:t>7. Bloc B — Ironie, humour, ambiguïté et double lecture</w:t>
      </w:r>
    </w:p>
    <w:p>
      <w:r>
        <w:rPr>
          <w:rFonts w:ascii="Noto Sans" w:hAnsi="Noto Sans" w:eastAsia="Noto Sans CJK JP"/>
          <w:sz w:val="20"/>
        </w:rPr>
        <w:t>La compréhension de ces phénomènes fait partie du tronc commun avancé, mais leur production n’est pas un objectif bloquant. Ils dépendent fortement du contexte, de la relation et de l’intonation.</w:t>
      </w:r>
    </w:p>
    <w:p>
      <w:pPr>
        <w:pStyle w:val="ListBullet"/>
        <w:spacing w:after="40"/>
      </w:pPr>
      <w:r>
        <w:rPr>
          <w:rFonts w:ascii="Noto Sans" w:hAnsi="Noto Sans" w:eastAsia="Noto Sans CJK JP"/>
          <w:sz w:val="19"/>
        </w:rPr>
        <w:t>identifier un écart entre les mots prononcés et la situation ;</w:t>
      </w:r>
    </w:p>
    <w:p>
      <w:pPr>
        <w:pStyle w:val="ListBullet"/>
        <w:spacing w:after="40"/>
      </w:pPr>
      <w:r>
        <w:rPr>
          <w:rFonts w:ascii="Noto Sans" w:hAnsi="Noto Sans" w:eastAsia="Noto Sans CJK JP"/>
          <w:sz w:val="19"/>
        </w:rPr>
        <w:t>utiliser intonation, contexte et réaction des autres pour inférer l’intention ;</w:t>
      </w:r>
    </w:p>
    <w:p>
      <w:pPr>
        <w:pStyle w:val="ListBullet"/>
        <w:spacing w:after="40"/>
      </w:pPr>
      <w:r>
        <w:rPr>
          <w:rFonts w:ascii="Noto Sans" w:hAnsi="Noto Sans" w:eastAsia="Noto Sans CJK JP"/>
          <w:sz w:val="19"/>
        </w:rPr>
        <w:t>reconnaître exagération et atténuation volontaire ;</w:t>
      </w:r>
    </w:p>
    <w:p>
      <w:pPr>
        <w:pStyle w:val="ListBullet"/>
        <w:spacing w:after="40"/>
      </w:pPr>
      <w:r>
        <w:rPr>
          <w:rFonts w:ascii="Noto Sans" w:hAnsi="Noto Sans" w:eastAsia="Noto Sans CJK JP"/>
          <w:sz w:val="19"/>
        </w:rPr>
        <w:t>comprendre des jeux de mots ou ambiguïtés simples lorsqu’ils sont soutenus par le contexte ;</w:t>
      </w:r>
    </w:p>
    <w:p>
      <w:pPr>
        <w:pStyle w:val="ListBullet"/>
        <w:spacing w:after="40"/>
      </w:pPr>
      <w:r>
        <w:rPr>
          <w:rFonts w:ascii="Noto Sans" w:hAnsi="Noto Sans" w:eastAsia="Noto Sans CJK JP"/>
          <w:sz w:val="19"/>
        </w:rPr>
        <w:t>distinguer humour amical, distance ironique et commentaire potentiellement agressif ;</w:t>
      </w:r>
    </w:p>
    <w:p>
      <w:pPr>
        <w:pStyle w:val="ListBullet"/>
        <w:spacing w:after="40"/>
      </w:pPr>
      <w:r>
        <w:rPr>
          <w:rFonts w:ascii="Noto Sans" w:hAnsi="Noto Sans" w:eastAsia="Noto Sans CJK JP"/>
          <w:sz w:val="19"/>
        </w:rPr>
        <w:t>prioriser la compréhension et l’interprétation plutôt que l’obligation de produire soi-même de l’humour.</w:t>
      </w:r>
    </w:p>
    <w:p>
      <w:pPr>
        <w:pStyle w:val="Heading1"/>
      </w:pPr>
      <w:r>
        <w:t>8. Bloc C — Nuances lexicales et collocations fines</w:t>
      </w:r>
    </w:p>
    <w:p>
      <w:pPr>
        <w:pStyle w:val="ListBullet"/>
        <w:spacing w:after="40"/>
      </w:pPr>
      <w:r>
        <w:rPr>
          <w:rFonts w:ascii="Noto Sans" w:hAnsi="Noto Sans" w:eastAsia="Noto Sans CJK JP"/>
          <w:sz w:val="19"/>
        </w:rPr>
        <w:t>distinguer plusieurs quasi-synonymes selon connotation, registre et contexte ;</w:t>
      </w:r>
    </w:p>
    <w:p>
      <w:pPr>
        <w:pStyle w:val="ListBullet"/>
        <w:spacing w:after="40"/>
      </w:pPr>
      <w:r>
        <w:rPr>
          <w:rFonts w:ascii="Noto Sans" w:hAnsi="Noto Sans" w:eastAsia="Noto Sans CJK JP"/>
          <w:sz w:val="19"/>
        </w:rPr>
        <w:t>apprendre les combinaisons naturelles nom + verbe, adjectif + nom et adverbe + verbe ;</w:t>
      </w:r>
    </w:p>
    <w:p>
      <w:pPr>
        <w:pStyle w:val="ListBullet"/>
        <w:spacing w:after="40"/>
      </w:pPr>
      <w:r>
        <w:rPr>
          <w:rFonts w:ascii="Noto Sans" w:hAnsi="Noto Sans" w:eastAsia="Noto Sans CJK JP"/>
          <w:sz w:val="19"/>
        </w:rPr>
        <w:t>comprendre qu’un mot grammaticalement correct peut sembler non naturel avec le mauvais partenaire lexical ;</w:t>
      </w:r>
    </w:p>
    <w:p>
      <w:pPr>
        <w:pStyle w:val="ListBullet"/>
        <w:spacing w:after="40"/>
      </w:pPr>
      <w:r>
        <w:rPr>
          <w:rFonts w:ascii="Noto Sans" w:hAnsi="Noto Sans" w:eastAsia="Noto Sans CJK JP"/>
          <w:sz w:val="19"/>
        </w:rPr>
        <w:t>travailler antonymes, mots génériques et termes plus précis ;</w:t>
      </w:r>
    </w:p>
    <w:p>
      <w:pPr>
        <w:pStyle w:val="ListBullet"/>
        <w:spacing w:after="40"/>
      </w:pPr>
      <w:r>
        <w:rPr>
          <w:rFonts w:ascii="Noto Sans" w:hAnsi="Noto Sans" w:eastAsia="Noto Sans CJK JP"/>
          <w:sz w:val="19"/>
        </w:rPr>
        <w:t>identifier vocabulaire soutenu, littéraire, technique, administratif, journalistique et familier ;</w:t>
      </w:r>
    </w:p>
    <w:p>
      <w:pPr>
        <w:pStyle w:val="ListBullet"/>
        <w:spacing w:after="40"/>
      </w:pPr>
      <w:r>
        <w:rPr>
          <w:rFonts w:ascii="Noto Sans" w:hAnsi="Noto Sans" w:eastAsia="Noto Sans CJK JP"/>
          <w:sz w:val="19"/>
        </w:rPr>
        <w:t>développer les familles lexicales autour d’une même racine kanji.</w:t>
      </w:r>
    </w:p>
    <w:p>
      <w:pPr>
        <w:pStyle w:val="Heading1"/>
      </w:pPr>
      <w:r>
        <w:t>9. Bloc D — Idiomes, proverbes et expressions figées fréquentes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1"/>
        </w:trPr>
        <w:tc>
          <w:tcPr>
            <w:tcW w:type="dxa" w:w="3408"/>
            <w:shd w:fill="DCEAF0"/>
            <w:tcMar>
              <w:top w:w="65" w:type="dxa"/>
              <w:start w:w="90" w:type="dxa"/>
              <w:bottom w:w="65" w:type="dxa"/>
              <w:end w:w="90" w:type="dxa"/>
            </w:tcMar>
          </w:tcPr>
          <w:p>
            <w:r>
              <w:rPr>
                <w:rFonts w:ascii="Noto Sans" w:hAnsi="Noto Sans" w:eastAsia="Noto Sans CJK JP"/>
                <w:b/>
                <w:sz w:val="17"/>
              </w:rPr>
              <w:t>Catégorie</w:t>
            </w:r>
          </w:p>
        </w:tc>
        <w:tc>
          <w:tcPr>
            <w:tcW w:type="dxa" w:w="3408"/>
            <w:shd w:fill="DCEAF0"/>
            <w:tcMar>
              <w:top w:w="65" w:type="dxa"/>
              <w:start w:w="90" w:type="dxa"/>
              <w:bottom w:w="65" w:type="dxa"/>
              <w:end w:w="90" w:type="dxa"/>
            </w:tcMar>
          </w:tcPr>
          <w:p>
            <w:r>
              <w:rPr>
                <w:rFonts w:ascii="Noto Sans" w:hAnsi="Noto Sans" w:eastAsia="Noto Sans CJK JP"/>
                <w:b/>
                <w:sz w:val="17"/>
              </w:rPr>
              <w:t>Exemples de contenu</w:t>
            </w:r>
          </w:p>
        </w:tc>
        <w:tc>
          <w:tcPr>
            <w:tcW w:type="dxa" w:w="3408"/>
            <w:shd w:fill="DCEAF0"/>
            <w:tcMar>
              <w:top w:w="65" w:type="dxa"/>
              <w:start w:w="90" w:type="dxa"/>
              <w:bottom w:w="65" w:type="dxa"/>
              <w:end w:w="90" w:type="dxa"/>
            </w:tcMar>
          </w:tcPr>
          <w:p>
            <w:r>
              <w:rPr>
                <w:rFonts w:ascii="Noto Sans" w:hAnsi="Noto Sans" w:eastAsia="Noto Sans CJK JP"/>
                <w:b/>
                <w:sz w:val="17"/>
              </w:rPr>
              <w:t>Objectif du tronc commun</w:t>
            </w:r>
          </w:p>
        </w:tc>
      </w:tr>
      <w:tr>
        <w:trPr>
          <w:cantSplit w:val="1"/>
        </w:trPr>
        <w:tc>
          <w:tcPr>
            <w:tcW w:type="dxa" w:w="3408"/>
            <w:tcMar>
              <w:top w:w="50" w:type="dxa"/>
              <w:start w:w="75" w:type="dxa"/>
              <w:bottom w:w="50" w:type="dxa"/>
              <w:end w:w="75" w:type="dxa"/>
            </w:tcMar>
          </w:tcPr>
          <w:p>
            <w:r>
              <w:rPr>
                <w:rFonts w:ascii="Noto Sans" w:hAnsi="Noto Sans" w:eastAsia="Noto Sans CJK JP"/>
                <w:sz w:val="15"/>
              </w:rPr>
              <w:t>Expressions figées</w:t>
            </w:r>
          </w:p>
        </w:tc>
        <w:tc>
          <w:tcPr>
            <w:tcW w:type="dxa" w:w="3408"/>
            <w:tcMar>
              <w:top w:w="50" w:type="dxa"/>
              <w:start w:w="75" w:type="dxa"/>
              <w:bottom w:w="50" w:type="dxa"/>
              <w:end w:w="75" w:type="dxa"/>
            </w:tcMar>
          </w:tcPr>
          <w:p>
            <w:r>
              <w:rPr>
                <w:rFonts w:ascii="Noto Sans" w:hAnsi="Noto Sans" w:eastAsia="Noto Sans CJK JP"/>
                <w:sz w:val="15"/>
              </w:rPr>
              <w:t>気がする, 気になる, 手に入れる…</w:t>
            </w:r>
          </w:p>
        </w:tc>
        <w:tc>
          <w:tcPr>
            <w:tcW w:type="dxa" w:w="3408"/>
            <w:tcMar>
              <w:top w:w="50" w:type="dxa"/>
              <w:start w:w="75" w:type="dxa"/>
              <w:bottom w:w="50" w:type="dxa"/>
              <w:end w:w="75" w:type="dxa"/>
            </w:tcMar>
          </w:tcPr>
          <w:p>
            <w:r>
              <w:rPr>
                <w:rFonts w:ascii="Noto Sans" w:hAnsi="Noto Sans" w:eastAsia="Noto Sans CJK JP"/>
                <w:sz w:val="15"/>
              </w:rPr>
              <w:t>Comprendre l’ensemble sans traduire mot par mot</w:t>
            </w:r>
          </w:p>
        </w:tc>
      </w:tr>
      <w:tr>
        <w:trPr>
          <w:cantSplit w:val="1"/>
        </w:trPr>
        <w:tc>
          <w:tcPr>
            <w:tcW w:type="dxa" w:w="3408"/>
            <w:tcMar>
              <w:top w:w="50" w:type="dxa"/>
              <w:start w:w="75" w:type="dxa"/>
              <w:bottom w:w="50" w:type="dxa"/>
              <w:end w:w="75" w:type="dxa"/>
            </w:tcMar>
          </w:tcPr>
          <w:p>
            <w:r>
              <w:rPr>
                <w:rFonts w:ascii="Noto Sans" w:hAnsi="Noto Sans" w:eastAsia="Noto Sans CJK JP"/>
                <w:sz w:val="15"/>
              </w:rPr>
              <w:t>慣用句 — idiomes</w:t>
            </w:r>
          </w:p>
        </w:tc>
        <w:tc>
          <w:tcPr>
            <w:tcW w:type="dxa" w:w="3408"/>
            <w:tcMar>
              <w:top w:w="50" w:type="dxa"/>
              <w:start w:w="75" w:type="dxa"/>
              <w:bottom w:w="50" w:type="dxa"/>
              <w:end w:w="75" w:type="dxa"/>
            </w:tcMar>
          </w:tcPr>
          <w:p>
            <w:r>
              <w:rPr>
                <w:rFonts w:ascii="Noto Sans" w:hAnsi="Noto Sans" w:eastAsia="Noto Sans CJK JP"/>
                <w:sz w:val="15"/>
              </w:rPr>
              <w:t>顔が広い, 頭が上がらない…</w:t>
            </w:r>
          </w:p>
        </w:tc>
        <w:tc>
          <w:tcPr>
            <w:tcW w:type="dxa" w:w="3408"/>
            <w:tcMar>
              <w:top w:w="50" w:type="dxa"/>
              <w:start w:w="75" w:type="dxa"/>
              <w:bottom w:w="50" w:type="dxa"/>
              <w:end w:w="75" w:type="dxa"/>
            </w:tcMar>
          </w:tcPr>
          <w:p>
            <w:r>
              <w:rPr>
                <w:rFonts w:ascii="Noto Sans" w:hAnsi="Noto Sans" w:eastAsia="Noto Sans CJK JP"/>
                <w:sz w:val="15"/>
              </w:rPr>
              <w:t>Reconnaître et utiliser les plus fréquents</w:t>
            </w:r>
          </w:p>
        </w:tc>
      </w:tr>
      <w:tr>
        <w:trPr>
          <w:cantSplit w:val="1"/>
        </w:trPr>
        <w:tc>
          <w:tcPr>
            <w:tcW w:type="dxa" w:w="3408"/>
            <w:tcMar>
              <w:top w:w="50" w:type="dxa"/>
              <w:start w:w="75" w:type="dxa"/>
              <w:bottom w:w="50" w:type="dxa"/>
              <w:end w:w="75" w:type="dxa"/>
            </w:tcMar>
          </w:tcPr>
          <w:p>
            <w:r>
              <w:rPr>
                <w:rFonts w:ascii="Noto Sans" w:hAnsi="Noto Sans" w:eastAsia="Noto Sans CJK JP"/>
                <w:sz w:val="15"/>
              </w:rPr>
              <w:t>ことわざ — proverbes</w:t>
            </w:r>
          </w:p>
        </w:tc>
        <w:tc>
          <w:tcPr>
            <w:tcW w:type="dxa" w:w="3408"/>
            <w:tcMar>
              <w:top w:w="50" w:type="dxa"/>
              <w:start w:w="75" w:type="dxa"/>
              <w:bottom w:w="50" w:type="dxa"/>
              <w:end w:w="75" w:type="dxa"/>
            </w:tcMar>
          </w:tcPr>
          <w:p>
            <w:r>
              <w:rPr>
                <w:rFonts w:ascii="Noto Sans" w:hAnsi="Noto Sans" w:eastAsia="Noto Sans CJK JP"/>
                <w:sz w:val="15"/>
              </w:rPr>
              <w:t>Rencontres dans discours ou textes</w:t>
            </w:r>
          </w:p>
        </w:tc>
        <w:tc>
          <w:tcPr>
            <w:tcW w:type="dxa" w:w="3408"/>
            <w:tcMar>
              <w:top w:w="50" w:type="dxa"/>
              <w:start w:w="75" w:type="dxa"/>
              <w:bottom w:w="50" w:type="dxa"/>
              <w:end w:w="75" w:type="dxa"/>
            </w:tcMar>
          </w:tcPr>
          <w:p>
            <w:r>
              <w:rPr>
                <w:rFonts w:ascii="Noto Sans" w:hAnsi="Noto Sans" w:eastAsia="Noto Sans CJK JP"/>
                <w:sz w:val="15"/>
              </w:rPr>
              <w:t>Comprendre lorsqu’ils sont réellement utilisés</w:t>
            </w:r>
          </w:p>
        </w:tc>
      </w:tr>
      <w:tr>
        <w:trPr>
          <w:cantSplit w:val="1"/>
        </w:trPr>
        <w:tc>
          <w:tcPr>
            <w:tcW w:type="dxa" w:w="3408"/>
            <w:tcMar>
              <w:top w:w="50" w:type="dxa"/>
              <w:start w:w="75" w:type="dxa"/>
              <w:bottom w:w="50" w:type="dxa"/>
              <w:end w:w="75" w:type="dxa"/>
            </w:tcMar>
          </w:tcPr>
          <w:p>
            <w:r>
              <w:rPr>
                <w:rFonts w:ascii="Noto Sans" w:hAnsi="Noto Sans" w:eastAsia="Noto Sans CJK JP"/>
                <w:sz w:val="15"/>
              </w:rPr>
              <w:t>四字熟語</w:t>
            </w:r>
          </w:p>
        </w:tc>
        <w:tc>
          <w:tcPr>
            <w:tcW w:type="dxa" w:w="3408"/>
            <w:tcMar>
              <w:top w:w="50" w:type="dxa"/>
              <w:start w:w="75" w:type="dxa"/>
              <w:bottom w:w="50" w:type="dxa"/>
              <w:end w:w="75" w:type="dxa"/>
            </w:tcMar>
          </w:tcPr>
          <w:p>
            <w:r>
              <w:rPr>
                <w:rFonts w:ascii="Noto Sans" w:hAnsi="Noto Sans" w:eastAsia="Noto Sans CJK JP"/>
                <w:sz w:val="15"/>
              </w:rPr>
              <w:t>Quelques formes courantes comme 一石二鳥</w:t>
            </w:r>
          </w:p>
        </w:tc>
        <w:tc>
          <w:tcPr>
            <w:tcW w:type="dxa" w:w="3408"/>
            <w:tcMar>
              <w:top w:w="50" w:type="dxa"/>
              <w:start w:w="75" w:type="dxa"/>
              <w:bottom w:w="50" w:type="dxa"/>
              <w:end w:w="75" w:type="dxa"/>
            </w:tcMar>
          </w:tcPr>
          <w:p>
            <w:r>
              <w:rPr>
                <w:rFonts w:ascii="Noto Sans" w:hAnsi="Noto Sans" w:eastAsia="Noto Sans CJK JP"/>
                <w:sz w:val="15"/>
              </w:rPr>
              <w:t>Priorité à la fréquence et au contexte</w:t>
            </w:r>
          </w:p>
        </w:tc>
      </w:tr>
    </w:tbl>
    <w:p>
      <w:pPr>
        <w:pStyle w:val="ListBullet"/>
        <w:spacing w:after="40"/>
      </w:pPr>
      <w:r>
        <w:rPr>
          <w:rFonts w:ascii="Noto Sans" w:hAnsi="Noto Sans" w:eastAsia="Noto Sans CJK JP"/>
          <w:sz w:val="19"/>
        </w:rPr>
        <w:t>privilégier fréquence et contexte ;</w:t>
      </w:r>
    </w:p>
    <w:p>
      <w:pPr>
        <w:pStyle w:val="ListBullet"/>
        <w:spacing w:after="40"/>
      </w:pPr>
      <w:r>
        <w:rPr>
          <w:rFonts w:ascii="Noto Sans" w:hAnsi="Noto Sans" w:eastAsia="Noto Sans CJK JP"/>
          <w:sz w:val="19"/>
        </w:rPr>
        <w:t>enseigner l’origine culturelle seulement lorsqu’elle aide réellement à comprendre ou retenir ;</w:t>
      </w:r>
    </w:p>
    <w:p>
      <w:pPr>
        <w:pStyle w:val="ListBullet"/>
        <w:spacing w:after="40"/>
      </w:pPr>
      <w:r>
        <w:rPr>
          <w:rFonts w:ascii="Noto Sans" w:hAnsi="Noto Sans" w:eastAsia="Noto Sans CJK JP"/>
          <w:sz w:val="19"/>
        </w:rPr>
        <w:t>ne pas transformer cette branche en collection exhaustive de curiosités.</w:t>
      </w:r>
    </w:p>
    <w:p>
      <w:pPr>
        <w:pStyle w:val="Heading1"/>
      </w:pPr>
      <w:r>
        <w:t>10. Bloc E — Style, rhétorique et voix de l’auteur</w:t>
      </w:r>
    </w:p>
    <w:p>
      <w:pPr>
        <w:pStyle w:val="ListBullet"/>
        <w:spacing w:after="40"/>
      </w:pPr>
      <w:r>
        <w:rPr>
          <w:rFonts w:ascii="Noto Sans" w:hAnsi="Noto Sans" w:eastAsia="Noto Sans CJK JP"/>
          <w:sz w:val="19"/>
        </w:rPr>
        <w:t>identifier un style factuel, polémique, humoristique, littéraire ou institutionnel ;</w:t>
      </w:r>
    </w:p>
    <w:p>
      <w:pPr>
        <w:pStyle w:val="ListBullet"/>
        <w:spacing w:after="40"/>
      </w:pPr>
      <w:r>
        <w:rPr>
          <w:rFonts w:ascii="Noto Sans" w:hAnsi="Noto Sans" w:eastAsia="Noto Sans CJK JP"/>
          <w:sz w:val="19"/>
        </w:rPr>
        <w:t>reconnaître la distance entre l’auteur et le propos qu’il rapporte ;</w:t>
      </w:r>
    </w:p>
    <w:p>
      <w:pPr>
        <w:pStyle w:val="ListBullet"/>
        <w:spacing w:after="40"/>
      </w:pPr>
      <w:r>
        <w:rPr>
          <w:rFonts w:ascii="Noto Sans" w:hAnsi="Noto Sans" w:eastAsia="Noto Sans CJK JP"/>
          <w:sz w:val="19"/>
        </w:rPr>
        <w:t>comprendre les effets de répétition, contraste et rythme ;</w:t>
      </w:r>
    </w:p>
    <w:p>
      <w:pPr>
        <w:pStyle w:val="ListBullet"/>
        <w:spacing w:after="40"/>
      </w:pPr>
      <w:r>
        <w:rPr>
          <w:rFonts w:ascii="Noto Sans" w:hAnsi="Noto Sans" w:eastAsia="Noto Sans CJK JP"/>
          <w:sz w:val="19"/>
        </w:rPr>
        <w:t>identifier une question rhétorique ;</w:t>
      </w:r>
    </w:p>
    <w:p>
      <w:pPr>
        <w:pStyle w:val="ListBullet"/>
        <w:spacing w:after="40"/>
      </w:pPr>
      <w:r>
        <w:rPr>
          <w:rFonts w:ascii="Noto Sans" w:hAnsi="Noto Sans" w:eastAsia="Noto Sans CJK JP"/>
          <w:sz w:val="19"/>
        </w:rPr>
        <w:t>comprendre des formulations volontairement vagues ou prudentes ;</w:t>
      </w:r>
    </w:p>
    <w:p>
      <w:pPr>
        <w:pStyle w:val="ListBullet"/>
        <w:spacing w:after="40"/>
      </w:pPr>
      <w:r>
        <w:rPr>
          <w:rFonts w:ascii="Noto Sans" w:hAnsi="Noto Sans" w:eastAsia="Noto Sans CJK JP"/>
          <w:sz w:val="19"/>
        </w:rPr>
        <w:t>observer l’effet de phrases courtes, longues, nominalisées ou elliptiques ;</w:t>
      </w:r>
    </w:p>
    <w:p>
      <w:pPr>
        <w:pStyle w:val="ListBullet"/>
        <w:spacing w:after="40"/>
      </w:pPr>
      <w:r>
        <w:rPr>
          <w:rFonts w:ascii="Noto Sans" w:hAnsi="Noto Sans" w:eastAsia="Noto Sans CJK JP"/>
          <w:sz w:val="19"/>
        </w:rPr>
        <w:t>reformuler un même contenu dans un style neutre, soutenu, conversationnel ou professionnel.</w:t>
      </w:r>
    </w:p>
    <w:p>
      <w:pPr>
        <w:pStyle w:val="Heading1"/>
      </w:pPr>
      <w:r>
        <w:t>11. Bloc F — Prononciation et prosodie : perfectionnement personnalisé</w:t>
      </w:r>
    </w:p>
    <w:p>
      <w:r>
        <w:rPr>
          <w:rFonts w:ascii="Noto Sans" w:hAnsi="Noto Sans" w:eastAsia="Noto Sans CJK JP"/>
          <w:sz w:val="20"/>
        </w:rPr>
        <w:t>À l’étape 7, la prosodie devient adaptative : l’objectif principal reste l’intelligibilité, puis le naturel et l’adaptation au registre. On ne cherche pas à imposer à tous une imitation parfaite d’un locuteur natif.</w:t>
      </w:r>
    </w:p>
    <w:p>
      <w:pPr>
        <w:pStyle w:val="ListBullet"/>
        <w:spacing w:after="40"/>
      </w:pPr>
      <w:r>
        <w:rPr>
          <w:rFonts w:ascii="Noto Sans" w:hAnsi="Noto Sans" w:eastAsia="Noto Sans CJK JP"/>
          <w:sz w:val="19"/>
        </w:rPr>
        <w:t>adapter rythme, débit, pauses et intonation au registre familier, neutre, poli ou professionnel ;</w:t>
      </w:r>
    </w:p>
    <w:p>
      <w:pPr>
        <w:pStyle w:val="ListBullet"/>
        <w:spacing w:after="40"/>
      </w:pPr>
      <w:r>
        <w:rPr>
          <w:rFonts w:ascii="Noto Sans" w:hAnsi="Noto Sans" w:eastAsia="Noto Sans CJK JP"/>
          <w:sz w:val="19"/>
        </w:rPr>
        <w:t>maintenir l’intelligibilité dans des prises de parole longues et spontanées ;</w:t>
      </w:r>
    </w:p>
    <w:p>
      <w:pPr>
        <w:pStyle w:val="ListBullet"/>
        <w:spacing w:after="40"/>
      </w:pPr>
      <w:r>
        <w:rPr>
          <w:rFonts w:ascii="Noto Sans" w:hAnsi="Noto Sans" w:eastAsia="Noto Sans CJK JP"/>
          <w:sz w:val="19"/>
        </w:rPr>
        <w:t>travailler la focalisation et l’accentuation de l’information importante ;</w:t>
      </w:r>
    </w:p>
    <w:p>
      <w:pPr>
        <w:pStyle w:val="ListBullet"/>
        <w:spacing w:after="40"/>
      </w:pPr>
      <w:r>
        <w:rPr>
          <w:rFonts w:ascii="Noto Sans" w:hAnsi="Noto Sans" w:eastAsia="Noto Sans CJK JP"/>
          <w:sz w:val="19"/>
        </w:rPr>
        <w:t>comprendre des locuteurs avec des accents, âges, débits ou habitudes de parole variés lorsque le contexte reste accessible ;</w:t>
      </w:r>
    </w:p>
    <w:p>
      <w:pPr>
        <w:pStyle w:val="ListBullet"/>
        <w:spacing w:after="40"/>
      </w:pPr>
      <w:r>
        <w:rPr>
          <w:rFonts w:ascii="Noto Sans" w:hAnsi="Noto Sans" w:eastAsia="Noto Sans CJK JP"/>
          <w:sz w:val="19"/>
        </w:rPr>
        <w:t>utiliser shadowing, répétition différée et auto-enregistrement pour cibler ses faiblesses personnelles ;</w:t>
      </w:r>
    </w:p>
    <w:p>
      <w:pPr>
        <w:pStyle w:val="ListBullet"/>
        <w:spacing w:after="40"/>
      </w:pPr>
      <w:r>
        <w:rPr>
          <w:rFonts w:ascii="Noto Sans" w:hAnsi="Noto Sans" w:eastAsia="Noto Sans CJK JP"/>
          <w:sz w:val="19"/>
        </w:rPr>
        <w:t>conserver le pitch accent du japonais standard de Tokyo comme référence possible de perfectionnement, sans le rendre bloquant mot par mot ;</w:t>
      </w:r>
    </w:p>
    <w:p>
      <w:pPr>
        <w:pStyle w:val="ListBullet"/>
        <w:spacing w:after="40"/>
      </w:pPr>
      <w:r>
        <w:rPr>
          <w:rFonts w:ascii="Noto Sans" w:hAnsi="Noto Sans" w:eastAsia="Noto Sans CJK JP"/>
          <w:sz w:val="19"/>
        </w:rPr>
        <w:t>distinguer accent régional, erreur de prononciation et simple variation naturelle.</w:t>
      </w:r>
    </w:p>
    <w:p>
      <w:pPr>
        <w:pStyle w:val="Heading1"/>
      </w:pPr>
      <w:r>
        <w:t>12. Bloc G — Keigo et pragmatique de haut niveau</w:t>
      </w:r>
    </w:p>
    <w:p>
      <w:pPr>
        <w:pStyle w:val="ListBullet"/>
        <w:spacing w:after="40"/>
      </w:pPr>
      <w:r>
        <w:rPr>
          <w:rFonts w:ascii="Noto Sans" w:hAnsi="Noto Sans" w:eastAsia="Noto Sans CJK JP"/>
          <w:sz w:val="19"/>
        </w:rPr>
        <w:t>choisir des formulations plus ou moins indirectes selon la relation et le poids de la demande ;</w:t>
      </w:r>
    </w:p>
    <w:p>
      <w:pPr>
        <w:pStyle w:val="ListBullet"/>
        <w:spacing w:after="40"/>
      </w:pPr>
      <w:r>
        <w:rPr>
          <w:rFonts w:ascii="Noto Sans" w:hAnsi="Noto Sans" w:eastAsia="Noto Sans CJK JP"/>
          <w:sz w:val="19"/>
        </w:rPr>
        <w:t>comprendre les formulations de refus, excuse et désaccord en contexte professionnel ;</w:t>
      </w:r>
    </w:p>
    <w:p>
      <w:pPr>
        <w:pStyle w:val="ListBullet"/>
        <w:spacing w:after="40"/>
      </w:pPr>
      <w:r>
        <w:rPr>
          <w:rFonts w:ascii="Noto Sans" w:hAnsi="Noto Sans" w:eastAsia="Noto Sans CJK JP"/>
          <w:sz w:val="19"/>
        </w:rPr>
        <w:t>adapter keigo et vocabulaire au téléphone, mail, réunion, accueil et service client dans des situations générales ;</w:t>
      </w:r>
    </w:p>
    <w:p>
      <w:pPr>
        <w:pStyle w:val="ListBullet"/>
        <w:spacing w:after="40"/>
      </w:pPr>
      <w:r>
        <w:rPr>
          <w:rFonts w:ascii="Noto Sans" w:hAnsi="Noto Sans" w:eastAsia="Noto Sans CJK JP"/>
          <w:sz w:val="19"/>
        </w:rPr>
        <w:t>comprendre qu’une forme très polie peut parfois créer de la distance ;</w:t>
      </w:r>
    </w:p>
    <w:p>
      <w:pPr>
        <w:pStyle w:val="ListBullet"/>
        <w:spacing w:after="40"/>
      </w:pPr>
      <w:r>
        <w:rPr>
          <w:rFonts w:ascii="Noto Sans" w:hAnsi="Noto Sans" w:eastAsia="Noto Sans CJK JP"/>
          <w:sz w:val="19"/>
        </w:rPr>
        <w:t>reconnaître le keigo excessif, fautif ou hypercorrect sans le reproduire ;</w:t>
      </w:r>
    </w:p>
    <w:p>
      <w:pPr>
        <w:pStyle w:val="ListBullet"/>
        <w:spacing w:after="40"/>
      </w:pPr>
      <w:r>
        <w:rPr>
          <w:rFonts w:ascii="Noto Sans" w:hAnsi="Noto Sans" w:eastAsia="Noto Sans CJK JP"/>
          <w:sz w:val="19"/>
        </w:rPr>
        <w:t>réserver les conventions propres à un secteur précis aux spécialisations correspondantes.</w:t>
      </w:r>
    </w:p>
    <w:p>
      <w:pPr>
        <w:pStyle w:val="Heading1"/>
      </w:pPr>
      <w:r>
        <w:t>13. Bloc H — Débat, négociation, réparation et interaction complexe</w:t>
      </w:r>
    </w:p>
    <w:p>
      <w:pPr>
        <w:pStyle w:val="ListBullet"/>
        <w:spacing w:after="40"/>
      </w:pPr>
      <w:r>
        <w:rPr>
          <w:rFonts w:ascii="Noto Sans" w:hAnsi="Noto Sans" w:eastAsia="Noto Sans CJK JP"/>
          <w:sz w:val="19"/>
        </w:rPr>
        <w:t>prendre la parole sans couper brutalement ;</w:t>
      </w:r>
    </w:p>
    <w:p>
      <w:pPr>
        <w:pStyle w:val="ListBullet"/>
        <w:spacing w:after="40"/>
      </w:pPr>
      <w:r>
        <w:rPr>
          <w:rFonts w:ascii="Noto Sans" w:hAnsi="Noto Sans" w:eastAsia="Noto Sans CJK JP"/>
          <w:sz w:val="19"/>
        </w:rPr>
        <w:t>revenir à un point précédent ;</w:t>
      </w:r>
    </w:p>
    <w:p>
      <w:pPr>
        <w:pStyle w:val="ListBullet"/>
        <w:spacing w:after="40"/>
      </w:pPr>
      <w:r>
        <w:rPr>
          <w:rFonts w:ascii="Noto Sans" w:hAnsi="Noto Sans" w:eastAsia="Noto Sans CJK JP"/>
          <w:sz w:val="19"/>
        </w:rPr>
        <w:t>demander des preuves ou des exemples ;</w:t>
      </w:r>
    </w:p>
    <w:p>
      <w:pPr>
        <w:pStyle w:val="ListBullet"/>
        <w:spacing w:after="40"/>
      </w:pPr>
      <w:r>
        <w:rPr>
          <w:rFonts w:ascii="Noto Sans" w:hAnsi="Noto Sans" w:eastAsia="Noto Sans CJK JP"/>
          <w:sz w:val="19"/>
        </w:rPr>
        <w:t>reconnaître une objection implicite ;</w:t>
      </w:r>
    </w:p>
    <w:p>
      <w:pPr>
        <w:pStyle w:val="ListBullet"/>
        <w:spacing w:after="40"/>
      </w:pPr>
      <w:r>
        <w:rPr>
          <w:rFonts w:ascii="Noto Sans" w:hAnsi="Noto Sans" w:eastAsia="Noto Sans CJK JP"/>
          <w:sz w:val="19"/>
        </w:rPr>
        <w:t>concéder un point sans abandonner sa position ;</w:t>
      </w:r>
    </w:p>
    <w:p>
      <w:pPr>
        <w:pStyle w:val="ListBullet"/>
        <w:spacing w:after="40"/>
      </w:pPr>
      <w:r>
        <w:rPr>
          <w:rFonts w:ascii="Noto Sans" w:hAnsi="Noto Sans" w:eastAsia="Noto Sans CJK JP"/>
          <w:sz w:val="19"/>
        </w:rPr>
        <w:t>proposer un compromis ;</w:t>
      </w:r>
    </w:p>
    <w:p>
      <w:pPr>
        <w:pStyle w:val="ListBullet"/>
        <w:spacing w:after="40"/>
      </w:pPr>
      <w:r>
        <w:rPr>
          <w:rFonts w:ascii="Noto Sans" w:hAnsi="Noto Sans" w:eastAsia="Noto Sans CJK JP"/>
          <w:sz w:val="19"/>
        </w:rPr>
        <w:t>clarifier un malentendu ;</w:t>
      </w:r>
    </w:p>
    <w:p>
      <w:pPr>
        <w:pStyle w:val="ListBullet"/>
        <w:spacing w:after="40"/>
      </w:pPr>
      <w:r>
        <w:rPr>
          <w:rFonts w:ascii="Noto Sans" w:hAnsi="Noto Sans" w:eastAsia="Noto Sans CJK JP"/>
          <w:sz w:val="19"/>
        </w:rPr>
        <w:t>réparer sa propre formulation en temps réel ;</w:t>
      </w:r>
    </w:p>
    <w:p>
      <w:pPr>
        <w:pStyle w:val="ListBullet"/>
        <w:spacing w:after="40"/>
      </w:pPr>
      <w:r>
        <w:rPr>
          <w:rFonts w:ascii="Noto Sans" w:hAnsi="Noto Sans" w:eastAsia="Noto Sans CJK JP"/>
          <w:sz w:val="19"/>
        </w:rPr>
        <w:t>synthétiser plusieurs positions ;</w:t>
      </w:r>
    </w:p>
    <w:p>
      <w:pPr>
        <w:pStyle w:val="ListBullet"/>
        <w:spacing w:after="40"/>
      </w:pPr>
      <w:r>
        <w:rPr>
          <w:rFonts w:ascii="Noto Sans" w:hAnsi="Noto Sans" w:eastAsia="Noto Sans CJK JP"/>
          <w:sz w:val="19"/>
        </w:rPr>
        <w:t>adapter l’explication lorsqu’un interlocuteur ne partage pas les mêmes connaissances.</w:t>
      </w:r>
    </w:p>
    <w:p>
      <w:pPr>
        <w:pStyle w:val="Heading1"/>
      </w:pPr>
      <w:r>
        <w:t>14. Bloc I — Présentation et explication à un public</w:t>
      </w:r>
    </w:p>
    <w:p>
      <w:pPr>
        <w:pStyle w:val="ListBullet"/>
        <w:spacing w:after="40"/>
      </w:pPr>
      <w:r>
        <w:rPr>
          <w:rFonts w:ascii="Noto Sans" w:hAnsi="Noto Sans" w:eastAsia="Noto Sans CJK JP"/>
          <w:sz w:val="19"/>
        </w:rPr>
        <w:t>présenter un sujet complexe avec un plan flexible ;</w:t>
      </w:r>
    </w:p>
    <w:p>
      <w:pPr>
        <w:pStyle w:val="ListBullet"/>
        <w:spacing w:after="40"/>
      </w:pPr>
      <w:r>
        <w:rPr>
          <w:rFonts w:ascii="Noto Sans" w:hAnsi="Noto Sans" w:eastAsia="Noto Sans CJK JP"/>
          <w:sz w:val="19"/>
        </w:rPr>
        <w:t>adapter vocabulaire et exemples au niveau du public ;</w:t>
      </w:r>
    </w:p>
    <w:p>
      <w:pPr>
        <w:pStyle w:val="ListBullet"/>
        <w:spacing w:after="40"/>
      </w:pPr>
      <w:r>
        <w:rPr>
          <w:rFonts w:ascii="Noto Sans" w:hAnsi="Noto Sans" w:eastAsia="Noto Sans CJK JP"/>
          <w:sz w:val="19"/>
        </w:rPr>
        <w:t>définir les termes avant de les utiliser ;</w:t>
      </w:r>
    </w:p>
    <w:p>
      <w:pPr>
        <w:pStyle w:val="ListBullet"/>
        <w:spacing w:after="40"/>
      </w:pPr>
      <w:r>
        <w:rPr>
          <w:rFonts w:ascii="Noto Sans" w:hAnsi="Noto Sans" w:eastAsia="Noto Sans CJK JP"/>
          <w:sz w:val="19"/>
        </w:rPr>
        <w:t>anticiper les incompréhensions ;</w:t>
      </w:r>
    </w:p>
    <w:p>
      <w:pPr>
        <w:pStyle w:val="ListBullet"/>
        <w:spacing w:after="40"/>
      </w:pPr>
      <w:r>
        <w:rPr>
          <w:rFonts w:ascii="Noto Sans" w:hAnsi="Noto Sans" w:eastAsia="Noto Sans CJK JP"/>
          <w:sz w:val="19"/>
        </w:rPr>
        <w:t>répondre à des questions non préparées ;</w:t>
      </w:r>
    </w:p>
    <w:p>
      <w:pPr>
        <w:pStyle w:val="ListBullet"/>
        <w:spacing w:after="40"/>
      </w:pPr>
      <w:r>
        <w:rPr>
          <w:rFonts w:ascii="Noto Sans" w:hAnsi="Noto Sans" w:eastAsia="Noto Sans CJK JP"/>
          <w:sz w:val="19"/>
        </w:rPr>
        <w:t>reformuler une partie sur demande ;</w:t>
      </w:r>
    </w:p>
    <w:p>
      <w:pPr>
        <w:pStyle w:val="ListBullet"/>
        <w:spacing w:after="40"/>
      </w:pPr>
      <w:r>
        <w:rPr>
          <w:rFonts w:ascii="Noto Sans" w:hAnsi="Noto Sans" w:eastAsia="Noto Sans CJK JP"/>
          <w:sz w:val="19"/>
        </w:rPr>
        <w:t>maintenir une prosodie claire et un débit adapté ;</w:t>
      </w:r>
    </w:p>
    <w:p>
      <w:pPr>
        <w:pStyle w:val="ListBullet"/>
        <w:spacing w:after="40"/>
      </w:pPr>
      <w:r>
        <w:rPr>
          <w:rFonts w:ascii="Noto Sans" w:hAnsi="Noto Sans" w:eastAsia="Noto Sans CJK JP"/>
          <w:sz w:val="19"/>
        </w:rPr>
        <w:t>faire une synthèse finale différente d’une simple répétition de l’introduction.</w:t>
      </w:r>
    </w:p>
    <w:p>
      <w:pPr>
        <w:pStyle w:val="Heading1"/>
      </w:pPr>
      <w:r>
        <w:t>15. Bloc J — Compréhension de médias et contenus longs</w:t>
      </w:r>
    </w:p>
    <w:p>
      <w:pPr>
        <w:pStyle w:val="ListBullet"/>
        <w:spacing w:after="40"/>
      </w:pPr>
      <w:r>
        <w:rPr>
          <w:rFonts w:ascii="Noto Sans" w:hAnsi="Noto Sans" w:eastAsia="Noto Sans CJK JP"/>
          <w:sz w:val="19"/>
        </w:rPr>
        <w:t>actualités avec plusieurs intervenants ;</w:t>
      </w:r>
    </w:p>
    <w:p>
      <w:pPr>
        <w:pStyle w:val="ListBullet"/>
        <w:spacing w:after="40"/>
      </w:pPr>
      <w:r>
        <w:rPr>
          <w:rFonts w:ascii="Noto Sans" w:hAnsi="Noto Sans" w:eastAsia="Noto Sans CJK JP"/>
          <w:sz w:val="19"/>
        </w:rPr>
        <w:t>débats télévisés ou podcasts ;</w:t>
      </w:r>
    </w:p>
    <w:p>
      <w:pPr>
        <w:pStyle w:val="ListBullet"/>
        <w:spacing w:after="40"/>
      </w:pPr>
      <w:r>
        <w:rPr>
          <w:rFonts w:ascii="Noto Sans" w:hAnsi="Noto Sans" w:eastAsia="Noto Sans CJK JP"/>
          <w:sz w:val="19"/>
        </w:rPr>
        <w:t>documentaires et vidéos explicatives longues ;</w:t>
      </w:r>
    </w:p>
    <w:p>
      <w:pPr>
        <w:pStyle w:val="ListBullet"/>
        <w:spacing w:after="40"/>
      </w:pPr>
      <w:r>
        <w:rPr>
          <w:rFonts w:ascii="Noto Sans" w:hAnsi="Noto Sans" w:eastAsia="Noto Sans CJK JP"/>
          <w:sz w:val="19"/>
        </w:rPr>
        <w:t>interviews avec interruptions et langage spontané ;</w:t>
      </w:r>
    </w:p>
    <w:p>
      <w:pPr>
        <w:pStyle w:val="ListBullet"/>
        <w:spacing w:after="40"/>
      </w:pPr>
      <w:r>
        <w:rPr>
          <w:rFonts w:ascii="Noto Sans" w:hAnsi="Noto Sans" w:eastAsia="Noto Sans CJK JP"/>
          <w:sz w:val="19"/>
        </w:rPr>
        <w:t>contenus comprenant des références culturelles ou des événements antérieurs ;</w:t>
      </w:r>
    </w:p>
    <w:p>
      <w:pPr>
        <w:pStyle w:val="ListBullet"/>
        <w:spacing w:after="40"/>
      </w:pPr>
      <w:r>
        <w:rPr>
          <w:rFonts w:ascii="Noto Sans" w:hAnsi="Noto Sans" w:eastAsia="Noto Sans CJK JP"/>
          <w:sz w:val="19"/>
        </w:rPr>
        <w:t>comprendre la position des intervenants et pas seulement les faits mentionnés ;</w:t>
      </w:r>
    </w:p>
    <w:p>
      <w:pPr>
        <w:pStyle w:val="ListBullet"/>
        <w:spacing w:after="40"/>
      </w:pPr>
      <w:r>
        <w:rPr>
          <w:rFonts w:ascii="Noto Sans" w:hAnsi="Noto Sans" w:eastAsia="Noto Sans CJK JP"/>
          <w:sz w:val="19"/>
        </w:rPr>
        <w:t>prendre des notes puis restituer structure, arguments et nuances principales.</w:t>
      </w:r>
    </w:p>
    <w:p>
      <w:pPr>
        <w:pStyle w:val="Heading1"/>
      </w:pPr>
      <w:r>
        <w:t>16. Bloc K — Auto-apprentissage directement en japonais</w:t>
      </w:r>
    </w:p>
    <w:p>
      <w:r>
        <w:rPr>
          <w:rFonts w:ascii="Noto Sans" w:hAnsi="Noto Sans" w:eastAsia="Noto Sans CJK JP"/>
          <w:sz w:val="20"/>
        </w:rPr>
        <w:t>C’est le cœur de la sortie du parcours guidé. L’utilisateur doit posséder une méthode lui permettant de continuer seul.</w:t>
      </w:r>
    </w:p>
    <w:p>
      <w:pPr>
        <w:pStyle w:val="ListBullet"/>
        <w:spacing w:after="40"/>
      </w:pPr>
      <w:r>
        <w:rPr>
          <w:rFonts w:ascii="Noto Sans" w:hAnsi="Noto Sans" w:eastAsia="Noto Sans CJK JP"/>
          <w:sz w:val="19"/>
        </w:rPr>
        <w:t>utiliser un dictionnaire monolingue japonais ;</w:t>
      </w:r>
    </w:p>
    <w:p>
      <w:pPr>
        <w:pStyle w:val="ListBullet"/>
        <w:spacing w:after="40"/>
      </w:pPr>
      <w:r>
        <w:rPr>
          <w:rFonts w:ascii="Noto Sans" w:hAnsi="Noto Sans" w:eastAsia="Noto Sans CJK JP"/>
          <w:sz w:val="19"/>
        </w:rPr>
        <w:t>chercher un mot par kanji, lecture ou contexte ;</w:t>
      </w:r>
    </w:p>
    <w:p>
      <w:pPr>
        <w:pStyle w:val="ListBullet"/>
        <w:spacing w:after="40"/>
      </w:pPr>
      <w:r>
        <w:rPr>
          <w:rFonts w:ascii="Noto Sans" w:hAnsi="Noto Sans" w:eastAsia="Noto Sans CJK JP"/>
          <w:sz w:val="19"/>
        </w:rPr>
        <w:t>lire des définitions japonaises et exemples d’usage ;</w:t>
      </w:r>
    </w:p>
    <w:p>
      <w:pPr>
        <w:pStyle w:val="ListBullet"/>
        <w:spacing w:after="40"/>
      </w:pPr>
      <w:r>
        <w:rPr>
          <w:rFonts w:ascii="Noto Sans" w:hAnsi="Noto Sans" w:eastAsia="Noto Sans CJK JP"/>
          <w:sz w:val="19"/>
        </w:rPr>
        <w:t>comparer plusieurs phrases authentiques pour vérifier une collocation ;</w:t>
      </w:r>
    </w:p>
    <w:p>
      <w:pPr>
        <w:pStyle w:val="ListBullet"/>
        <w:spacing w:after="40"/>
      </w:pPr>
      <w:r>
        <w:rPr>
          <w:rFonts w:ascii="Noto Sans" w:hAnsi="Noto Sans" w:eastAsia="Noto Sans CJK JP"/>
          <w:sz w:val="19"/>
        </w:rPr>
        <w:t>tenir une liste personnelle de vocabulaire ou structures à revoir ;</w:t>
      </w:r>
    </w:p>
    <w:p>
      <w:pPr>
        <w:pStyle w:val="ListBullet"/>
        <w:spacing w:after="40"/>
      </w:pPr>
      <w:r>
        <w:rPr>
          <w:rFonts w:ascii="Noto Sans" w:hAnsi="Noto Sans" w:eastAsia="Noto Sans CJK JP"/>
          <w:sz w:val="19"/>
        </w:rPr>
        <w:t>choisir quelles connaissances doivent être actives ou seulement reconnues ;</w:t>
      </w:r>
    </w:p>
    <w:p>
      <w:pPr>
        <w:pStyle w:val="ListBullet"/>
        <w:spacing w:after="40"/>
      </w:pPr>
      <w:r>
        <w:rPr>
          <w:rFonts w:ascii="Noto Sans" w:hAnsi="Noto Sans" w:eastAsia="Noto Sans CJK JP"/>
          <w:sz w:val="19"/>
        </w:rPr>
        <w:t>créer ses propres exemples ;</w:t>
      </w:r>
    </w:p>
    <w:p>
      <w:pPr>
        <w:pStyle w:val="ListBullet"/>
        <w:spacing w:after="40"/>
      </w:pPr>
      <w:r>
        <w:rPr>
          <w:rFonts w:ascii="Noto Sans" w:hAnsi="Noto Sans" w:eastAsia="Noto Sans CJK JP"/>
          <w:sz w:val="19"/>
        </w:rPr>
        <w:t>utiliser le contexte avant de consulter une traduction ;</w:t>
      </w:r>
    </w:p>
    <w:p>
      <w:pPr>
        <w:pStyle w:val="ListBullet"/>
        <w:spacing w:after="40"/>
      </w:pPr>
      <w:r>
        <w:rPr>
          <w:rFonts w:ascii="Noto Sans" w:hAnsi="Noto Sans" w:eastAsia="Noto Sans CJK JP"/>
          <w:sz w:val="19"/>
        </w:rPr>
        <w:t>identifier ses erreurs récurrentes et construire une révision ciblée ;</w:t>
      </w:r>
    </w:p>
    <w:p>
      <w:pPr>
        <w:pStyle w:val="ListBullet"/>
        <w:spacing w:after="40"/>
      </w:pPr>
      <w:r>
        <w:rPr>
          <w:rFonts w:ascii="Noto Sans" w:hAnsi="Noto Sans" w:eastAsia="Noto Sans CJK JP"/>
          <w:sz w:val="19"/>
        </w:rPr>
        <w:t>utiliser des explications principalement japonaises, avec retour ponctuel au français si nécessaire.</w:t>
      </w:r>
    </w:p>
    <w:p>
      <w:pPr>
        <w:pStyle w:val="Heading1"/>
      </w:pPr>
      <w:r>
        <w:t>17. Bloc L — Dictionnaires, corpus et ressources de référence</w:t>
      </w:r>
    </w:p>
    <w:p>
      <w:pPr>
        <w:pStyle w:val="ListBullet"/>
        <w:spacing w:after="40"/>
      </w:pPr>
      <w:r>
        <w:rPr>
          <w:rFonts w:ascii="Noto Sans" w:hAnsi="Noto Sans" w:eastAsia="Noto Sans CJK JP"/>
          <w:sz w:val="19"/>
        </w:rPr>
        <w:t>distinguer dictionnaire bilingue et monolingue ;</w:t>
      </w:r>
    </w:p>
    <w:p>
      <w:pPr>
        <w:pStyle w:val="ListBullet"/>
        <w:spacing w:after="40"/>
      </w:pPr>
      <w:r>
        <w:rPr>
          <w:rFonts w:ascii="Noto Sans" w:hAnsi="Noto Sans" w:eastAsia="Noto Sans CJK JP"/>
          <w:sz w:val="19"/>
        </w:rPr>
        <w:t>comprendre les abréviations grammaticales et informations de registre ;</w:t>
      </w:r>
    </w:p>
    <w:p>
      <w:pPr>
        <w:pStyle w:val="ListBullet"/>
        <w:spacing w:after="40"/>
      </w:pPr>
      <w:r>
        <w:rPr>
          <w:rFonts w:ascii="Noto Sans" w:hAnsi="Noto Sans" w:eastAsia="Noto Sans CJK JP"/>
          <w:sz w:val="19"/>
        </w:rPr>
        <w:t>vérifier lecture et prononciation lorsque cela est utile ;</w:t>
      </w:r>
    </w:p>
    <w:p>
      <w:pPr>
        <w:pStyle w:val="ListBullet"/>
        <w:spacing w:after="40"/>
      </w:pPr>
      <w:r>
        <w:rPr>
          <w:rFonts w:ascii="Noto Sans" w:hAnsi="Noto Sans" w:eastAsia="Noto Sans CJK JP"/>
          <w:sz w:val="19"/>
        </w:rPr>
        <w:t>consulter plusieurs exemples pour éviter une traduction trompeuse ;</w:t>
      </w:r>
    </w:p>
    <w:p>
      <w:pPr>
        <w:pStyle w:val="ListBullet"/>
        <w:spacing w:after="40"/>
      </w:pPr>
      <w:r>
        <w:rPr>
          <w:rFonts w:ascii="Noto Sans" w:hAnsi="Noto Sans" w:eastAsia="Noto Sans CJK JP"/>
          <w:sz w:val="19"/>
        </w:rPr>
        <w:t>rechercher une expression complète et pas uniquement chaque mot séparément ;</w:t>
      </w:r>
    </w:p>
    <w:p>
      <w:pPr>
        <w:pStyle w:val="ListBullet"/>
        <w:spacing w:after="40"/>
      </w:pPr>
      <w:r>
        <w:rPr>
          <w:rFonts w:ascii="Noto Sans" w:hAnsi="Noto Sans" w:eastAsia="Noto Sans CJK JP"/>
          <w:sz w:val="19"/>
        </w:rPr>
        <w:t>utiliser un corpus ou moteur d’exemples pour observer fréquence et partenaires naturels ;</w:t>
      </w:r>
    </w:p>
    <w:p>
      <w:pPr>
        <w:pStyle w:val="ListBullet"/>
        <w:spacing w:after="40"/>
      </w:pPr>
      <w:r>
        <w:rPr>
          <w:rFonts w:ascii="Noto Sans" w:hAnsi="Noto Sans" w:eastAsia="Noto Sans CJK JP"/>
          <w:sz w:val="19"/>
        </w:rPr>
        <w:t>reconnaître qu’une occurrence trouvée sur Internet n’est pas automatiquement une preuve de japonais naturel.</w:t>
      </w:r>
    </w:p>
    <w:p>
      <w:pPr>
        <w:pStyle w:val="Heading1"/>
      </w:pPr>
      <w:r>
        <w:t>18. Vocabulaire évolutif : niveau 7</w:t>
      </w:r>
    </w:p>
    <w:p>
      <w:pPr>
        <w:pStyle w:val="ListBullet"/>
        <w:spacing w:after="40"/>
      </w:pPr>
      <w:r>
        <w:rPr>
          <w:rFonts w:ascii="Noto Sans" w:hAnsi="Noto Sans" w:eastAsia="Noto Sans CJK JP"/>
          <w:sz w:val="19"/>
        </w:rPr>
        <w:t>vocabulaire général de haute fréquence restant inconnu ;</w:t>
      </w:r>
    </w:p>
    <w:p>
      <w:pPr>
        <w:pStyle w:val="ListBullet"/>
        <w:spacing w:after="40"/>
      </w:pPr>
      <w:r>
        <w:rPr>
          <w:rFonts w:ascii="Noto Sans" w:hAnsi="Noto Sans" w:eastAsia="Noto Sans CJK JP"/>
          <w:sz w:val="19"/>
        </w:rPr>
        <w:t>lexique abstrait et conceptuel ;</w:t>
      </w:r>
    </w:p>
    <w:p>
      <w:pPr>
        <w:pStyle w:val="ListBullet"/>
        <w:spacing w:after="40"/>
      </w:pPr>
      <w:r>
        <w:rPr>
          <w:rFonts w:ascii="Noto Sans" w:hAnsi="Noto Sans" w:eastAsia="Noto Sans CJK JP"/>
          <w:sz w:val="19"/>
        </w:rPr>
        <w:t>collocations fines ;</w:t>
      </w:r>
    </w:p>
    <w:p>
      <w:pPr>
        <w:pStyle w:val="ListBullet"/>
        <w:spacing w:after="40"/>
      </w:pPr>
      <w:r>
        <w:rPr>
          <w:rFonts w:ascii="Noto Sans" w:hAnsi="Noto Sans" w:eastAsia="Noto Sans CJK JP"/>
          <w:sz w:val="19"/>
        </w:rPr>
        <w:t>expressions idiomatiques fréquentes ;</w:t>
      </w:r>
    </w:p>
    <w:p>
      <w:pPr>
        <w:pStyle w:val="ListBullet"/>
        <w:spacing w:after="40"/>
      </w:pPr>
      <w:r>
        <w:rPr>
          <w:rFonts w:ascii="Noto Sans" w:hAnsi="Noto Sans" w:eastAsia="Noto Sans CJK JP"/>
          <w:sz w:val="19"/>
        </w:rPr>
        <w:t>mots de registre soutenu, littéraire, professionnel ou conversationnel ;</w:t>
      </w:r>
    </w:p>
    <w:p>
      <w:pPr>
        <w:pStyle w:val="ListBullet"/>
        <w:spacing w:after="40"/>
      </w:pPr>
      <w:r>
        <w:rPr>
          <w:rFonts w:ascii="Noto Sans" w:hAnsi="Noto Sans" w:eastAsia="Noto Sans CJK JP"/>
          <w:sz w:val="19"/>
        </w:rPr>
        <w:t>vocabulaire propre aux centres d’intérêt de l’utilisateur ;</w:t>
      </w:r>
    </w:p>
    <w:p>
      <w:pPr>
        <w:pStyle w:val="ListBullet"/>
        <w:spacing w:after="40"/>
      </w:pPr>
      <w:r>
        <w:rPr>
          <w:rFonts w:ascii="Noto Sans" w:hAnsi="Noto Sans" w:eastAsia="Noto Sans CJK JP"/>
          <w:sz w:val="19"/>
        </w:rPr>
        <w:t>terminologie de la première spécialisation choisie ;</w:t>
      </w:r>
    </w:p>
    <w:p>
      <w:pPr>
        <w:pStyle w:val="ListBullet"/>
        <w:spacing w:after="40"/>
      </w:pPr>
      <w:r>
        <w:rPr>
          <w:rFonts w:ascii="Noto Sans" w:hAnsi="Noto Sans" w:eastAsia="Noto Sans CJK JP"/>
          <w:sz w:val="19"/>
        </w:rPr>
        <w:t>distinction vocabulaire actif / passif maintenue : tout mot compris n’a pas besoin d’être produit.</w:t>
      </w:r>
    </w:p>
    <w:p>
      <w:pPr>
        <w:pStyle w:val="Heading1"/>
      </w:pPr>
      <w:r>
        <w:t>19. Kanji : autonomie avancée</w:t>
      </w:r>
    </w:p>
    <w:p>
      <w:pPr>
        <w:pStyle w:val="ListBullet"/>
        <w:spacing w:after="40"/>
      </w:pPr>
      <w:r>
        <w:rPr>
          <w:rFonts w:ascii="Noto Sans" w:hAnsi="Noto Sans" w:eastAsia="Noto Sans CJK JP"/>
          <w:sz w:val="19"/>
        </w:rPr>
        <w:t>consolider progressivement les jōyō kanji rencontrés dans les usages généraux ;</w:t>
      </w:r>
    </w:p>
    <w:p>
      <w:pPr>
        <w:pStyle w:val="ListBullet"/>
        <w:spacing w:after="40"/>
      </w:pPr>
      <w:r>
        <w:rPr>
          <w:rFonts w:ascii="Noto Sans" w:hAnsi="Noto Sans" w:eastAsia="Noto Sans CJK JP"/>
          <w:sz w:val="19"/>
        </w:rPr>
        <w:t>apprendre les kanji moins fréquents lorsqu’ils sont utiles au domaine choisi ;</w:t>
      </w:r>
    </w:p>
    <w:p>
      <w:pPr>
        <w:pStyle w:val="ListBullet"/>
        <w:spacing w:after="40"/>
      </w:pPr>
      <w:r>
        <w:rPr>
          <w:rFonts w:ascii="Noto Sans" w:hAnsi="Noto Sans" w:eastAsia="Noto Sans CJK JP"/>
          <w:sz w:val="19"/>
        </w:rPr>
        <w:t>comprendre les ateji et lectures exceptionnelles lorsqu’ils apparaissent ;</w:t>
      </w:r>
    </w:p>
    <w:p>
      <w:pPr>
        <w:pStyle w:val="ListBullet"/>
        <w:spacing w:after="40"/>
      </w:pPr>
      <w:r>
        <w:rPr>
          <w:rFonts w:ascii="Noto Sans" w:hAnsi="Noto Sans" w:eastAsia="Noto Sans CJK JP"/>
          <w:sz w:val="19"/>
        </w:rPr>
        <w:t>lire des noms propres avec aide lorsqu’ils sont inconnus ;</w:t>
      </w:r>
    </w:p>
    <w:p>
      <w:pPr>
        <w:pStyle w:val="ListBullet"/>
        <w:spacing w:after="40"/>
      </w:pPr>
      <w:r>
        <w:rPr>
          <w:rFonts w:ascii="Noto Sans" w:hAnsi="Noto Sans" w:eastAsia="Noto Sans CJK JP"/>
          <w:sz w:val="19"/>
        </w:rPr>
        <w:t>utiliser composants et indices phonétiques pour proposer une lecture possible ;</w:t>
      </w:r>
    </w:p>
    <w:p>
      <w:pPr>
        <w:pStyle w:val="ListBullet"/>
        <w:spacing w:after="40"/>
      </w:pPr>
      <w:r>
        <w:rPr>
          <w:rFonts w:ascii="Noto Sans" w:hAnsi="Noto Sans" w:eastAsia="Noto Sans CJK JP"/>
          <w:sz w:val="19"/>
        </w:rPr>
        <w:t>savoir que les noms propres et domaines spécialisés dépassent largement la liste des jōyō ;</w:t>
      </w:r>
    </w:p>
    <w:p>
      <w:pPr>
        <w:pStyle w:val="ListBullet"/>
        <w:spacing w:after="40"/>
      </w:pPr>
      <w:r>
        <w:rPr>
          <w:rFonts w:ascii="Noto Sans" w:hAnsi="Noto Sans" w:eastAsia="Noto Sans CJK JP"/>
          <w:sz w:val="19"/>
        </w:rPr>
        <w:t>ne plus mesurer la progression uniquement par le nombre de kanji connus ;</w:t>
      </w:r>
    </w:p>
    <w:p>
      <w:pPr>
        <w:pStyle w:val="ListBullet"/>
        <w:spacing w:after="40"/>
      </w:pPr>
      <w:r>
        <w:rPr>
          <w:rFonts w:ascii="Noto Sans" w:hAnsi="Noto Sans" w:eastAsia="Noto Sans CJK JP"/>
          <w:sz w:val="19"/>
        </w:rPr>
        <w:t>maîtriser la saisie kana → kanji et le choix des graphies dans les productions écrites ;</w:t>
      </w:r>
    </w:p>
    <w:p>
      <w:pPr>
        <w:pStyle w:val="ListBullet"/>
        <w:spacing w:after="40"/>
      </w:pPr>
      <w:r>
        <w:rPr>
          <w:rFonts w:ascii="Noto Sans" w:hAnsi="Noto Sans" w:eastAsia="Noto Sans CJK JP"/>
          <w:sz w:val="19"/>
        </w:rPr>
        <w:t>garder l’écriture manuscrite facultative sauf objectif personnel ou professionnel spécifique.</w:t>
      </w:r>
    </w:p>
    <w:p>
      <w:pPr>
        <w:pStyle w:val="Heading1"/>
      </w:pPr>
      <w:r>
        <w:t>20. Écoute : niveau 7</w:t>
      </w:r>
    </w:p>
    <w:p>
      <w:pPr>
        <w:pStyle w:val="ListBullet"/>
        <w:spacing w:after="40"/>
      </w:pPr>
      <w:r>
        <w:rPr>
          <w:rFonts w:ascii="Noto Sans" w:hAnsi="Noto Sans" w:eastAsia="Noto Sans CJK JP"/>
          <w:sz w:val="19"/>
        </w:rPr>
        <w:t>comprendre plusieurs locuteurs qui se coupent ou parlent avec des styles différents ;</w:t>
      </w:r>
    </w:p>
    <w:p>
      <w:pPr>
        <w:pStyle w:val="ListBullet"/>
        <w:spacing w:after="40"/>
      </w:pPr>
      <w:r>
        <w:rPr>
          <w:rFonts w:ascii="Noto Sans" w:hAnsi="Noto Sans" w:eastAsia="Noto Sans CJK JP"/>
          <w:sz w:val="19"/>
        </w:rPr>
        <w:t>suivre un contenu long sans sous-titres sur un sujet connu ;</w:t>
      </w:r>
    </w:p>
    <w:p>
      <w:pPr>
        <w:pStyle w:val="ListBullet"/>
        <w:spacing w:after="40"/>
      </w:pPr>
      <w:r>
        <w:rPr>
          <w:rFonts w:ascii="Noto Sans" w:hAnsi="Noto Sans" w:eastAsia="Noto Sans CJK JP"/>
          <w:sz w:val="19"/>
        </w:rPr>
        <w:t>comprendre l’essentiel d’un sujet inconnu en identifiant termes clés et structure ;</w:t>
      </w:r>
    </w:p>
    <w:p>
      <w:pPr>
        <w:pStyle w:val="ListBullet"/>
        <w:spacing w:after="40"/>
      </w:pPr>
      <w:r>
        <w:rPr>
          <w:rFonts w:ascii="Noto Sans" w:hAnsi="Noto Sans" w:eastAsia="Noto Sans CJK JP"/>
          <w:sz w:val="19"/>
        </w:rPr>
        <w:t>repérer ironie, hésitation, prudence et changement d’attitude ;</w:t>
      </w:r>
    </w:p>
    <w:p>
      <w:pPr>
        <w:pStyle w:val="ListBullet"/>
        <w:spacing w:after="40"/>
      </w:pPr>
      <w:r>
        <w:rPr>
          <w:rFonts w:ascii="Noto Sans" w:hAnsi="Noto Sans" w:eastAsia="Noto Sans CJK JP"/>
          <w:sz w:val="19"/>
        </w:rPr>
        <w:t>comprendre des variations d’accent et de débit fréquentes avec une tolérance raisonnable ;</w:t>
      </w:r>
    </w:p>
    <w:p>
      <w:pPr>
        <w:pStyle w:val="ListBullet"/>
        <w:spacing w:after="40"/>
      </w:pPr>
      <w:r>
        <w:rPr>
          <w:rFonts w:ascii="Noto Sans" w:hAnsi="Noto Sans" w:eastAsia="Noto Sans CJK JP"/>
          <w:sz w:val="19"/>
        </w:rPr>
        <w:t>prendre des notes puis restituer argumentation et nuances.</w:t>
      </w:r>
    </w:p>
    <w:p>
      <w:pPr>
        <w:pStyle w:val="Heading1"/>
      </w:pPr>
      <w:r>
        <w:t>21. Oral : niveau 7</w:t>
      </w:r>
    </w:p>
    <w:p>
      <w:pPr>
        <w:pStyle w:val="ListBullet"/>
        <w:spacing w:after="40"/>
      </w:pPr>
      <w:r>
        <w:rPr>
          <w:rFonts w:ascii="Noto Sans" w:hAnsi="Noto Sans" w:eastAsia="Noto Sans CJK JP"/>
          <w:sz w:val="19"/>
        </w:rPr>
        <w:t>parler spontanément sans préparer la structure grammaticale de chaque phrase ;</w:t>
      </w:r>
    </w:p>
    <w:p>
      <w:pPr>
        <w:pStyle w:val="ListBullet"/>
        <w:spacing w:after="40"/>
      </w:pPr>
      <w:r>
        <w:rPr>
          <w:rFonts w:ascii="Noto Sans" w:hAnsi="Noto Sans" w:eastAsia="Noto Sans CJK JP"/>
          <w:sz w:val="19"/>
        </w:rPr>
        <w:t>réparer une phrase en temps réel lorsqu’elle part mal ;</w:t>
      </w:r>
    </w:p>
    <w:p>
      <w:pPr>
        <w:pStyle w:val="ListBullet"/>
        <w:spacing w:after="40"/>
      </w:pPr>
      <w:r>
        <w:rPr>
          <w:rFonts w:ascii="Noto Sans" w:hAnsi="Noto Sans" w:eastAsia="Noto Sans CJK JP"/>
          <w:sz w:val="19"/>
        </w:rPr>
        <w:t>chercher un mot en le décrivant plutôt que bloquer ;</w:t>
      </w:r>
    </w:p>
    <w:p>
      <w:pPr>
        <w:pStyle w:val="ListBullet"/>
        <w:spacing w:after="40"/>
      </w:pPr>
      <w:r>
        <w:rPr>
          <w:rFonts w:ascii="Noto Sans" w:hAnsi="Noto Sans" w:eastAsia="Noto Sans CJK JP"/>
          <w:sz w:val="19"/>
        </w:rPr>
        <w:t>changer de registre en cours d’interaction si la situation change ;</w:t>
      </w:r>
    </w:p>
    <w:p>
      <w:pPr>
        <w:pStyle w:val="ListBullet"/>
        <w:spacing w:after="40"/>
      </w:pPr>
      <w:r>
        <w:rPr>
          <w:rFonts w:ascii="Noto Sans" w:hAnsi="Noto Sans" w:eastAsia="Noto Sans CJK JP"/>
          <w:sz w:val="19"/>
        </w:rPr>
        <w:t>défendre une idée complexe tout en nuançant ;</w:t>
      </w:r>
    </w:p>
    <w:p>
      <w:pPr>
        <w:pStyle w:val="ListBullet"/>
        <w:spacing w:after="40"/>
      </w:pPr>
      <w:r>
        <w:rPr>
          <w:rFonts w:ascii="Noto Sans" w:hAnsi="Noto Sans" w:eastAsia="Noto Sans CJK JP"/>
          <w:sz w:val="19"/>
        </w:rPr>
        <w:t>utiliser des exemples, analogies et reformulations ;</w:t>
      </w:r>
    </w:p>
    <w:p>
      <w:pPr>
        <w:pStyle w:val="ListBullet"/>
        <w:spacing w:after="40"/>
      </w:pPr>
      <w:r>
        <w:rPr>
          <w:rFonts w:ascii="Noto Sans" w:hAnsi="Noto Sans" w:eastAsia="Noto Sans CJK JP"/>
          <w:sz w:val="19"/>
        </w:rPr>
        <w:t>participer à une conversation longue avec plusieurs interlocuteurs ;</w:t>
      </w:r>
    </w:p>
    <w:p>
      <w:pPr>
        <w:pStyle w:val="ListBullet"/>
        <w:spacing w:after="40"/>
      </w:pPr>
      <w:r>
        <w:rPr>
          <w:rFonts w:ascii="Noto Sans" w:hAnsi="Noto Sans" w:eastAsia="Noto Sans CJK JP"/>
          <w:sz w:val="19"/>
        </w:rPr>
        <w:t>adapter sa prosodie au rôle, au public et à la situation.</w:t>
      </w:r>
    </w:p>
    <w:p>
      <w:pPr>
        <w:pStyle w:val="Heading1"/>
      </w:pPr>
      <w:r>
        <w:t>22. Lecture : niveau 7</w:t>
      </w:r>
    </w:p>
    <w:p>
      <w:pPr>
        <w:pStyle w:val="ListBullet"/>
        <w:spacing w:after="40"/>
      </w:pPr>
      <w:r>
        <w:rPr>
          <w:rFonts w:ascii="Noto Sans" w:hAnsi="Noto Sans" w:eastAsia="Noto Sans CJK JP"/>
          <w:sz w:val="19"/>
        </w:rPr>
        <w:t>lire pour l’information, le plaisir ou la recherche plutôt que seulement pour apprendre ;</w:t>
      </w:r>
    </w:p>
    <w:p>
      <w:pPr>
        <w:pStyle w:val="ListBullet"/>
        <w:spacing w:after="40"/>
      </w:pPr>
      <w:r>
        <w:rPr>
          <w:rFonts w:ascii="Noto Sans" w:hAnsi="Noto Sans" w:eastAsia="Noto Sans CJK JP"/>
          <w:sz w:val="19"/>
        </w:rPr>
        <w:t>adapter sa vitesse : survol, recherche d’information ou lecture détaillée ;</w:t>
      </w:r>
    </w:p>
    <w:p>
      <w:pPr>
        <w:pStyle w:val="ListBullet"/>
        <w:spacing w:after="40"/>
      </w:pPr>
      <w:r>
        <w:rPr>
          <w:rFonts w:ascii="Noto Sans" w:hAnsi="Noto Sans" w:eastAsia="Noto Sans CJK JP"/>
          <w:sz w:val="19"/>
        </w:rPr>
        <w:t>lire des textes longs sans chercher chaque mot ;</w:t>
      </w:r>
    </w:p>
    <w:p>
      <w:pPr>
        <w:pStyle w:val="ListBullet"/>
        <w:spacing w:after="40"/>
      </w:pPr>
      <w:r>
        <w:rPr>
          <w:rFonts w:ascii="Noto Sans" w:hAnsi="Noto Sans" w:eastAsia="Noto Sans CJK JP"/>
          <w:sz w:val="19"/>
        </w:rPr>
        <w:t>identifier style, ton, opinion, implicite et structure rhétorique ;</w:t>
      </w:r>
    </w:p>
    <w:p>
      <w:pPr>
        <w:pStyle w:val="ListBullet"/>
        <w:spacing w:after="40"/>
      </w:pPr>
      <w:r>
        <w:rPr>
          <w:rFonts w:ascii="Noto Sans" w:hAnsi="Noto Sans" w:eastAsia="Noto Sans CJK JP"/>
          <w:sz w:val="19"/>
        </w:rPr>
        <w:t>utiliser notes et dictionnaire lorsque le domaine est difficile ;</w:t>
      </w:r>
    </w:p>
    <w:p>
      <w:pPr>
        <w:pStyle w:val="ListBullet"/>
        <w:spacing w:after="40"/>
      </w:pPr>
      <w:r>
        <w:rPr>
          <w:rFonts w:ascii="Noto Sans" w:hAnsi="Noto Sans" w:eastAsia="Noto Sans CJK JP"/>
          <w:sz w:val="19"/>
        </w:rPr>
        <w:t>comparer plusieurs sources sur un même sujet ;</w:t>
      </w:r>
    </w:p>
    <w:p>
      <w:pPr>
        <w:pStyle w:val="ListBullet"/>
        <w:spacing w:after="40"/>
      </w:pPr>
      <w:r>
        <w:rPr>
          <w:rFonts w:ascii="Noto Sans" w:hAnsi="Noto Sans" w:eastAsia="Noto Sans CJK JP"/>
          <w:sz w:val="19"/>
        </w:rPr>
        <w:t>aborder un texte spécialisé choisi sans que sa maîtrise complète soit exigée pour le tronc commun.</w:t>
      </w:r>
    </w:p>
    <w:p>
      <w:pPr>
        <w:pStyle w:val="Heading1"/>
      </w:pPr>
      <w:r>
        <w:t>23. Écriture et saisie : niveau 7</w:t>
      </w:r>
    </w:p>
    <w:p>
      <w:pPr>
        <w:pStyle w:val="ListBullet"/>
        <w:spacing w:after="40"/>
      </w:pPr>
      <w:r>
        <w:rPr>
          <w:rFonts w:ascii="Noto Sans" w:hAnsi="Noto Sans" w:eastAsia="Noto Sans CJK JP"/>
          <w:sz w:val="19"/>
        </w:rPr>
        <w:t>rédiger des textes longs adaptés au destinataire ;</w:t>
      </w:r>
    </w:p>
    <w:p>
      <w:pPr>
        <w:pStyle w:val="ListBullet"/>
        <w:spacing w:after="40"/>
      </w:pPr>
      <w:r>
        <w:rPr>
          <w:rFonts w:ascii="Noto Sans" w:hAnsi="Noto Sans" w:eastAsia="Noto Sans CJK JP"/>
          <w:sz w:val="19"/>
        </w:rPr>
        <w:t>argumenter avec nuance et transitions naturelles ;</w:t>
      </w:r>
    </w:p>
    <w:p>
      <w:pPr>
        <w:pStyle w:val="ListBullet"/>
        <w:spacing w:after="40"/>
      </w:pPr>
      <w:r>
        <w:rPr>
          <w:rFonts w:ascii="Noto Sans" w:hAnsi="Noto Sans" w:eastAsia="Noto Sans CJK JP"/>
          <w:sz w:val="19"/>
        </w:rPr>
        <w:t>produire résumés, synthèses, rapports et explications détaillées ;</w:t>
      </w:r>
    </w:p>
    <w:p>
      <w:pPr>
        <w:pStyle w:val="ListBullet"/>
        <w:spacing w:after="40"/>
      </w:pPr>
      <w:r>
        <w:rPr>
          <w:rFonts w:ascii="Noto Sans" w:hAnsi="Noto Sans" w:eastAsia="Noto Sans CJK JP"/>
          <w:sz w:val="19"/>
        </w:rPr>
        <w:t>imiter un style donné lorsque cela est utile ;</w:t>
      </w:r>
    </w:p>
    <w:p>
      <w:pPr>
        <w:pStyle w:val="ListBullet"/>
        <w:spacing w:after="40"/>
      </w:pPr>
      <w:r>
        <w:rPr>
          <w:rFonts w:ascii="Noto Sans" w:hAnsi="Noto Sans" w:eastAsia="Noto Sans CJK JP"/>
          <w:sz w:val="19"/>
        </w:rPr>
        <w:t>réviser son propre texte sur le fond, la logique, le registre, la ponctuation et le naturel ;</w:t>
      </w:r>
    </w:p>
    <w:p>
      <w:pPr>
        <w:pStyle w:val="ListBullet"/>
        <w:spacing w:after="40"/>
      </w:pPr>
      <w:r>
        <w:rPr>
          <w:rFonts w:ascii="Noto Sans" w:hAnsi="Noto Sans" w:eastAsia="Noto Sans CJK JP"/>
          <w:sz w:val="19"/>
        </w:rPr>
        <w:t>utiliser correctement la saisie japonaise et la conversion kana → kanji ;</w:t>
      </w:r>
    </w:p>
    <w:p>
      <w:pPr>
        <w:pStyle w:val="ListBullet"/>
        <w:spacing w:after="40"/>
      </w:pPr>
      <w:r>
        <w:rPr>
          <w:rFonts w:ascii="Noto Sans" w:hAnsi="Noto Sans" w:eastAsia="Noto Sans CJK JP"/>
          <w:sz w:val="19"/>
        </w:rPr>
        <w:t>demander et intégrer un feedback linguistique ;</w:t>
      </w:r>
    </w:p>
    <w:p>
      <w:pPr>
        <w:pStyle w:val="ListBullet"/>
        <w:spacing w:after="40"/>
      </w:pPr>
      <w:r>
        <w:rPr>
          <w:rFonts w:ascii="Noto Sans" w:hAnsi="Noto Sans" w:eastAsia="Noto Sans CJK JP"/>
          <w:sz w:val="19"/>
        </w:rPr>
        <w:t>garder l’écriture manuscrite optionnelle pour la validation générale.</w:t>
      </w:r>
    </w:p>
    <w:p>
      <w:pPr>
        <w:pStyle w:val="Heading1"/>
      </w:pPr>
      <w:r>
        <w:t>24. Sensibilisations obligatoires du tronc commun</w:t>
      </w:r>
    </w:p>
    <w:p>
      <w:r>
        <w:rPr>
          <w:rFonts w:ascii="Noto Sans" w:hAnsi="Noto Sans" w:eastAsia="Noto Sans CJK JP"/>
          <w:sz w:val="20"/>
        </w:rPr>
        <w:t>Certaines formes de japonais doivent être reconnues comme des réalités de la langue, sans exiger un parcours approfondi de chaque domaine.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1"/>
        </w:trPr>
        <w:tc>
          <w:tcPr>
            <w:tcW w:type="dxa" w:w="3408"/>
            <w:shd w:fill="DCEAF0"/>
            <w:tcMar>
              <w:top w:w="65" w:type="dxa"/>
              <w:start w:w="90" w:type="dxa"/>
              <w:bottom w:w="65" w:type="dxa"/>
              <w:end w:w="90" w:type="dxa"/>
            </w:tcMar>
          </w:tcPr>
          <w:p>
            <w:r>
              <w:rPr>
                <w:rFonts w:ascii="Noto Sans" w:hAnsi="Noto Sans" w:eastAsia="Noto Sans CJK JP"/>
                <w:b/>
                <w:sz w:val="17"/>
              </w:rPr>
              <w:t>Domaine</w:t>
            </w:r>
          </w:p>
        </w:tc>
        <w:tc>
          <w:tcPr>
            <w:tcW w:type="dxa" w:w="3408"/>
            <w:shd w:fill="DCEAF0"/>
            <w:tcMar>
              <w:top w:w="65" w:type="dxa"/>
              <w:start w:w="90" w:type="dxa"/>
              <w:bottom w:w="65" w:type="dxa"/>
              <w:end w:w="90" w:type="dxa"/>
            </w:tcMar>
          </w:tcPr>
          <w:p>
            <w:r>
              <w:rPr>
                <w:rFonts w:ascii="Noto Sans" w:hAnsi="Noto Sans" w:eastAsia="Noto Sans CJK JP"/>
                <w:b/>
                <w:sz w:val="17"/>
              </w:rPr>
              <w:t>Sensibilisation obligatoire</w:t>
            </w:r>
          </w:p>
        </w:tc>
        <w:tc>
          <w:tcPr>
            <w:tcW w:type="dxa" w:w="3408"/>
            <w:shd w:fill="DCEAF0"/>
            <w:tcMar>
              <w:top w:w="65" w:type="dxa"/>
              <w:start w:w="90" w:type="dxa"/>
              <w:bottom w:w="65" w:type="dxa"/>
              <w:end w:w="90" w:type="dxa"/>
            </w:tcMar>
          </w:tcPr>
          <w:p>
            <w:r>
              <w:rPr>
                <w:rFonts w:ascii="Noto Sans" w:hAnsi="Noto Sans" w:eastAsia="Noto Sans CJK JP"/>
                <w:b/>
                <w:sz w:val="17"/>
              </w:rPr>
              <w:t>Approfondissement</w:t>
            </w:r>
          </w:p>
        </w:tc>
      </w:tr>
      <w:tr>
        <w:trPr>
          <w:cantSplit w:val="1"/>
        </w:trPr>
        <w:tc>
          <w:tcPr>
            <w:tcW w:type="dxa" w:w="3408"/>
            <w:tcMar>
              <w:top w:w="50" w:type="dxa"/>
              <w:start w:w="75" w:type="dxa"/>
              <w:bottom w:w="50" w:type="dxa"/>
              <w:end w:w="75" w:type="dxa"/>
            </w:tcMar>
          </w:tcPr>
          <w:p>
            <w:r>
              <w:rPr>
                <w:rFonts w:ascii="Noto Sans" w:hAnsi="Noto Sans" w:eastAsia="Noto Sans CJK JP"/>
                <w:sz w:val="14"/>
              </w:rPr>
              <w:t>Littérature moderne</w:t>
            </w:r>
          </w:p>
        </w:tc>
        <w:tc>
          <w:tcPr>
            <w:tcW w:type="dxa" w:w="3408"/>
            <w:tcMar>
              <w:top w:w="50" w:type="dxa"/>
              <w:start w:w="75" w:type="dxa"/>
              <w:bottom w:w="50" w:type="dxa"/>
              <w:end w:w="75" w:type="dxa"/>
            </w:tcMar>
          </w:tcPr>
          <w:p>
            <w:r>
              <w:rPr>
                <w:rFonts w:ascii="Noto Sans" w:hAnsi="Noto Sans" w:eastAsia="Noto Sans CJK JP"/>
                <w:sz w:val="14"/>
              </w:rPr>
              <w:t>Reconnaître narration, voix, ellipses et images dans un extrait accessible</w:t>
            </w:r>
          </w:p>
        </w:tc>
        <w:tc>
          <w:tcPr>
            <w:tcW w:type="dxa" w:w="3408"/>
            <w:tcMar>
              <w:top w:w="50" w:type="dxa"/>
              <w:start w:w="75" w:type="dxa"/>
              <w:bottom w:w="50" w:type="dxa"/>
              <w:end w:w="75" w:type="dxa"/>
            </w:tcMar>
          </w:tcPr>
          <w:p>
            <w:r>
              <w:rPr>
                <w:rFonts w:ascii="Noto Sans" w:hAnsi="Noto Sans" w:eastAsia="Noto Sans CJK JP"/>
                <w:sz w:val="14"/>
              </w:rPr>
              <w:t>Branche élective littérature</w:t>
            </w:r>
          </w:p>
        </w:tc>
      </w:tr>
      <w:tr>
        <w:trPr>
          <w:cantSplit w:val="1"/>
        </w:trPr>
        <w:tc>
          <w:tcPr>
            <w:tcW w:type="dxa" w:w="3408"/>
            <w:tcMar>
              <w:top w:w="50" w:type="dxa"/>
              <w:start w:w="75" w:type="dxa"/>
              <w:bottom w:w="50" w:type="dxa"/>
              <w:end w:w="75" w:type="dxa"/>
            </w:tcMar>
          </w:tcPr>
          <w:p>
            <w:r>
              <w:rPr>
                <w:rFonts w:ascii="Noto Sans" w:hAnsi="Noto Sans" w:eastAsia="Noto Sans CJK JP"/>
                <w:sz w:val="14"/>
              </w:rPr>
              <w:t>Japonais classique</w:t>
            </w:r>
          </w:p>
        </w:tc>
        <w:tc>
          <w:tcPr>
            <w:tcW w:type="dxa" w:w="3408"/>
            <w:tcMar>
              <w:top w:w="50" w:type="dxa"/>
              <w:start w:w="75" w:type="dxa"/>
              <w:bottom w:w="50" w:type="dxa"/>
              <w:end w:w="75" w:type="dxa"/>
            </w:tcMar>
          </w:tcPr>
          <w:p>
            <w:r>
              <w:rPr>
                <w:rFonts w:ascii="Noto Sans" w:hAnsi="Noto Sans" w:eastAsia="Noto Sans CJK JP"/>
                <w:sz w:val="14"/>
              </w:rPr>
              <w:t>Savoir qu’une forme ancienne peut apparaître et savoir chercher son sens</w:t>
            </w:r>
          </w:p>
        </w:tc>
        <w:tc>
          <w:tcPr>
            <w:tcW w:type="dxa" w:w="3408"/>
            <w:tcMar>
              <w:top w:w="50" w:type="dxa"/>
              <w:start w:w="75" w:type="dxa"/>
              <w:bottom w:w="50" w:type="dxa"/>
              <w:end w:w="75" w:type="dxa"/>
            </w:tcMar>
          </w:tcPr>
          <w:p>
            <w:r>
              <w:rPr>
                <w:rFonts w:ascii="Noto Sans" w:hAnsi="Noto Sans" w:eastAsia="Noto Sans CJK JP"/>
                <w:sz w:val="14"/>
              </w:rPr>
              <w:t>Branche élective classique</w:t>
            </w:r>
          </w:p>
        </w:tc>
      </w:tr>
      <w:tr>
        <w:trPr>
          <w:cantSplit w:val="1"/>
        </w:trPr>
        <w:tc>
          <w:tcPr>
            <w:tcW w:type="dxa" w:w="3408"/>
            <w:tcMar>
              <w:top w:w="50" w:type="dxa"/>
              <w:start w:w="75" w:type="dxa"/>
              <w:bottom w:w="50" w:type="dxa"/>
              <w:end w:w="75" w:type="dxa"/>
            </w:tcMar>
          </w:tcPr>
          <w:p>
            <w:r>
              <w:rPr>
                <w:rFonts w:ascii="Noto Sans" w:hAnsi="Noto Sans" w:eastAsia="Noto Sans CJK JP"/>
                <w:sz w:val="14"/>
              </w:rPr>
              <w:t>Dialectes / sociolectes</w:t>
            </w:r>
          </w:p>
        </w:tc>
        <w:tc>
          <w:tcPr>
            <w:tcW w:type="dxa" w:w="3408"/>
            <w:tcMar>
              <w:top w:w="50" w:type="dxa"/>
              <w:start w:w="75" w:type="dxa"/>
              <w:bottom w:w="50" w:type="dxa"/>
              <w:end w:w="75" w:type="dxa"/>
            </w:tcMar>
          </w:tcPr>
          <w:p>
            <w:r>
              <w:rPr>
                <w:rFonts w:ascii="Noto Sans" w:hAnsi="Noto Sans" w:eastAsia="Noto Sans CJK JP"/>
                <w:sz w:val="14"/>
              </w:rPr>
              <w:t>Reconnaître qu’un écart au standard peut être une variation réelle</w:t>
            </w:r>
          </w:p>
        </w:tc>
        <w:tc>
          <w:tcPr>
            <w:tcW w:type="dxa" w:w="3408"/>
            <w:tcMar>
              <w:top w:w="50" w:type="dxa"/>
              <w:start w:w="75" w:type="dxa"/>
              <w:bottom w:w="50" w:type="dxa"/>
              <w:end w:w="75" w:type="dxa"/>
            </w:tcMar>
          </w:tcPr>
          <w:p>
            <w:r>
              <w:rPr>
                <w:rFonts w:ascii="Noto Sans" w:hAnsi="Noto Sans" w:eastAsia="Noto Sans CJK JP"/>
                <w:sz w:val="14"/>
              </w:rPr>
              <w:t>Production d’un dialecte choisie en option</w:t>
            </w:r>
          </w:p>
        </w:tc>
      </w:tr>
      <w:tr>
        <w:trPr>
          <w:cantSplit w:val="1"/>
        </w:trPr>
        <w:tc>
          <w:tcPr>
            <w:tcW w:type="dxa" w:w="3408"/>
            <w:tcMar>
              <w:top w:w="50" w:type="dxa"/>
              <w:start w:w="75" w:type="dxa"/>
              <w:bottom w:w="50" w:type="dxa"/>
              <w:end w:w="75" w:type="dxa"/>
            </w:tcMar>
          </w:tcPr>
          <w:p>
            <w:r>
              <w:rPr>
                <w:rFonts w:ascii="Noto Sans" w:hAnsi="Noto Sans" w:eastAsia="Noto Sans CJK JP"/>
                <w:sz w:val="14"/>
              </w:rPr>
              <w:t>Académique / spécialité</w:t>
            </w:r>
          </w:p>
        </w:tc>
        <w:tc>
          <w:tcPr>
            <w:tcW w:type="dxa" w:w="3408"/>
            <w:tcMar>
              <w:top w:w="50" w:type="dxa"/>
              <w:start w:w="75" w:type="dxa"/>
              <w:bottom w:w="50" w:type="dxa"/>
              <w:end w:w="75" w:type="dxa"/>
            </w:tcMar>
          </w:tcPr>
          <w:p>
            <w:r>
              <w:rPr>
                <w:rFonts w:ascii="Noto Sans" w:hAnsi="Noto Sans" w:eastAsia="Noto Sans CJK JP"/>
                <w:sz w:val="14"/>
              </w:rPr>
              <w:t>Savoir repérer définitions, termes techniques et structure d’un texte</w:t>
            </w:r>
          </w:p>
        </w:tc>
        <w:tc>
          <w:tcPr>
            <w:tcW w:type="dxa" w:w="3408"/>
            <w:tcMar>
              <w:top w:w="50" w:type="dxa"/>
              <w:start w:w="75" w:type="dxa"/>
              <w:bottom w:w="50" w:type="dxa"/>
              <w:end w:w="75" w:type="dxa"/>
            </w:tcMar>
          </w:tcPr>
          <w:p>
            <w:r>
              <w:rPr>
                <w:rFonts w:ascii="Noto Sans" w:hAnsi="Noto Sans" w:eastAsia="Noto Sans CJK JP"/>
                <w:sz w:val="14"/>
              </w:rPr>
              <w:t>Parcours académique ou métier</w:t>
            </w:r>
          </w:p>
        </w:tc>
      </w:tr>
      <w:tr>
        <w:trPr>
          <w:cantSplit w:val="1"/>
        </w:trPr>
        <w:tc>
          <w:tcPr>
            <w:tcW w:type="dxa" w:w="3408"/>
            <w:tcMar>
              <w:top w:w="50" w:type="dxa"/>
              <w:start w:w="75" w:type="dxa"/>
              <w:bottom w:w="50" w:type="dxa"/>
              <w:end w:w="75" w:type="dxa"/>
            </w:tcMar>
          </w:tcPr>
          <w:p>
            <w:r>
              <w:rPr>
                <w:rFonts w:ascii="Noto Sans" w:hAnsi="Noto Sans" w:eastAsia="Noto Sans CJK JP"/>
                <w:sz w:val="14"/>
              </w:rPr>
              <w:t>Media de fiction</w:t>
            </w:r>
          </w:p>
        </w:tc>
        <w:tc>
          <w:tcPr>
            <w:tcW w:type="dxa" w:w="3408"/>
            <w:tcMar>
              <w:top w:w="50" w:type="dxa"/>
              <w:start w:w="75" w:type="dxa"/>
              <w:bottom w:w="50" w:type="dxa"/>
              <w:end w:w="75" w:type="dxa"/>
            </w:tcMar>
          </w:tcPr>
          <w:p>
            <w:r>
              <w:rPr>
                <w:rFonts w:ascii="Noto Sans" w:hAnsi="Noto Sans" w:eastAsia="Noto Sans CJK JP"/>
                <w:sz w:val="14"/>
              </w:rPr>
              <w:t>Comprendre que personnages et genres peuvent utiliser des registres stylisés</w:t>
            </w:r>
          </w:p>
        </w:tc>
        <w:tc>
          <w:tcPr>
            <w:tcW w:type="dxa" w:w="3408"/>
            <w:tcMar>
              <w:top w:w="50" w:type="dxa"/>
              <w:start w:w="75" w:type="dxa"/>
              <w:bottom w:w="50" w:type="dxa"/>
              <w:end w:w="75" w:type="dxa"/>
            </w:tcMar>
          </w:tcPr>
          <w:p>
            <w:r>
              <w:rPr>
                <w:rFonts w:ascii="Noto Sans" w:hAnsi="Noto Sans" w:eastAsia="Noto Sans CJK JP"/>
                <w:sz w:val="14"/>
              </w:rPr>
              <w:t>Anime / manga / fiction en spécialisation</w:t>
            </w:r>
          </w:p>
        </w:tc>
      </w:tr>
    </w:tbl>
    <w:p>
      <w:pPr>
        <w:pStyle w:val="Heading1"/>
      </w:pPr>
      <w:r>
        <w:t>25. Branches électives de spécialisation</w:t>
      </w:r>
    </w:p>
    <w:p>
      <w:r>
        <w:rPr>
          <w:rFonts w:ascii="Noto Sans" w:hAnsi="Noto Sans" w:eastAsia="Noto Sans CJK JP"/>
          <w:sz w:val="20"/>
        </w:rPr>
        <w:t>Après ou pendant la fin du tronc commun, l’utilisateur choisit au moins une première branche. Le choix est nécessaire pour apprendre à transférer son autonomie à un domaine réel ; la maîtrise de toutes les branches ne l’est pas.</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90" w:type="dxa"/>
              <w:bottom w:w="65" w:type="dxa"/>
              <w:end w:w="90" w:type="dxa"/>
            </w:tcMar>
          </w:tcPr>
          <w:p>
            <w:r>
              <w:rPr>
                <w:rFonts w:ascii="Noto Sans" w:hAnsi="Noto Sans" w:eastAsia="Noto Sans CJK JP"/>
                <w:b/>
                <w:sz w:val="17"/>
              </w:rPr>
              <w:t>Branche possible</w:t>
            </w:r>
          </w:p>
        </w:tc>
        <w:tc>
          <w:tcPr>
            <w:tcW w:type="dxa" w:w="5112"/>
            <w:shd w:fill="DCEAF0"/>
            <w:tcMar>
              <w:top w:w="65" w:type="dxa"/>
              <w:start w:w="90" w:type="dxa"/>
              <w:bottom w:w="65" w:type="dxa"/>
              <w:end w:w="90" w:type="dxa"/>
            </w:tcMar>
          </w:tcPr>
          <w:p>
            <w:r>
              <w:rPr>
                <w:rFonts w:ascii="Noto Sans" w:hAnsi="Noto Sans" w:eastAsia="Noto Sans CJK JP"/>
                <w:b/>
                <w:sz w:val="17"/>
              </w:rPr>
              <w:t>Contenu potentiel</w:t>
            </w:r>
          </w:p>
        </w:tc>
      </w:tr>
      <w:tr>
        <w:trPr>
          <w:cantSplit w:val="1"/>
        </w:trPr>
        <w:tc>
          <w:tcPr>
            <w:tcW w:type="dxa" w:w="5112"/>
            <w:tcMar>
              <w:top w:w="50" w:type="dxa"/>
              <w:start w:w="75" w:type="dxa"/>
              <w:bottom w:w="50" w:type="dxa"/>
              <w:end w:w="75" w:type="dxa"/>
            </w:tcMar>
          </w:tcPr>
          <w:p>
            <w:r>
              <w:rPr>
                <w:rFonts w:ascii="Noto Sans" w:hAnsi="Noto Sans" w:eastAsia="Noto Sans CJK JP"/>
                <w:sz w:val="14"/>
              </w:rPr>
              <w:t>Professionnel / entreprise</w:t>
            </w:r>
          </w:p>
        </w:tc>
        <w:tc>
          <w:tcPr>
            <w:tcW w:type="dxa" w:w="5112"/>
            <w:tcMar>
              <w:top w:w="50" w:type="dxa"/>
              <w:start w:w="75" w:type="dxa"/>
              <w:bottom w:w="50" w:type="dxa"/>
              <w:end w:w="75" w:type="dxa"/>
            </w:tcMar>
          </w:tcPr>
          <w:p>
            <w:r>
              <w:rPr>
                <w:rFonts w:ascii="Noto Sans" w:hAnsi="Noto Sans" w:eastAsia="Noto Sans CJK JP"/>
                <w:sz w:val="14"/>
              </w:rPr>
              <w:t>réunions, mails, présentations, négociation, vocabulaire business et conventions sectorielles</w:t>
            </w:r>
          </w:p>
        </w:tc>
      </w:tr>
      <w:tr>
        <w:trPr>
          <w:cantSplit w:val="1"/>
        </w:trPr>
        <w:tc>
          <w:tcPr>
            <w:tcW w:type="dxa" w:w="5112"/>
            <w:tcMar>
              <w:top w:w="50" w:type="dxa"/>
              <w:start w:w="75" w:type="dxa"/>
              <w:bottom w:w="50" w:type="dxa"/>
              <w:end w:w="75" w:type="dxa"/>
            </w:tcMar>
          </w:tcPr>
          <w:p>
            <w:r>
              <w:rPr>
                <w:rFonts w:ascii="Noto Sans" w:hAnsi="Noto Sans" w:eastAsia="Noto Sans CJK JP"/>
                <w:sz w:val="14"/>
              </w:rPr>
              <w:t>Vie au Japon / voyage long</w:t>
            </w:r>
          </w:p>
        </w:tc>
        <w:tc>
          <w:tcPr>
            <w:tcW w:type="dxa" w:w="5112"/>
            <w:tcMar>
              <w:top w:w="50" w:type="dxa"/>
              <w:start w:w="75" w:type="dxa"/>
              <w:bottom w:w="50" w:type="dxa"/>
              <w:end w:w="75" w:type="dxa"/>
            </w:tcMar>
          </w:tcPr>
          <w:p>
            <w:r>
              <w:rPr>
                <w:rFonts w:ascii="Noto Sans" w:hAnsi="Noto Sans" w:eastAsia="Noto Sans CJK JP"/>
                <w:sz w:val="14"/>
              </w:rPr>
              <w:t>administration, logement, banque, santé, démarches et relations quotidiennes</w:t>
            </w:r>
          </w:p>
        </w:tc>
      </w:tr>
      <w:tr>
        <w:trPr>
          <w:cantSplit w:val="1"/>
        </w:trPr>
        <w:tc>
          <w:tcPr>
            <w:tcW w:type="dxa" w:w="5112"/>
            <w:tcMar>
              <w:top w:w="50" w:type="dxa"/>
              <w:start w:w="75" w:type="dxa"/>
              <w:bottom w:w="50" w:type="dxa"/>
              <w:end w:w="75" w:type="dxa"/>
            </w:tcMar>
          </w:tcPr>
          <w:p>
            <w:r>
              <w:rPr>
                <w:rFonts w:ascii="Noto Sans" w:hAnsi="Noto Sans" w:eastAsia="Noto Sans CJK JP"/>
                <w:sz w:val="14"/>
              </w:rPr>
              <w:t>Académique</w:t>
            </w:r>
          </w:p>
        </w:tc>
        <w:tc>
          <w:tcPr>
            <w:tcW w:type="dxa" w:w="5112"/>
            <w:tcMar>
              <w:top w:w="50" w:type="dxa"/>
              <w:start w:w="75" w:type="dxa"/>
              <w:bottom w:w="50" w:type="dxa"/>
              <w:end w:w="75" w:type="dxa"/>
            </w:tcMar>
          </w:tcPr>
          <w:p>
            <w:r>
              <w:rPr>
                <w:rFonts w:ascii="Noto Sans" w:hAnsi="Noto Sans" w:eastAsia="Noto Sans CJK JP"/>
                <w:sz w:val="14"/>
              </w:rPr>
              <w:t>cours, articles, prise de notes, présentation et rédaction</w:t>
            </w:r>
          </w:p>
        </w:tc>
      </w:tr>
      <w:tr>
        <w:trPr>
          <w:cantSplit w:val="1"/>
        </w:trPr>
        <w:tc>
          <w:tcPr>
            <w:tcW w:type="dxa" w:w="5112"/>
            <w:tcMar>
              <w:top w:w="50" w:type="dxa"/>
              <w:start w:w="75" w:type="dxa"/>
              <w:bottom w:w="50" w:type="dxa"/>
              <w:end w:w="75" w:type="dxa"/>
            </w:tcMar>
          </w:tcPr>
          <w:p>
            <w:r>
              <w:rPr>
                <w:rFonts w:ascii="Noto Sans" w:hAnsi="Noto Sans" w:eastAsia="Noto Sans CJK JP"/>
                <w:sz w:val="14"/>
              </w:rPr>
              <w:t>Informatique / technique</w:t>
            </w:r>
          </w:p>
        </w:tc>
        <w:tc>
          <w:tcPr>
            <w:tcW w:type="dxa" w:w="5112"/>
            <w:tcMar>
              <w:top w:w="50" w:type="dxa"/>
              <w:start w:w="75" w:type="dxa"/>
              <w:bottom w:w="50" w:type="dxa"/>
              <w:end w:w="75" w:type="dxa"/>
            </w:tcMar>
          </w:tcPr>
          <w:p>
            <w:r>
              <w:rPr>
                <w:rFonts w:ascii="Noto Sans" w:hAnsi="Noto Sans" w:eastAsia="Noto Sans CJK JP"/>
                <w:sz w:val="14"/>
              </w:rPr>
              <w:t>documentation, spécifications, support et vocabulaire spécialisé</w:t>
            </w:r>
          </w:p>
        </w:tc>
      </w:tr>
      <w:tr>
        <w:trPr>
          <w:cantSplit w:val="1"/>
        </w:trPr>
        <w:tc>
          <w:tcPr>
            <w:tcW w:type="dxa" w:w="5112"/>
            <w:tcMar>
              <w:top w:w="50" w:type="dxa"/>
              <w:start w:w="75" w:type="dxa"/>
              <w:bottom w:w="50" w:type="dxa"/>
              <w:end w:w="75" w:type="dxa"/>
            </w:tcMar>
          </w:tcPr>
          <w:p>
            <w:r>
              <w:rPr>
                <w:rFonts w:ascii="Noto Sans" w:hAnsi="Noto Sans" w:eastAsia="Noto Sans CJK JP"/>
                <w:sz w:val="14"/>
              </w:rPr>
              <w:t>Media / anime / manga</w:t>
            </w:r>
          </w:p>
        </w:tc>
        <w:tc>
          <w:tcPr>
            <w:tcW w:type="dxa" w:w="5112"/>
            <w:tcMar>
              <w:top w:w="50" w:type="dxa"/>
              <w:start w:w="75" w:type="dxa"/>
              <w:bottom w:w="50" w:type="dxa"/>
              <w:end w:w="75" w:type="dxa"/>
            </w:tcMar>
          </w:tcPr>
          <w:p>
            <w:r>
              <w:rPr>
                <w:rFonts w:ascii="Noto Sans" w:hAnsi="Noto Sans" w:eastAsia="Noto Sans CJK JP"/>
                <w:sz w:val="14"/>
              </w:rPr>
              <w:t>registre familier, personnages, argot et conventions de fiction</w:t>
            </w:r>
          </w:p>
        </w:tc>
      </w:tr>
      <w:tr>
        <w:trPr>
          <w:cantSplit w:val="1"/>
        </w:trPr>
        <w:tc>
          <w:tcPr>
            <w:tcW w:type="dxa" w:w="5112"/>
            <w:tcMar>
              <w:top w:w="50" w:type="dxa"/>
              <w:start w:w="75" w:type="dxa"/>
              <w:bottom w:w="50" w:type="dxa"/>
              <w:end w:w="75" w:type="dxa"/>
            </w:tcMar>
          </w:tcPr>
          <w:p>
            <w:r>
              <w:rPr>
                <w:rFonts w:ascii="Noto Sans" w:hAnsi="Noto Sans" w:eastAsia="Noto Sans CJK JP"/>
                <w:sz w:val="14"/>
              </w:rPr>
              <w:t>Littérature</w:t>
            </w:r>
          </w:p>
        </w:tc>
        <w:tc>
          <w:tcPr>
            <w:tcW w:type="dxa" w:w="5112"/>
            <w:tcMar>
              <w:top w:w="50" w:type="dxa"/>
              <w:start w:w="75" w:type="dxa"/>
              <w:bottom w:w="50" w:type="dxa"/>
              <w:end w:w="75" w:type="dxa"/>
            </w:tcMar>
          </w:tcPr>
          <w:p>
            <w:r>
              <w:rPr>
                <w:rFonts w:ascii="Noto Sans" w:hAnsi="Noto Sans" w:eastAsia="Noto Sans CJK JP"/>
                <w:sz w:val="14"/>
              </w:rPr>
              <w:t>style, narration, vocabulaire, analyse et lecture longue</w:t>
            </w:r>
          </w:p>
        </w:tc>
      </w:tr>
      <w:tr>
        <w:trPr>
          <w:cantSplit w:val="1"/>
        </w:trPr>
        <w:tc>
          <w:tcPr>
            <w:tcW w:type="dxa" w:w="5112"/>
            <w:tcMar>
              <w:top w:w="50" w:type="dxa"/>
              <w:start w:w="75" w:type="dxa"/>
              <w:bottom w:w="50" w:type="dxa"/>
              <w:end w:w="75" w:type="dxa"/>
            </w:tcMar>
          </w:tcPr>
          <w:p>
            <w:r>
              <w:rPr>
                <w:rFonts w:ascii="Noto Sans" w:hAnsi="Noto Sans" w:eastAsia="Noto Sans CJK JP"/>
                <w:sz w:val="14"/>
              </w:rPr>
              <w:t>Japonais classique</w:t>
            </w:r>
          </w:p>
        </w:tc>
        <w:tc>
          <w:tcPr>
            <w:tcW w:type="dxa" w:w="5112"/>
            <w:tcMar>
              <w:top w:w="50" w:type="dxa"/>
              <w:start w:w="75" w:type="dxa"/>
              <w:bottom w:w="50" w:type="dxa"/>
              <w:end w:w="75" w:type="dxa"/>
            </w:tcMar>
          </w:tcPr>
          <w:p>
            <w:r>
              <w:rPr>
                <w:rFonts w:ascii="Noto Sans" w:hAnsi="Noto Sans" w:eastAsia="Noto Sans CJK JP"/>
                <w:sz w:val="14"/>
              </w:rPr>
              <w:t>formes anciennes et lecture spécialisée au-delà de la simple sensibilisation</w:t>
            </w:r>
          </w:p>
        </w:tc>
      </w:tr>
      <w:tr>
        <w:trPr>
          <w:cantSplit w:val="1"/>
        </w:trPr>
        <w:tc>
          <w:tcPr>
            <w:tcW w:type="dxa" w:w="5112"/>
            <w:tcMar>
              <w:top w:w="50" w:type="dxa"/>
              <w:start w:w="75" w:type="dxa"/>
              <w:bottom w:w="50" w:type="dxa"/>
              <w:end w:w="75" w:type="dxa"/>
            </w:tcMar>
          </w:tcPr>
          <w:p>
            <w:r>
              <w:rPr>
                <w:rFonts w:ascii="Noto Sans" w:hAnsi="Noto Sans" w:eastAsia="Noto Sans CJK JP"/>
                <w:sz w:val="14"/>
              </w:rPr>
              <w:t>Dialecte choisi</w:t>
            </w:r>
          </w:p>
        </w:tc>
        <w:tc>
          <w:tcPr>
            <w:tcW w:type="dxa" w:w="5112"/>
            <w:tcMar>
              <w:top w:w="50" w:type="dxa"/>
              <w:start w:w="75" w:type="dxa"/>
              <w:bottom w:w="50" w:type="dxa"/>
              <w:end w:w="75" w:type="dxa"/>
            </w:tcMar>
          </w:tcPr>
          <w:p>
            <w:r>
              <w:rPr>
                <w:rFonts w:ascii="Noto Sans" w:hAnsi="Noto Sans" w:eastAsia="Noto Sans CJK JP"/>
                <w:sz w:val="14"/>
              </w:rPr>
              <w:t>compréhension puis production ciblée d’une variété régionale</w:t>
            </w:r>
          </w:p>
        </w:tc>
      </w:tr>
      <w:tr>
        <w:trPr>
          <w:cantSplit w:val="1"/>
        </w:trPr>
        <w:tc>
          <w:tcPr>
            <w:tcW w:type="dxa" w:w="5112"/>
            <w:tcMar>
              <w:top w:w="50" w:type="dxa"/>
              <w:start w:w="75" w:type="dxa"/>
              <w:bottom w:w="50" w:type="dxa"/>
              <w:end w:w="75" w:type="dxa"/>
            </w:tcMar>
          </w:tcPr>
          <w:p>
            <w:r>
              <w:rPr>
                <w:rFonts w:ascii="Noto Sans" w:hAnsi="Noto Sans" w:eastAsia="Noto Sans CJK JP"/>
                <w:sz w:val="14"/>
              </w:rPr>
              <w:t>JLPT</w:t>
            </w:r>
          </w:p>
        </w:tc>
        <w:tc>
          <w:tcPr>
            <w:tcW w:type="dxa" w:w="5112"/>
            <w:tcMar>
              <w:top w:w="50" w:type="dxa"/>
              <w:start w:w="75" w:type="dxa"/>
              <w:bottom w:w="50" w:type="dxa"/>
              <w:end w:w="75" w:type="dxa"/>
            </w:tcMar>
          </w:tcPr>
          <w:p>
            <w:r>
              <w:rPr>
                <w:rFonts w:ascii="Noto Sans" w:hAnsi="Noto Sans" w:eastAsia="Noto Sans CJK JP"/>
                <w:sz w:val="14"/>
              </w:rPr>
              <w:t>préparation ciblée selon le niveau réel, distincte du tronc commun de communication</w:t>
            </w:r>
          </w:p>
        </w:tc>
      </w:tr>
      <w:tr>
        <w:trPr>
          <w:cantSplit w:val="1"/>
        </w:trPr>
        <w:tc>
          <w:tcPr>
            <w:tcW w:type="dxa" w:w="5112"/>
            <w:tcMar>
              <w:top w:w="50" w:type="dxa"/>
              <w:start w:w="75" w:type="dxa"/>
              <w:bottom w:w="50" w:type="dxa"/>
              <w:end w:w="75" w:type="dxa"/>
            </w:tcMar>
          </w:tcPr>
          <w:p>
            <w:r>
              <w:rPr>
                <w:rFonts w:ascii="Noto Sans" w:hAnsi="Noto Sans" w:eastAsia="Noto Sans CJK JP"/>
                <w:sz w:val="14"/>
              </w:rPr>
              <w:t>Autre domaine</w:t>
            </w:r>
          </w:p>
        </w:tc>
        <w:tc>
          <w:tcPr>
            <w:tcW w:type="dxa" w:w="5112"/>
            <w:tcMar>
              <w:top w:w="50" w:type="dxa"/>
              <w:start w:w="75" w:type="dxa"/>
              <w:bottom w:w="50" w:type="dxa"/>
              <w:end w:w="75" w:type="dxa"/>
            </w:tcMar>
          </w:tcPr>
          <w:p>
            <w:r>
              <w:rPr>
                <w:rFonts w:ascii="Noto Sans" w:hAnsi="Noto Sans" w:eastAsia="Noto Sans CJK JP"/>
                <w:sz w:val="14"/>
              </w:rPr>
              <w:t>spécialisation construite autour de l’objectif personnel de l’utilisateur</w:t>
            </w:r>
          </w:p>
        </w:tc>
      </w:tr>
    </w:tbl>
    <w:p>
      <w:pPr>
        <w:pStyle w:val="Heading1"/>
      </w:pPr>
      <w:r>
        <w:t>26. Capacités réelles visées (« Can-do ») — tronc commun</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90" w:type="dxa"/>
              <w:bottom w:w="65" w:type="dxa"/>
              <w:end w:w="90" w:type="dxa"/>
            </w:tcMar>
          </w:tcPr>
          <w:p>
            <w:r>
              <w:rPr>
                <w:rFonts w:ascii="Noto Sans" w:hAnsi="Noto Sans" w:eastAsia="Noto Sans CJK JP"/>
                <w:b/>
                <w:sz w:val="17"/>
              </w:rPr>
              <w:t>Capacité</w:t>
            </w:r>
          </w:p>
        </w:tc>
        <w:tc>
          <w:tcPr>
            <w:tcW w:type="dxa" w:w="5112"/>
            <w:shd w:fill="DCEAF0"/>
            <w:tcMar>
              <w:top w:w="65" w:type="dxa"/>
              <w:start w:w="90" w:type="dxa"/>
              <w:bottom w:w="65" w:type="dxa"/>
              <w:end w:w="90" w:type="dxa"/>
            </w:tcMar>
          </w:tcPr>
          <w:p>
            <w:r>
              <w:rPr>
                <w:rFonts w:ascii="Noto Sans" w:hAnsi="Noto Sans" w:eastAsia="Noto Sans CJK JP"/>
                <w:b/>
                <w:sz w:val="17"/>
              </w:rPr>
              <w:t>Résultat attendu</w:t>
            </w:r>
          </w:p>
        </w:tc>
      </w:tr>
      <w:tr>
        <w:trPr>
          <w:cantSplit w:val="1"/>
        </w:trPr>
        <w:tc>
          <w:tcPr>
            <w:tcW w:type="dxa" w:w="5112"/>
            <w:tcMar>
              <w:top w:w="50" w:type="dxa"/>
              <w:start w:w="75" w:type="dxa"/>
              <w:bottom w:w="50" w:type="dxa"/>
              <w:end w:w="75" w:type="dxa"/>
            </w:tcMar>
          </w:tcPr>
          <w:p>
            <w:r>
              <w:rPr>
                <w:rFonts w:ascii="Noto Sans" w:hAnsi="Noto Sans" w:eastAsia="Noto Sans CJK JP"/>
                <w:sz w:val="15"/>
              </w:rPr>
              <w:t>Comprendre un débat</w:t>
            </w:r>
          </w:p>
        </w:tc>
        <w:tc>
          <w:tcPr>
            <w:tcW w:type="dxa" w:w="5112"/>
            <w:tcMar>
              <w:top w:w="50" w:type="dxa"/>
              <w:start w:w="75" w:type="dxa"/>
              <w:bottom w:w="50" w:type="dxa"/>
              <w:end w:w="75" w:type="dxa"/>
            </w:tcMar>
          </w:tcPr>
          <w:p>
            <w:r>
              <w:rPr>
                <w:rFonts w:ascii="Noto Sans" w:hAnsi="Noto Sans" w:eastAsia="Noto Sans CJK JP"/>
                <w:sz w:val="15"/>
              </w:rPr>
              <w:t>Suivre positions, objections, implicites et conclusions de plusieurs intervenants.</w:t>
            </w:r>
          </w:p>
        </w:tc>
      </w:tr>
      <w:tr>
        <w:trPr>
          <w:cantSplit w:val="1"/>
        </w:trPr>
        <w:tc>
          <w:tcPr>
            <w:tcW w:type="dxa" w:w="5112"/>
            <w:tcMar>
              <w:top w:w="50" w:type="dxa"/>
              <w:start w:w="75" w:type="dxa"/>
              <w:bottom w:w="50" w:type="dxa"/>
              <w:end w:w="75" w:type="dxa"/>
            </w:tcMar>
          </w:tcPr>
          <w:p>
            <w:r>
              <w:rPr>
                <w:rFonts w:ascii="Noto Sans" w:hAnsi="Noto Sans" w:eastAsia="Noto Sans CJK JP"/>
                <w:sz w:val="15"/>
              </w:rPr>
              <w:t>Lire un contenu complexe</w:t>
            </w:r>
          </w:p>
        </w:tc>
        <w:tc>
          <w:tcPr>
            <w:tcW w:type="dxa" w:w="5112"/>
            <w:tcMar>
              <w:top w:w="50" w:type="dxa"/>
              <w:start w:w="75" w:type="dxa"/>
              <w:bottom w:w="50" w:type="dxa"/>
              <w:end w:w="75" w:type="dxa"/>
            </w:tcMar>
          </w:tcPr>
          <w:p>
            <w:r>
              <w:rPr>
                <w:rFonts w:ascii="Noto Sans" w:hAnsi="Noto Sans" w:eastAsia="Noto Sans CJK JP"/>
                <w:sz w:val="15"/>
              </w:rPr>
              <w:t>Identifier logique, style, présupposés et position de l’auteur.</w:t>
            </w:r>
          </w:p>
        </w:tc>
      </w:tr>
      <w:tr>
        <w:trPr>
          <w:cantSplit w:val="1"/>
        </w:trPr>
        <w:tc>
          <w:tcPr>
            <w:tcW w:type="dxa" w:w="5112"/>
            <w:tcMar>
              <w:top w:w="50" w:type="dxa"/>
              <w:start w:w="75" w:type="dxa"/>
              <w:bottom w:w="50" w:type="dxa"/>
              <w:end w:w="75" w:type="dxa"/>
            </w:tcMar>
          </w:tcPr>
          <w:p>
            <w:r>
              <w:rPr>
                <w:rFonts w:ascii="Noto Sans" w:hAnsi="Noto Sans" w:eastAsia="Noto Sans CJK JP"/>
                <w:sz w:val="15"/>
              </w:rPr>
              <w:t>Expliquer un domaine</w:t>
            </w:r>
          </w:p>
        </w:tc>
        <w:tc>
          <w:tcPr>
            <w:tcW w:type="dxa" w:w="5112"/>
            <w:tcMar>
              <w:top w:w="50" w:type="dxa"/>
              <w:start w:w="75" w:type="dxa"/>
              <w:bottom w:w="50" w:type="dxa"/>
              <w:end w:w="75" w:type="dxa"/>
            </w:tcMar>
          </w:tcPr>
          <w:p>
            <w:r>
              <w:rPr>
                <w:rFonts w:ascii="Noto Sans" w:hAnsi="Noto Sans" w:eastAsia="Noto Sans CJK JP"/>
                <w:sz w:val="15"/>
              </w:rPr>
              <w:t>Présenter clairement un sujet complexe à un non-spécialiste.</w:t>
            </w:r>
          </w:p>
        </w:tc>
      </w:tr>
      <w:tr>
        <w:trPr>
          <w:cantSplit w:val="1"/>
        </w:trPr>
        <w:tc>
          <w:tcPr>
            <w:tcW w:type="dxa" w:w="5112"/>
            <w:tcMar>
              <w:top w:w="50" w:type="dxa"/>
              <w:start w:w="75" w:type="dxa"/>
              <w:bottom w:w="50" w:type="dxa"/>
              <w:end w:w="75" w:type="dxa"/>
            </w:tcMar>
          </w:tcPr>
          <w:p>
            <w:r>
              <w:rPr>
                <w:rFonts w:ascii="Noto Sans" w:hAnsi="Noto Sans" w:eastAsia="Noto Sans CJK JP"/>
                <w:sz w:val="15"/>
              </w:rPr>
              <w:t>Entrer dans un nouveau domaine</w:t>
            </w:r>
          </w:p>
        </w:tc>
        <w:tc>
          <w:tcPr>
            <w:tcW w:type="dxa" w:w="5112"/>
            <w:tcMar>
              <w:top w:w="50" w:type="dxa"/>
              <w:start w:w="75" w:type="dxa"/>
              <w:bottom w:w="50" w:type="dxa"/>
              <w:end w:w="75" w:type="dxa"/>
            </w:tcMar>
          </w:tcPr>
          <w:p>
            <w:r>
              <w:rPr>
                <w:rFonts w:ascii="Noto Sans" w:hAnsi="Noto Sans" w:eastAsia="Noto Sans CJK JP"/>
                <w:sz w:val="15"/>
              </w:rPr>
              <w:t>Apprendre termes et conventions principalement à partir de ressources japonaises.</w:t>
            </w:r>
          </w:p>
        </w:tc>
      </w:tr>
      <w:tr>
        <w:trPr>
          <w:cantSplit w:val="1"/>
        </w:trPr>
        <w:tc>
          <w:tcPr>
            <w:tcW w:type="dxa" w:w="5112"/>
            <w:tcMar>
              <w:top w:w="50" w:type="dxa"/>
              <w:start w:w="75" w:type="dxa"/>
              <w:bottom w:w="50" w:type="dxa"/>
              <w:end w:w="75" w:type="dxa"/>
            </w:tcMar>
          </w:tcPr>
          <w:p>
            <w:r>
              <w:rPr>
                <w:rFonts w:ascii="Noto Sans" w:hAnsi="Noto Sans" w:eastAsia="Noto Sans CJK JP"/>
                <w:sz w:val="15"/>
              </w:rPr>
              <w:t>Gérer un malentendu</w:t>
            </w:r>
          </w:p>
        </w:tc>
        <w:tc>
          <w:tcPr>
            <w:tcW w:type="dxa" w:w="5112"/>
            <w:tcMar>
              <w:top w:w="50" w:type="dxa"/>
              <w:start w:w="75" w:type="dxa"/>
              <w:bottom w:w="50" w:type="dxa"/>
              <w:end w:w="75" w:type="dxa"/>
            </w:tcMar>
          </w:tcPr>
          <w:p>
            <w:r>
              <w:rPr>
                <w:rFonts w:ascii="Noto Sans" w:hAnsi="Noto Sans" w:eastAsia="Noto Sans CJK JP"/>
                <w:sz w:val="15"/>
              </w:rPr>
              <w:t>Identifier la source, reformuler et vérifier que les interlocuteurs se comprennent.</w:t>
            </w:r>
          </w:p>
        </w:tc>
      </w:tr>
      <w:tr>
        <w:trPr>
          <w:cantSplit w:val="1"/>
        </w:trPr>
        <w:tc>
          <w:tcPr>
            <w:tcW w:type="dxa" w:w="5112"/>
            <w:tcMar>
              <w:top w:w="50" w:type="dxa"/>
              <w:start w:w="75" w:type="dxa"/>
              <w:bottom w:w="50" w:type="dxa"/>
              <w:end w:w="75" w:type="dxa"/>
            </w:tcMar>
          </w:tcPr>
          <w:p>
            <w:r>
              <w:rPr>
                <w:rFonts w:ascii="Noto Sans" w:hAnsi="Noto Sans" w:eastAsia="Noto Sans CJK JP"/>
                <w:sz w:val="15"/>
              </w:rPr>
              <w:t>Adapter son registre</w:t>
            </w:r>
          </w:p>
        </w:tc>
        <w:tc>
          <w:tcPr>
            <w:tcW w:type="dxa" w:w="5112"/>
            <w:tcMar>
              <w:top w:w="50" w:type="dxa"/>
              <w:start w:w="75" w:type="dxa"/>
              <w:bottom w:w="50" w:type="dxa"/>
              <w:end w:w="75" w:type="dxa"/>
            </w:tcMar>
          </w:tcPr>
          <w:p>
            <w:r>
              <w:rPr>
                <w:rFonts w:ascii="Noto Sans" w:hAnsi="Noto Sans" w:eastAsia="Noto Sans CJK JP"/>
                <w:sz w:val="15"/>
              </w:rPr>
              <w:t>Passer d’une conversation familière à une situation professionnelle sans rupture majeure.</w:t>
            </w:r>
          </w:p>
        </w:tc>
      </w:tr>
      <w:tr>
        <w:trPr>
          <w:cantSplit w:val="1"/>
        </w:trPr>
        <w:tc>
          <w:tcPr>
            <w:tcW w:type="dxa" w:w="5112"/>
            <w:tcMar>
              <w:top w:w="50" w:type="dxa"/>
              <w:start w:w="75" w:type="dxa"/>
              <w:bottom w:w="50" w:type="dxa"/>
              <w:end w:w="75" w:type="dxa"/>
            </w:tcMar>
          </w:tcPr>
          <w:p>
            <w:r>
              <w:rPr>
                <w:rFonts w:ascii="Noto Sans" w:hAnsi="Noto Sans" w:eastAsia="Noto Sans CJK JP"/>
                <w:sz w:val="15"/>
              </w:rPr>
              <w:t>Produire un texte long</w:t>
            </w:r>
          </w:p>
        </w:tc>
        <w:tc>
          <w:tcPr>
            <w:tcW w:type="dxa" w:w="5112"/>
            <w:tcMar>
              <w:top w:w="50" w:type="dxa"/>
              <w:start w:w="75" w:type="dxa"/>
              <w:bottom w:w="50" w:type="dxa"/>
              <w:end w:w="75" w:type="dxa"/>
            </w:tcMar>
          </w:tcPr>
          <w:p>
            <w:r>
              <w:rPr>
                <w:rFonts w:ascii="Noto Sans" w:hAnsi="Noto Sans" w:eastAsia="Noto Sans CJK JP"/>
                <w:sz w:val="15"/>
              </w:rPr>
              <w:t>Maintenir cohérence, registre, argumentation et nuances.</w:t>
            </w:r>
          </w:p>
        </w:tc>
      </w:tr>
      <w:tr>
        <w:trPr>
          <w:cantSplit w:val="1"/>
        </w:trPr>
        <w:tc>
          <w:tcPr>
            <w:tcW w:type="dxa" w:w="5112"/>
            <w:tcMar>
              <w:top w:w="50" w:type="dxa"/>
              <w:start w:w="75" w:type="dxa"/>
              <w:bottom w:w="50" w:type="dxa"/>
              <w:end w:w="75" w:type="dxa"/>
            </w:tcMar>
          </w:tcPr>
          <w:p>
            <w:r>
              <w:rPr>
                <w:rFonts w:ascii="Noto Sans" w:hAnsi="Noto Sans" w:eastAsia="Noto Sans CJK JP"/>
                <w:sz w:val="15"/>
              </w:rPr>
              <w:t>Comprendre la variation</w:t>
            </w:r>
          </w:p>
        </w:tc>
        <w:tc>
          <w:tcPr>
            <w:tcW w:type="dxa" w:w="5112"/>
            <w:tcMar>
              <w:top w:w="50" w:type="dxa"/>
              <w:start w:w="75" w:type="dxa"/>
              <w:bottom w:w="50" w:type="dxa"/>
              <w:end w:w="75" w:type="dxa"/>
            </w:tcMar>
          </w:tcPr>
          <w:p>
            <w:r>
              <w:rPr>
                <w:rFonts w:ascii="Noto Sans" w:hAnsi="Noto Sans" w:eastAsia="Noto Sans CJK JP"/>
                <w:sz w:val="15"/>
              </w:rPr>
              <w:t>Rester fonctionnel face à un accent, un style ou un lexique partiellement inconnu.</w:t>
            </w:r>
          </w:p>
        </w:tc>
      </w:tr>
      <w:tr>
        <w:trPr>
          <w:cantSplit w:val="1"/>
        </w:trPr>
        <w:tc>
          <w:tcPr>
            <w:tcW w:type="dxa" w:w="5112"/>
            <w:tcMar>
              <w:top w:w="50" w:type="dxa"/>
              <w:start w:w="75" w:type="dxa"/>
              <w:bottom w:w="50" w:type="dxa"/>
              <w:end w:w="75" w:type="dxa"/>
            </w:tcMar>
          </w:tcPr>
          <w:p>
            <w:r>
              <w:rPr>
                <w:rFonts w:ascii="Noto Sans" w:hAnsi="Noto Sans" w:eastAsia="Noto Sans CJK JP"/>
                <w:sz w:val="15"/>
              </w:rPr>
              <w:t>Auto-corriger</w:t>
            </w:r>
          </w:p>
        </w:tc>
        <w:tc>
          <w:tcPr>
            <w:tcW w:type="dxa" w:w="5112"/>
            <w:tcMar>
              <w:top w:w="50" w:type="dxa"/>
              <w:start w:w="75" w:type="dxa"/>
              <w:bottom w:w="50" w:type="dxa"/>
              <w:end w:w="75" w:type="dxa"/>
            </w:tcMar>
          </w:tcPr>
          <w:p>
            <w:r>
              <w:rPr>
                <w:rFonts w:ascii="Noto Sans" w:hAnsi="Noto Sans" w:eastAsia="Noto Sans CJK JP"/>
                <w:sz w:val="15"/>
              </w:rPr>
              <w:t>Repérer ses erreurs et rechercher une forme plus naturelle.</w:t>
            </w:r>
          </w:p>
        </w:tc>
      </w:tr>
      <w:tr>
        <w:trPr>
          <w:cantSplit w:val="1"/>
        </w:trPr>
        <w:tc>
          <w:tcPr>
            <w:tcW w:type="dxa" w:w="5112"/>
            <w:tcMar>
              <w:top w:w="50" w:type="dxa"/>
              <w:start w:w="75" w:type="dxa"/>
              <w:bottom w:w="50" w:type="dxa"/>
              <w:end w:w="75" w:type="dxa"/>
            </w:tcMar>
          </w:tcPr>
          <w:p>
            <w:r>
              <w:rPr>
                <w:rFonts w:ascii="Noto Sans" w:hAnsi="Noto Sans" w:eastAsia="Noto Sans CJK JP"/>
                <w:sz w:val="15"/>
              </w:rPr>
              <w:t>Apprendre seul</w:t>
            </w:r>
          </w:p>
        </w:tc>
        <w:tc>
          <w:tcPr>
            <w:tcW w:type="dxa" w:w="5112"/>
            <w:tcMar>
              <w:top w:w="50" w:type="dxa"/>
              <w:start w:w="75" w:type="dxa"/>
              <w:bottom w:w="50" w:type="dxa"/>
              <w:end w:w="75" w:type="dxa"/>
            </w:tcMar>
          </w:tcPr>
          <w:p>
            <w:r>
              <w:rPr>
                <w:rFonts w:ascii="Noto Sans" w:hAnsi="Noto Sans" w:eastAsia="Noto Sans CJK JP"/>
                <w:sz w:val="15"/>
              </w:rPr>
              <w:t>Planifier objectifs, ressources, révisions et première spécialisation.</w:t>
            </w:r>
          </w:p>
        </w:tc>
      </w:tr>
    </w:tbl>
    <w:p>
      <w:pPr>
        <w:pStyle w:val="Heading1"/>
      </w:pPr>
      <w:r>
        <w:t>27. Ordre pédagogique recommandé du tronc commun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val="1"/>
        </w:trPr>
        <w:tc>
          <w:tcPr>
            <w:tcW w:type="dxa" w:w="3408"/>
            <w:shd w:fill="DCEAF0"/>
            <w:tcMar>
              <w:top w:w="65" w:type="dxa"/>
              <w:start w:w="90" w:type="dxa"/>
              <w:bottom w:w="65" w:type="dxa"/>
              <w:end w:w="90" w:type="dxa"/>
            </w:tcMar>
          </w:tcPr>
          <w:p>
            <w:r>
              <w:rPr>
                <w:rFonts w:ascii="Noto Sans" w:hAnsi="Noto Sans" w:eastAsia="Noto Sans CJK JP"/>
                <w:b/>
                <w:sz w:val="17"/>
              </w:rPr>
              <w:t>Code</w:t>
            </w:r>
          </w:p>
        </w:tc>
        <w:tc>
          <w:tcPr>
            <w:tcW w:type="dxa" w:w="3408"/>
            <w:shd w:fill="DCEAF0"/>
            <w:tcMar>
              <w:top w:w="65" w:type="dxa"/>
              <w:start w:w="90" w:type="dxa"/>
              <w:bottom w:w="65" w:type="dxa"/>
              <w:end w:w="90" w:type="dxa"/>
            </w:tcMar>
          </w:tcPr>
          <w:p>
            <w:r>
              <w:rPr>
                <w:rFonts w:ascii="Noto Sans" w:hAnsi="Noto Sans" w:eastAsia="Noto Sans CJK JP"/>
                <w:b/>
                <w:sz w:val="17"/>
              </w:rPr>
              <w:t>Bloc</w:t>
            </w:r>
          </w:p>
        </w:tc>
        <w:tc>
          <w:tcPr>
            <w:tcW w:type="dxa" w:w="3408"/>
            <w:shd w:fill="DCEAF0"/>
            <w:tcMar>
              <w:top w:w="65" w:type="dxa"/>
              <w:start w:w="90" w:type="dxa"/>
              <w:bottom w:w="65" w:type="dxa"/>
              <w:end w:w="90" w:type="dxa"/>
            </w:tcMar>
          </w:tcPr>
          <w:p>
            <w:r>
              <w:rPr>
                <w:rFonts w:ascii="Noto Sans" w:hAnsi="Noto Sans" w:eastAsia="Noto Sans CJK JP"/>
                <w:b/>
                <w:sz w:val="17"/>
              </w:rPr>
              <w:t>Intention</w:t>
            </w:r>
          </w:p>
        </w:tc>
      </w:tr>
      <w:tr>
        <w:trPr>
          <w:cantSplit w:val="1"/>
        </w:trPr>
        <w:tc>
          <w:tcPr>
            <w:tcW w:type="dxa" w:w="3408"/>
            <w:tcMar>
              <w:top w:w="50" w:type="dxa"/>
              <w:start w:w="75" w:type="dxa"/>
              <w:bottom w:w="50" w:type="dxa"/>
              <w:end w:w="75" w:type="dxa"/>
            </w:tcMar>
          </w:tcPr>
          <w:p>
            <w:r>
              <w:rPr>
                <w:rFonts w:ascii="Noto Sans" w:hAnsi="Noto Sans" w:eastAsia="Noto Sans CJK JP"/>
                <w:sz w:val="14"/>
              </w:rPr>
              <w:t>7A</w:t>
            </w:r>
          </w:p>
        </w:tc>
        <w:tc>
          <w:tcPr>
            <w:tcW w:type="dxa" w:w="3408"/>
            <w:tcMar>
              <w:top w:w="50" w:type="dxa"/>
              <w:start w:w="75" w:type="dxa"/>
              <w:bottom w:w="50" w:type="dxa"/>
              <w:end w:w="75" w:type="dxa"/>
            </w:tcMar>
          </w:tcPr>
          <w:p>
            <w:r>
              <w:rPr>
                <w:rFonts w:ascii="Noto Sans" w:hAnsi="Noto Sans" w:eastAsia="Noto Sans CJK JP"/>
                <w:sz w:val="14"/>
              </w:rPr>
              <w:t>Gérer l’inconnu</w:t>
            </w:r>
          </w:p>
        </w:tc>
        <w:tc>
          <w:tcPr>
            <w:tcW w:type="dxa" w:w="3408"/>
            <w:tcMar>
              <w:top w:w="50" w:type="dxa"/>
              <w:start w:w="75" w:type="dxa"/>
              <w:bottom w:w="50" w:type="dxa"/>
              <w:end w:w="75" w:type="dxa"/>
            </w:tcMar>
          </w:tcPr>
          <w:p>
            <w:r>
              <w:rPr>
                <w:rFonts w:ascii="Noto Sans" w:hAnsi="Noto Sans" w:eastAsia="Noto Sans CJK JP"/>
                <w:sz w:val="14"/>
              </w:rPr>
              <w:t>Contexte, déduction, tolérance à l’inconnu, stratégie.</w:t>
            </w:r>
          </w:p>
        </w:tc>
      </w:tr>
      <w:tr>
        <w:trPr>
          <w:cantSplit w:val="1"/>
        </w:trPr>
        <w:tc>
          <w:tcPr>
            <w:tcW w:type="dxa" w:w="3408"/>
            <w:tcMar>
              <w:top w:w="50" w:type="dxa"/>
              <w:start w:w="75" w:type="dxa"/>
              <w:bottom w:w="50" w:type="dxa"/>
              <w:end w:w="75" w:type="dxa"/>
            </w:tcMar>
          </w:tcPr>
          <w:p>
            <w:r>
              <w:rPr>
                <w:rFonts w:ascii="Noto Sans" w:hAnsi="Noto Sans" w:eastAsia="Noto Sans CJK JP"/>
                <w:sz w:val="14"/>
              </w:rPr>
              <w:t>7B</w:t>
            </w:r>
          </w:p>
        </w:tc>
        <w:tc>
          <w:tcPr>
            <w:tcW w:type="dxa" w:w="3408"/>
            <w:tcMar>
              <w:top w:w="50" w:type="dxa"/>
              <w:start w:w="75" w:type="dxa"/>
              <w:bottom w:w="50" w:type="dxa"/>
              <w:end w:w="75" w:type="dxa"/>
            </w:tcMar>
          </w:tcPr>
          <w:p>
            <w:r>
              <w:rPr>
                <w:rFonts w:ascii="Noto Sans" w:hAnsi="Noto Sans" w:eastAsia="Noto Sans CJK JP"/>
                <w:sz w:val="14"/>
              </w:rPr>
              <w:t>Implicite</w:t>
            </w:r>
          </w:p>
        </w:tc>
        <w:tc>
          <w:tcPr>
            <w:tcW w:type="dxa" w:w="3408"/>
            <w:tcMar>
              <w:top w:w="50" w:type="dxa"/>
              <w:start w:w="75" w:type="dxa"/>
              <w:bottom w:w="50" w:type="dxa"/>
              <w:end w:w="75" w:type="dxa"/>
            </w:tcMar>
          </w:tcPr>
          <w:p>
            <w:r>
              <w:rPr>
                <w:rFonts w:ascii="Noto Sans" w:hAnsi="Noto Sans" w:eastAsia="Noto Sans CJK JP"/>
                <w:sz w:val="14"/>
              </w:rPr>
              <w:t>Ellipses, sous-entendus, refus, intentions.</w:t>
            </w:r>
          </w:p>
        </w:tc>
      </w:tr>
      <w:tr>
        <w:trPr>
          <w:cantSplit w:val="1"/>
        </w:trPr>
        <w:tc>
          <w:tcPr>
            <w:tcW w:type="dxa" w:w="3408"/>
            <w:tcMar>
              <w:top w:w="50" w:type="dxa"/>
              <w:start w:w="75" w:type="dxa"/>
              <w:bottom w:w="50" w:type="dxa"/>
              <w:end w:w="75" w:type="dxa"/>
            </w:tcMar>
          </w:tcPr>
          <w:p>
            <w:r>
              <w:rPr>
                <w:rFonts w:ascii="Noto Sans" w:hAnsi="Noto Sans" w:eastAsia="Noto Sans CJK JP"/>
                <w:sz w:val="14"/>
              </w:rPr>
              <w:t>7C</w:t>
            </w:r>
          </w:p>
        </w:tc>
        <w:tc>
          <w:tcPr>
            <w:tcW w:type="dxa" w:w="3408"/>
            <w:tcMar>
              <w:top w:w="50" w:type="dxa"/>
              <w:start w:w="75" w:type="dxa"/>
              <w:bottom w:w="50" w:type="dxa"/>
              <w:end w:w="75" w:type="dxa"/>
            </w:tcMar>
          </w:tcPr>
          <w:p>
            <w:r>
              <w:rPr>
                <w:rFonts w:ascii="Noto Sans" w:hAnsi="Noto Sans" w:eastAsia="Noto Sans CJK JP"/>
                <w:sz w:val="14"/>
              </w:rPr>
              <w:t>Humour / ironie en compréhension</w:t>
            </w:r>
          </w:p>
        </w:tc>
        <w:tc>
          <w:tcPr>
            <w:tcW w:type="dxa" w:w="3408"/>
            <w:tcMar>
              <w:top w:w="50" w:type="dxa"/>
              <w:start w:w="75" w:type="dxa"/>
              <w:bottom w:w="50" w:type="dxa"/>
              <w:end w:w="75" w:type="dxa"/>
            </w:tcMar>
          </w:tcPr>
          <w:p>
            <w:r>
              <w:rPr>
                <w:rFonts w:ascii="Noto Sans" w:hAnsi="Noto Sans" w:eastAsia="Noto Sans CJK JP"/>
                <w:sz w:val="14"/>
              </w:rPr>
              <w:t>Lecture non littérale et contexte.</w:t>
            </w:r>
          </w:p>
        </w:tc>
      </w:tr>
      <w:tr>
        <w:trPr>
          <w:cantSplit w:val="1"/>
        </w:trPr>
        <w:tc>
          <w:tcPr>
            <w:tcW w:type="dxa" w:w="3408"/>
            <w:tcMar>
              <w:top w:w="50" w:type="dxa"/>
              <w:start w:w="75" w:type="dxa"/>
              <w:bottom w:w="50" w:type="dxa"/>
              <w:end w:w="75" w:type="dxa"/>
            </w:tcMar>
          </w:tcPr>
          <w:p>
            <w:r>
              <w:rPr>
                <w:rFonts w:ascii="Noto Sans" w:hAnsi="Noto Sans" w:eastAsia="Noto Sans CJK JP"/>
                <w:sz w:val="14"/>
              </w:rPr>
              <w:t>7D</w:t>
            </w:r>
          </w:p>
        </w:tc>
        <w:tc>
          <w:tcPr>
            <w:tcW w:type="dxa" w:w="3408"/>
            <w:tcMar>
              <w:top w:w="50" w:type="dxa"/>
              <w:start w:w="75" w:type="dxa"/>
              <w:bottom w:w="50" w:type="dxa"/>
              <w:end w:w="75" w:type="dxa"/>
            </w:tcMar>
          </w:tcPr>
          <w:p>
            <w:r>
              <w:rPr>
                <w:rFonts w:ascii="Noto Sans" w:hAnsi="Noto Sans" w:eastAsia="Noto Sans CJK JP"/>
                <w:sz w:val="14"/>
              </w:rPr>
              <w:t>Nuance lexicale</w:t>
            </w:r>
          </w:p>
        </w:tc>
        <w:tc>
          <w:tcPr>
            <w:tcW w:type="dxa" w:w="3408"/>
            <w:tcMar>
              <w:top w:w="50" w:type="dxa"/>
              <w:start w:w="75" w:type="dxa"/>
              <w:bottom w:w="50" w:type="dxa"/>
              <w:end w:w="75" w:type="dxa"/>
            </w:tcMar>
          </w:tcPr>
          <w:p>
            <w:r>
              <w:rPr>
                <w:rFonts w:ascii="Noto Sans" w:hAnsi="Noto Sans" w:eastAsia="Noto Sans CJK JP"/>
                <w:sz w:val="14"/>
              </w:rPr>
              <w:t>Synonymes, registre, collocations.</w:t>
            </w:r>
          </w:p>
        </w:tc>
      </w:tr>
      <w:tr>
        <w:trPr>
          <w:cantSplit w:val="1"/>
        </w:trPr>
        <w:tc>
          <w:tcPr>
            <w:tcW w:type="dxa" w:w="3408"/>
            <w:tcMar>
              <w:top w:w="50" w:type="dxa"/>
              <w:start w:w="75" w:type="dxa"/>
              <w:bottom w:w="50" w:type="dxa"/>
              <w:end w:w="75" w:type="dxa"/>
            </w:tcMar>
          </w:tcPr>
          <w:p>
            <w:r>
              <w:rPr>
                <w:rFonts w:ascii="Noto Sans" w:hAnsi="Noto Sans" w:eastAsia="Noto Sans CJK JP"/>
                <w:sz w:val="14"/>
              </w:rPr>
              <w:t>7E</w:t>
            </w:r>
          </w:p>
        </w:tc>
        <w:tc>
          <w:tcPr>
            <w:tcW w:type="dxa" w:w="3408"/>
            <w:tcMar>
              <w:top w:w="50" w:type="dxa"/>
              <w:start w:w="75" w:type="dxa"/>
              <w:bottom w:w="50" w:type="dxa"/>
              <w:end w:w="75" w:type="dxa"/>
            </w:tcMar>
          </w:tcPr>
          <w:p>
            <w:r>
              <w:rPr>
                <w:rFonts w:ascii="Noto Sans" w:hAnsi="Noto Sans" w:eastAsia="Noto Sans CJK JP"/>
                <w:sz w:val="14"/>
              </w:rPr>
              <w:t>Idiomes fréquents</w:t>
            </w:r>
          </w:p>
        </w:tc>
        <w:tc>
          <w:tcPr>
            <w:tcW w:type="dxa" w:w="3408"/>
            <w:tcMar>
              <w:top w:w="50" w:type="dxa"/>
              <w:start w:w="75" w:type="dxa"/>
              <w:bottom w:w="50" w:type="dxa"/>
              <w:end w:w="75" w:type="dxa"/>
            </w:tcMar>
          </w:tcPr>
          <w:p>
            <w:r>
              <w:rPr>
                <w:rFonts w:ascii="Noto Sans" w:hAnsi="Noto Sans" w:eastAsia="Noto Sans CJK JP"/>
                <w:sz w:val="14"/>
              </w:rPr>
              <w:t>Expressions figées, idiomes et proverbes utiles.</w:t>
            </w:r>
          </w:p>
        </w:tc>
      </w:tr>
      <w:tr>
        <w:trPr>
          <w:cantSplit w:val="1"/>
        </w:trPr>
        <w:tc>
          <w:tcPr>
            <w:tcW w:type="dxa" w:w="3408"/>
            <w:tcMar>
              <w:top w:w="50" w:type="dxa"/>
              <w:start w:w="75" w:type="dxa"/>
              <w:bottom w:w="50" w:type="dxa"/>
              <w:end w:w="75" w:type="dxa"/>
            </w:tcMar>
          </w:tcPr>
          <w:p>
            <w:r>
              <w:rPr>
                <w:rFonts w:ascii="Noto Sans" w:hAnsi="Noto Sans" w:eastAsia="Noto Sans CJK JP"/>
                <w:sz w:val="14"/>
              </w:rPr>
              <w:t>7F</w:t>
            </w:r>
          </w:p>
        </w:tc>
        <w:tc>
          <w:tcPr>
            <w:tcW w:type="dxa" w:w="3408"/>
            <w:tcMar>
              <w:top w:w="50" w:type="dxa"/>
              <w:start w:w="75" w:type="dxa"/>
              <w:bottom w:w="50" w:type="dxa"/>
              <w:end w:w="75" w:type="dxa"/>
            </w:tcMar>
          </w:tcPr>
          <w:p>
            <w:r>
              <w:rPr>
                <w:rFonts w:ascii="Noto Sans" w:hAnsi="Noto Sans" w:eastAsia="Noto Sans CJK JP"/>
                <w:sz w:val="14"/>
              </w:rPr>
              <w:t>Style / rhétorique</w:t>
            </w:r>
          </w:p>
        </w:tc>
        <w:tc>
          <w:tcPr>
            <w:tcW w:type="dxa" w:w="3408"/>
            <w:tcMar>
              <w:top w:w="50" w:type="dxa"/>
              <w:start w:w="75" w:type="dxa"/>
              <w:bottom w:w="50" w:type="dxa"/>
              <w:end w:w="75" w:type="dxa"/>
            </w:tcMar>
          </w:tcPr>
          <w:p>
            <w:r>
              <w:rPr>
                <w:rFonts w:ascii="Noto Sans" w:hAnsi="Noto Sans" w:eastAsia="Noto Sans CJK JP"/>
                <w:sz w:val="14"/>
              </w:rPr>
              <w:t>Voix, ton, structure et effets.</w:t>
            </w:r>
          </w:p>
        </w:tc>
      </w:tr>
      <w:tr>
        <w:trPr>
          <w:cantSplit w:val="1"/>
        </w:trPr>
        <w:tc>
          <w:tcPr>
            <w:tcW w:type="dxa" w:w="3408"/>
            <w:tcMar>
              <w:top w:w="50" w:type="dxa"/>
              <w:start w:w="75" w:type="dxa"/>
              <w:bottom w:w="50" w:type="dxa"/>
              <w:end w:w="75" w:type="dxa"/>
            </w:tcMar>
          </w:tcPr>
          <w:p>
            <w:r>
              <w:rPr>
                <w:rFonts w:ascii="Noto Sans" w:hAnsi="Noto Sans" w:eastAsia="Noto Sans CJK JP"/>
                <w:sz w:val="14"/>
              </w:rPr>
              <w:t>7G</w:t>
            </w:r>
          </w:p>
        </w:tc>
        <w:tc>
          <w:tcPr>
            <w:tcW w:type="dxa" w:w="3408"/>
            <w:tcMar>
              <w:top w:w="50" w:type="dxa"/>
              <w:start w:w="75" w:type="dxa"/>
              <w:bottom w:w="50" w:type="dxa"/>
              <w:end w:w="75" w:type="dxa"/>
            </w:tcMar>
          </w:tcPr>
          <w:p>
            <w:r>
              <w:rPr>
                <w:rFonts w:ascii="Noto Sans" w:hAnsi="Noto Sans" w:eastAsia="Noto Sans CJK JP"/>
                <w:sz w:val="14"/>
              </w:rPr>
              <w:t>Prosodie avancée</w:t>
            </w:r>
          </w:p>
        </w:tc>
        <w:tc>
          <w:tcPr>
            <w:tcW w:type="dxa" w:w="3408"/>
            <w:tcMar>
              <w:top w:w="50" w:type="dxa"/>
              <w:start w:w="75" w:type="dxa"/>
              <w:bottom w:w="50" w:type="dxa"/>
              <w:end w:w="75" w:type="dxa"/>
            </w:tcMar>
          </w:tcPr>
          <w:p>
            <w:r>
              <w:rPr>
                <w:rFonts w:ascii="Noto Sans" w:hAnsi="Noto Sans" w:eastAsia="Noto Sans CJK JP"/>
                <w:sz w:val="14"/>
              </w:rPr>
              <w:t>Registre, accents variés en compréhension, perfectionnement personnalisé.</w:t>
            </w:r>
          </w:p>
        </w:tc>
      </w:tr>
      <w:tr>
        <w:trPr>
          <w:cantSplit w:val="1"/>
        </w:trPr>
        <w:tc>
          <w:tcPr>
            <w:tcW w:type="dxa" w:w="3408"/>
            <w:tcMar>
              <w:top w:w="50" w:type="dxa"/>
              <w:start w:w="75" w:type="dxa"/>
              <w:bottom w:w="50" w:type="dxa"/>
              <w:end w:w="75" w:type="dxa"/>
            </w:tcMar>
          </w:tcPr>
          <w:p>
            <w:r>
              <w:rPr>
                <w:rFonts w:ascii="Noto Sans" w:hAnsi="Noto Sans" w:eastAsia="Noto Sans CJK JP"/>
                <w:sz w:val="14"/>
              </w:rPr>
              <w:t>7H</w:t>
            </w:r>
          </w:p>
        </w:tc>
        <w:tc>
          <w:tcPr>
            <w:tcW w:type="dxa" w:w="3408"/>
            <w:tcMar>
              <w:top w:w="50" w:type="dxa"/>
              <w:start w:w="75" w:type="dxa"/>
              <w:bottom w:w="50" w:type="dxa"/>
              <w:end w:w="75" w:type="dxa"/>
            </w:tcMar>
          </w:tcPr>
          <w:p>
            <w:r>
              <w:rPr>
                <w:rFonts w:ascii="Noto Sans" w:hAnsi="Noto Sans" w:eastAsia="Noto Sans CJK JP"/>
                <w:sz w:val="14"/>
              </w:rPr>
              <w:t>Keigo / pragmatique</w:t>
            </w:r>
          </w:p>
        </w:tc>
        <w:tc>
          <w:tcPr>
            <w:tcW w:type="dxa" w:w="3408"/>
            <w:tcMar>
              <w:top w:w="50" w:type="dxa"/>
              <w:start w:w="75" w:type="dxa"/>
              <w:bottom w:w="50" w:type="dxa"/>
              <w:end w:w="75" w:type="dxa"/>
            </w:tcMar>
          </w:tcPr>
          <w:p>
            <w:r>
              <w:rPr>
                <w:rFonts w:ascii="Noto Sans" w:hAnsi="Noto Sans" w:eastAsia="Noto Sans CJK JP"/>
                <w:sz w:val="14"/>
              </w:rPr>
              <w:t>Distance, demandes, refus et conventions générales.</w:t>
            </w:r>
          </w:p>
        </w:tc>
      </w:tr>
      <w:tr>
        <w:trPr>
          <w:cantSplit w:val="1"/>
        </w:trPr>
        <w:tc>
          <w:tcPr>
            <w:tcW w:type="dxa" w:w="3408"/>
            <w:tcMar>
              <w:top w:w="50" w:type="dxa"/>
              <w:start w:w="75" w:type="dxa"/>
              <w:bottom w:w="50" w:type="dxa"/>
              <w:end w:w="75" w:type="dxa"/>
            </w:tcMar>
          </w:tcPr>
          <w:p>
            <w:r>
              <w:rPr>
                <w:rFonts w:ascii="Noto Sans" w:hAnsi="Noto Sans" w:eastAsia="Noto Sans CJK JP"/>
                <w:sz w:val="14"/>
              </w:rPr>
              <w:t>7I</w:t>
            </w:r>
          </w:p>
        </w:tc>
        <w:tc>
          <w:tcPr>
            <w:tcW w:type="dxa" w:w="3408"/>
            <w:tcMar>
              <w:top w:w="50" w:type="dxa"/>
              <w:start w:w="75" w:type="dxa"/>
              <w:bottom w:w="50" w:type="dxa"/>
              <w:end w:w="75" w:type="dxa"/>
            </w:tcMar>
          </w:tcPr>
          <w:p>
            <w:r>
              <w:rPr>
                <w:rFonts w:ascii="Noto Sans" w:hAnsi="Noto Sans" w:eastAsia="Noto Sans CJK JP"/>
                <w:sz w:val="14"/>
              </w:rPr>
              <w:t>Débat / réparation</w:t>
            </w:r>
          </w:p>
        </w:tc>
        <w:tc>
          <w:tcPr>
            <w:tcW w:type="dxa" w:w="3408"/>
            <w:tcMar>
              <w:top w:w="50" w:type="dxa"/>
              <w:start w:w="75" w:type="dxa"/>
              <w:bottom w:w="50" w:type="dxa"/>
              <w:end w:w="75" w:type="dxa"/>
            </w:tcMar>
          </w:tcPr>
          <w:p>
            <w:r>
              <w:rPr>
                <w:rFonts w:ascii="Noto Sans" w:hAnsi="Noto Sans" w:eastAsia="Noto Sans CJK JP"/>
                <w:sz w:val="14"/>
              </w:rPr>
              <w:t>Interaction complexe, malentendus, compromis.</w:t>
            </w:r>
          </w:p>
        </w:tc>
      </w:tr>
      <w:tr>
        <w:trPr>
          <w:cantSplit w:val="1"/>
        </w:trPr>
        <w:tc>
          <w:tcPr>
            <w:tcW w:type="dxa" w:w="3408"/>
            <w:tcMar>
              <w:top w:w="50" w:type="dxa"/>
              <w:start w:w="75" w:type="dxa"/>
              <w:bottom w:w="50" w:type="dxa"/>
              <w:end w:w="75" w:type="dxa"/>
            </w:tcMar>
          </w:tcPr>
          <w:p>
            <w:r>
              <w:rPr>
                <w:rFonts w:ascii="Noto Sans" w:hAnsi="Noto Sans" w:eastAsia="Noto Sans CJK JP"/>
                <w:sz w:val="14"/>
              </w:rPr>
              <w:t>7J</w:t>
            </w:r>
          </w:p>
        </w:tc>
        <w:tc>
          <w:tcPr>
            <w:tcW w:type="dxa" w:w="3408"/>
            <w:tcMar>
              <w:top w:w="50" w:type="dxa"/>
              <w:start w:w="75" w:type="dxa"/>
              <w:bottom w:w="50" w:type="dxa"/>
              <w:end w:w="75" w:type="dxa"/>
            </w:tcMar>
          </w:tcPr>
          <w:p>
            <w:r>
              <w:rPr>
                <w:rFonts w:ascii="Noto Sans" w:hAnsi="Noto Sans" w:eastAsia="Noto Sans CJK JP"/>
                <w:sz w:val="14"/>
              </w:rPr>
              <w:t>Présentation complexe</w:t>
            </w:r>
          </w:p>
        </w:tc>
        <w:tc>
          <w:tcPr>
            <w:tcW w:type="dxa" w:w="3408"/>
            <w:tcMar>
              <w:top w:w="50" w:type="dxa"/>
              <w:start w:w="75" w:type="dxa"/>
              <w:bottom w:w="50" w:type="dxa"/>
              <w:end w:w="75" w:type="dxa"/>
            </w:tcMar>
          </w:tcPr>
          <w:p>
            <w:r>
              <w:rPr>
                <w:rFonts w:ascii="Noto Sans" w:hAnsi="Noto Sans" w:eastAsia="Noto Sans CJK JP"/>
                <w:sz w:val="14"/>
              </w:rPr>
              <w:t>Adaptation au public et réponses non préparées.</w:t>
            </w:r>
          </w:p>
        </w:tc>
      </w:tr>
      <w:tr>
        <w:trPr>
          <w:cantSplit w:val="1"/>
        </w:trPr>
        <w:tc>
          <w:tcPr>
            <w:tcW w:type="dxa" w:w="3408"/>
            <w:tcMar>
              <w:top w:w="50" w:type="dxa"/>
              <w:start w:w="75" w:type="dxa"/>
              <w:bottom w:w="50" w:type="dxa"/>
              <w:end w:w="75" w:type="dxa"/>
            </w:tcMar>
          </w:tcPr>
          <w:p>
            <w:r>
              <w:rPr>
                <w:rFonts w:ascii="Noto Sans" w:hAnsi="Noto Sans" w:eastAsia="Noto Sans CJK JP"/>
                <w:sz w:val="14"/>
              </w:rPr>
              <w:t>7K</w:t>
            </w:r>
          </w:p>
        </w:tc>
        <w:tc>
          <w:tcPr>
            <w:tcW w:type="dxa" w:w="3408"/>
            <w:tcMar>
              <w:top w:w="50" w:type="dxa"/>
              <w:start w:w="75" w:type="dxa"/>
              <w:bottom w:w="50" w:type="dxa"/>
              <w:end w:w="75" w:type="dxa"/>
            </w:tcMar>
          </w:tcPr>
          <w:p>
            <w:r>
              <w:rPr>
                <w:rFonts w:ascii="Noto Sans" w:hAnsi="Noto Sans" w:eastAsia="Noto Sans CJK JP"/>
                <w:sz w:val="14"/>
              </w:rPr>
              <w:t>Médias longs</w:t>
            </w:r>
          </w:p>
        </w:tc>
        <w:tc>
          <w:tcPr>
            <w:tcW w:type="dxa" w:w="3408"/>
            <w:tcMar>
              <w:top w:w="50" w:type="dxa"/>
              <w:start w:w="75" w:type="dxa"/>
              <w:bottom w:w="50" w:type="dxa"/>
              <w:end w:w="75" w:type="dxa"/>
            </w:tcMar>
          </w:tcPr>
          <w:p>
            <w:r>
              <w:rPr>
                <w:rFonts w:ascii="Noto Sans" w:hAnsi="Noto Sans" w:eastAsia="Noto Sans CJK JP"/>
                <w:sz w:val="14"/>
              </w:rPr>
              <w:t>Débats, podcasts, documentaires et prises de notes.</w:t>
            </w:r>
          </w:p>
        </w:tc>
      </w:tr>
      <w:tr>
        <w:trPr>
          <w:cantSplit w:val="1"/>
        </w:trPr>
        <w:tc>
          <w:tcPr>
            <w:tcW w:type="dxa" w:w="3408"/>
            <w:tcMar>
              <w:top w:w="50" w:type="dxa"/>
              <w:start w:w="75" w:type="dxa"/>
              <w:bottom w:w="50" w:type="dxa"/>
              <w:end w:w="75" w:type="dxa"/>
            </w:tcMar>
          </w:tcPr>
          <w:p>
            <w:r>
              <w:rPr>
                <w:rFonts w:ascii="Noto Sans" w:hAnsi="Noto Sans" w:eastAsia="Noto Sans CJK JP"/>
                <w:sz w:val="14"/>
              </w:rPr>
              <w:t>7L</w:t>
            </w:r>
          </w:p>
        </w:tc>
        <w:tc>
          <w:tcPr>
            <w:tcW w:type="dxa" w:w="3408"/>
            <w:tcMar>
              <w:top w:w="50" w:type="dxa"/>
              <w:start w:w="75" w:type="dxa"/>
              <w:bottom w:w="50" w:type="dxa"/>
              <w:end w:w="75" w:type="dxa"/>
            </w:tcMar>
          </w:tcPr>
          <w:p>
            <w:r>
              <w:rPr>
                <w:rFonts w:ascii="Noto Sans" w:hAnsi="Noto Sans" w:eastAsia="Noto Sans CJK JP"/>
                <w:sz w:val="14"/>
              </w:rPr>
              <w:t>Dictionnaire / corpus</w:t>
            </w:r>
          </w:p>
        </w:tc>
        <w:tc>
          <w:tcPr>
            <w:tcW w:type="dxa" w:w="3408"/>
            <w:tcMar>
              <w:top w:w="50" w:type="dxa"/>
              <w:start w:w="75" w:type="dxa"/>
              <w:bottom w:w="50" w:type="dxa"/>
              <w:end w:w="75" w:type="dxa"/>
            </w:tcMar>
          </w:tcPr>
          <w:p>
            <w:r>
              <w:rPr>
                <w:rFonts w:ascii="Noto Sans" w:hAnsi="Noto Sans" w:eastAsia="Noto Sans CJK JP"/>
                <w:sz w:val="14"/>
              </w:rPr>
              <w:t>Ressources monolingues et validation de l’usage.</w:t>
            </w:r>
          </w:p>
        </w:tc>
      </w:tr>
      <w:tr>
        <w:trPr>
          <w:cantSplit w:val="1"/>
        </w:trPr>
        <w:tc>
          <w:tcPr>
            <w:tcW w:type="dxa" w:w="3408"/>
            <w:tcMar>
              <w:top w:w="50" w:type="dxa"/>
              <w:start w:w="75" w:type="dxa"/>
              <w:bottom w:w="50" w:type="dxa"/>
              <w:end w:w="75" w:type="dxa"/>
            </w:tcMar>
          </w:tcPr>
          <w:p>
            <w:r>
              <w:rPr>
                <w:rFonts w:ascii="Noto Sans" w:hAnsi="Noto Sans" w:eastAsia="Noto Sans CJK JP"/>
                <w:sz w:val="14"/>
              </w:rPr>
              <w:t>7M</w:t>
            </w:r>
          </w:p>
        </w:tc>
        <w:tc>
          <w:tcPr>
            <w:tcW w:type="dxa" w:w="3408"/>
            <w:tcMar>
              <w:top w:w="50" w:type="dxa"/>
              <w:start w:w="75" w:type="dxa"/>
              <w:bottom w:w="50" w:type="dxa"/>
              <w:end w:w="75" w:type="dxa"/>
            </w:tcMar>
          </w:tcPr>
          <w:p>
            <w:r>
              <w:rPr>
                <w:rFonts w:ascii="Noto Sans" w:hAnsi="Noto Sans" w:eastAsia="Noto Sans CJK JP"/>
                <w:sz w:val="14"/>
              </w:rPr>
              <w:t>Auto-apprentissage</w:t>
            </w:r>
          </w:p>
        </w:tc>
        <w:tc>
          <w:tcPr>
            <w:tcW w:type="dxa" w:w="3408"/>
            <w:tcMar>
              <w:top w:w="50" w:type="dxa"/>
              <w:start w:w="75" w:type="dxa"/>
              <w:bottom w:w="50" w:type="dxa"/>
              <w:end w:w="75" w:type="dxa"/>
            </w:tcMar>
          </w:tcPr>
          <w:p>
            <w:r>
              <w:rPr>
                <w:rFonts w:ascii="Noto Sans" w:hAnsi="Noto Sans" w:eastAsia="Noto Sans CJK JP"/>
                <w:sz w:val="14"/>
              </w:rPr>
              <w:t>Objectifs, SRS personnel, analyse des lacunes.</w:t>
            </w:r>
          </w:p>
        </w:tc>
      </w:tr>
      <w:tr>
        <w:trPr>
          <w:cantSplit w:val="1"/>
        </w:trPr>
        <w:tc>
          <w:tcPr>
            <w:tcW w:type="dxa" w:w="3408"/>
            <w:tcMar>
              <w:top w:w="50" w:type="dxa"/>
              <w:start w:w="75" w:type="dxa"/>
              <w:bottom w:w="50" w:type="dxa"/>
              <w:end w:w="75" w:type="dxa"/>
            </w:tcMar>
          </w:tcPr>
          <w:p>
            <w:r>
              <w:rPr>
                <w:rFonts w:ascii="Noto Sans" w:hAnsi="Noto Sans" w:eastAsia="Noto Sans CJK JP"/>
                <w:sz w:val="14"/>
              </w:rPr>
              <w:t>7N</w:t>
            </w:r>
          </w:p>
        </w:tc>
        <w:tc>
          <w:tcPr>
            <w:tcW w:type="dxa" w:w="3408"/>
            <w:tcMar>
              <w:top w:w="50" w:type="dxa"/>
              <w:start w:w="75" w:type="dxa"/>
              <w:bottom w:w="50" w:type="dxa"/>
              <w:end w:w="75" w:type="dxa"/>
            </w:tcMar>
          </w:tcPr>
          <w:p>
            <w:r>
              <w:rPr>
                <w:rFonts w:ascii="Noto Sans" w:hAnsi="Noto Sans" w:eastAsia="Noto Sans CJK JP"/>
                <w:sz w:val="14"/>
              </w:rPr>
              <w:t>Production longue</w:t>
            </w:r>
          </w:p>
        </w:tc>
        <w:tc>
          <w:tcPr>
            <w:tcW w:type="dxa" w:w="3408"/>
            <w:tcMar>
              <w:top w:w="50" w:type="dxa"/>
              <w:start w:w="75" w:type="dxa"/>
              <w:bottom w:w="50" w:type="dxa"/>
              <w:end w:w="75" w:type="dxa"/>
            </w:tcMar>
          </w:tcPr>
          <w:p>
            <w:r>
              <w:rPr>
                <w:rFonts w:ascii="Noto Sans" w:hAnsi="Noto Sans" w:eastAsia="Noto Sans CJK JP"/>
                <w:sz w:val="14"/>
              </w:rPr>
              <w:t>Lecture, oral et écrit sur plusieurs sources.</w:t>
            </w:r>
          </w:p>
        </w:tc>
      </w:tr>
      <w:tr>
        <w:trPr>
          <w:cantSplit w:val="1"/>
        </w:trPr>
        <w:tc>
          <w:tcPr>
            <w:tcW w:type="dxa" w:w="3408"/>
            <w:tcMar>
              <w:top w:w="50" w:type="dxa"/>
              <w:start w:w="75" w:type="dxa"/>
              <w:bottom w:w="50" w:type="dxa"/>
              <w:end w:w="75" w:type="dxa"/>
            </w:tcMar>
          </w:tcPr>
          <w:p>
            <w:r>
              <w:rPr>
                <w:rFonts w:ascii="Noto Sans" w:hAnsi="Noto Sans" w:eastAsia="Noto Sans CJK JP"/>
                <w:sz w:val="14"/>
              </w:rPr>
              <w:t>7O</w:t>
            </w:r>
          </w:p>
        </w:tc>
        <w:tc>
          <w:tcPr>
            <w:tcW w:type="dxa" w:w="3408"/>
            <w:tcMar>
              <w:top w:w="50" w:type="dxa"/>
              <w:start w:w="75" w:type="dxa"/>
              <w:bottom w:w="50" w:type="dxa"/>
              <w:end w:w="75" w:type="dxa"/>
            </w:tcMar>
          </w:tcPr>
          <w:p>
            <w:r>
              <w:rPr>
                <w:rFonts w:ascii="Noto Sans" w:hAnsi="Noto Sans" w:eastAsia="Noto Sans CJK JP"/>
                <w:sz w:val="14"/>
              </w:rPr>
              <w:t>Orientation spécialisation</w:t>
            </w:r>
          </w:p>
        </w:tc>
        <w:tc>
          <w:tcPr>
            <w:tcW w:type="dxa" w:w="3408"/>
            <w:tcMar>
              <w:top w:w="50" w:type="dxa"/>
              <w:start w:w="75" w:type="dxa"/>
              <w:bottom w:w="50" w:type="dxa"/>
              <w:end w:w="75" w:type="dxa"/>
            </w:tcMar>
          </w:tcPr>
          <w:p>
            <w:r>
              <w:rPr>
                <w:rFonts w:ascii="Noto Sans" w:hAnsi="Noto Sans" w:eastAsia="Noto Sans CJK JP"/>
                <w:sz w:val="14"/>
              </w:rPr>
              <w:t>Choisir et démarrer une première branche élective.</w:t>
            </w:r>
          </w:p>
        </w:tc>
      </w:tr>
      <w:tr>
        <w:trPr>
          <w:cantSplit w:val="1"/>
        </w:trPr>
        <w:tc>
          <w:tcPr>
            <w:tcW w:type="dxa" w:w="3408"/>
            <w:tcMar>
              <w:top w:w="50" w:type="dxa"/>
              <w:start w:w="75" w:type="dxa"/>
              <w:bottom w:w="50" w:type="dxa"/>
              <w:end w:w="75" w:type="dxa"/>
            </w:tcMar>
          </w:tcPr>
          <w:p>
            <w:r>
              <w:rPr>
                <w:rFonts w:ascii="Noto Sans" w:hAnsi="Noto Sans" w:eastAsia="Noto Sans CJK JP"/>
                <w:sz w:val="14"/>
              </w:rPr>
              <w:t>7P</w:t>
            </w:r>
          </w:p>
        </w:tc>
        <w:tc>
          <w:tcPr>
            <w:tcW w:type="dxa" w:w="3408"/>
            <w:tcMar>
              <w:top w:w="50" w:type="dxa"/>
              <w:start w:w="75" w:type="dxa"/>
              <w:bottom w:w="50" w:type="dxa"/>
              <w:end w:w="75" w:type="dxa"/>
            </w:tcMar>
          </w:tcPr>
          <w:p>
            <w:r>
              <w:rPr>
                <w:rFonts w:ascii="Noto Sans" w:hAnsi="Noto Sans" w:eastAsia="Noto Sans CJK JP"/>
                <w:sz w:val="14"/>
              </w:rPr>
              <w:t>Évaluation finale</w:t>
            </w:r>
          </w:p>
        </w:tc>
        <w:tc>
          <w:tcPr>
            <w:tcW w:type="dxa" w:w="3408"/>
            <w:tcMar>
              <w:top w:w="50" w:type="dxa"/>
              <w:start w:w="75" w:type="dxa"/>
              <w:bottom w:w="50" w:type="dxa"/>
              <w:end w:w="75" w:type="dxa"/>
            </w:tcMar>
          </w:tcPr>
          <w:p>
            <w:r>
              <w:rPr>
                <w:rFonts w:ascii="Noto Sans" w:hAnsi="Noto Sans" w:eastAsia="Noto Sans CJK JP"/>
                <w:sz w:val="14"/>
              </w:rPr>
              <w:t>Projet autonome multi-compétences centré sur le tronc commun.</w:t>
            </w:r>
          </w:p>
        </w:tc>
      </w:tr>
    </w:tbl>
    <w:tbl>
      <w:tblPr>
        <w:tblW w:type="auto" w:w="0"/>
        <w:jc w:val="center"/>
        <w:tblLook w:firstColumn="1" w:firstRow="1" w:lastColumn="0" w:lastRow="0" w:noHBand="0" w:noVBand="1" w:val="04A0"/>
      </w:tblPr>
      <w:tblGrid>
        <w:gridCol w:w="10224"/>
      </w:tblGrid>
      <w:tr>
        <w:trPr>
          <w:cantSplit w:val="1"/>
        </w:trPr>
        <w:tc>
          <w:tcPr>
            <w:tcW w:type="dxa" w:w="10224"/>
            <w:shd w:fill="F3F3F3"/>
            <w:tcMar>
              <w:top w:w="105" w:type="dxa"/>
              <w:start w:w="135" w:type="dxa"/>
              <w:bottom w:w="105" w:type="dxa"/>
              <w:end w:w="135" w:type="dxa"/>
            </w:tcMar>
          </w:tcPr>
          <w:p>
            <w:pPr>
              <w:spacing w:after="60"/>
            </w:pPr>
            <w:r>
              <w:rPr>
                <w:rFonts w:ascii="Noto Sans" w:hAnsi="Noto Sans" w:eastAsia="Noto Sans CJK JP"/>
                <w:b/>
                <w:sz w:val="20"/>
              </w:rPr>
              <w:t>À ne pas faire</w:t>
            </w:r>
          </w:p>
          <w:p>
            <w:pPr>
              <w:spacing w:after="0"/>
            </w:pPr>
            <w:r>
              <w:rPr>
                <w:rFonts w:ascii="Noto Sans" w:hAnsi="Noto Sans" w:eastAsia="Noto Sans CJK JP"/>
                <w:sz w:val="19"/>
              </w:rPr>
              <w:t>Les branches littérature, classique, académique, dialecte, métier ou media ne doivent pas être placées en série dans le chemin obligatoire 7A → 7P. Elles sont accessibles comme spécialisations, et leurs acquis alimentent le même moteur de vocabulaire, kanji, écoute, lecture, production et révision.</w:t>
            </w:r>
          </w:p>
        </w:tc>
      </w:tr>
    </w:tbl>
    <w:p>
      <w:pPr>
        <w:spacing w:after="0"/>
      </w:pPr>
    </w:p>
    <w:p>
      <w:pPr>
        <w:pStyle w:val="Heading1"/>
      </w:pPr>
      <w:r>
        <w:t>28. Évaluation finale de l’étape 7</w:t>
      </w:r>
    </w:p>
    <w:p>
      <w:r>
        <w:rPr>
          <w:rFonts w:ascii="Noto Sans" w:hAnsi="Noto Sans" w:eastAsia="Noto Sans CJK JP"/>
          <w:sz w:val="20"/>
        </w:rPr>
        <w:t>Une évaluation classique de vingt questions ne suffit plus. La validation finale doit mesurer l’autonomie sur un projet multi-sources, sans obliger le candidat à maîtriser une branche spécialisée qui ne correspond pas à son objectif.</w:t>
      </w:r>
    </w:p>
    <w:p>
      <w:pPr>
        <w:pStyle w:val="ListBullet"/>
        <w:spacing w:after="40"/>
      </w:pPr>
      <w:r>
        <w:rPr>
          <w:rFonts w:ascii="Noto Sans" w:hAnsi="Noto Sans" w:eastAsia="Noto Sans CJK JP"/>
          <w:sz w:val="19"/>
        </w:rPr>
        <w:t>choisir ou recevoir un sujet suffisamment complexe ;</w:t>
      </w:r>
    </w:p>
    <w:p>
      <w:pPr>
        <w:pStyle w:val="ListBullet"/>
        <w:spacing w:after="40"/>
      </w:pPr>
      <w:r>
        <w:rPr>
          <w:rFonts w:ascii="Noto Sans" w:hAnsi="Noto Sans" w:eastAsia="Noto Sans CJK JP"/>
          <w:sz w:val="19"/>
        </w:rPr>
        <w:t>lire au moins deux sources japonaises de styles ou points de vue différents ;</w:t>
      </w:r>
    </w:p>
    <w:p>
      <w:pPr>
        <w:pStyle w:val="ListBullet"/>
        <w:spacing w:after="40"/>
      </w:pPr>
      <w:r>
        <w:rPr>
          <w:rFonts w:ascii="Noto Sans" w:hAnsi="Noto Sans" w:eastAsia="Noto Sans CJK JP"/>
          <w:sz w:val="19"/>
        </w:rPr>
        <w:t>écouter un contenu oral relatif au sujet ;</w:t>
      </w:r>
    </w:p>
    <w:p>
      <w:pPr>
        <w:pStyle w:val="ListBullet"/>
        <w:spacing w:after="40"/>
      </w:pPr>
      <w:r>
        <w:rPr>
          <w:rFonts w:ascii="Noto Sans" w:hAnsi="Noto Sans" w:eastAsia="Noto Sans CJK JP"/>
          <w:sz w:val="19"/>
        </w:rPr>
        <w:t>identifier et apprendre seul une partie du vocabulaire inconnu ;</w:t>
      </w:r>
    </w:p>
    <w:p>
      <w:pPr>
        <w:pStyle w:val="ListBullet"/>
        <w:spacing w:after="40"/>
      </w:pPr>
      <w:r>
        <w:rPr>
          <w:rFonts w:ascii="Noto Sans" w:hAnsi="Noto Sans" w:eastAsia="Noto Sans CJK JP"/>
          <w:sz w:val="19"/>
        </w:rPr>
        <w:t>produire une synthèse écrite avec saisie japonaise correcte ;</w:t>
      </w:r>
    </w:p>
    <w:p>
      <w:pPr>
        <w:pStyle w:val="ListBullet"/>
        <w:spacing w:after="40"/>
      </w:pPr>
      <w:r>
        <w:rPr>
          <w:rFonts w:ascii="Noto Sans" w:hAnsi="Noto Sans" w:eastAsia="Noto Sans CJK JP"/>
          <w:sz w:val="19"/>
        </w:rPr>
        <w:t>présenter oralement le sujet avec une prosodie intelligible ;</w:t>
      </w:r>
    </w:p>
    <w:p>
      <w:pPr>
        <w:pStyle w:val="ListBullet"/>
        <w:spacing w:after="40"/>
      </w:pPr>
      <w:r>
        <w:rPr>
          <w:rFonts w:ascii="Noto Sans" w:hAnsi="Noto Sans" w:eastAsia="Noto Sans CJK JP"/>
          <w:sz w:val="19"/>
        </w:rPr>
        <w:t>répondre à des questions non connues à l’avance ;</w:t>
      </w:r>
    </w:p>
    <w:p>
      <w:pPr>
        <w:pStyle w:val="ListBullet"/>
        <w:spacing w:after="40"/>
      </w:pPr>
      <w:r>
        <w:rPr>
          <w:rFonts w:ascii="Noto Sans" w:hAnsi="Noto Sans" w:eastAsia="Noto Sans CJK JP"/>
          <w:sz w:val="19"/>
        </w:rPr>
        <w:t>justifier certaines interprétations ou choix de vocabulaire ;</w:t>
      </w:r>
    </w:p>
    <w:p>
      <w:pPr>
        <w:pStyle w:val="ListBullet"/>
        <w:spacing w:after="40"/>
      </w:pPr>
      <w:r>
        <w:rPr>
          <w:rFonts w:ascii="Noto Sans" w:hAnsi="Noto Sans" w:eastAsia="Noto Sans CJK JP"/>
          <w:sz w:val="19"/>
        </w:rPr>
        <w:t>montrer l’usage d’un dictionnaire, corpus ou ressource japonaise lorsque cela est nécessaire ;</w:t>
      </w:r>
    </w:p>
    <w:p>
      <w:pPr>
        <w:pStyle w:val="ListBullet"/>
        <w:spacing w:after="40"/>
      </w:pPr>
      <w:r>
        <w:rPr>
          <w:rFonts w:ascii="Noto Sans" w:hAnsi="Noto Sans" w:eastAsia="Noto Sans CJK JP"/>
          <w:sz w:val="19"/>
        </w:rPr>
        <w:t>faire une auto-évaluation : points maîtrisés, difficultés et plan de progression ;</w:t>
      </w:r>
    </w:p>
    <w:p>
      <w:pPr>
        <w:pStyle w:val="ListBullet"/>
        <w:spacing w:after="40"/>
      </w:pPr>
      <w:r>
        <w:rPr>
          <w:rFonts w:ascii="Noto Sans" w:hAnsi="Noto Sans" w:eastAsia="Noto Sans CJK JP"/>
          <w:sz w:val="19"/>
        </w:rPr>
        <w:t>présenter la première spécialisation choisie et les objectifs de progression associés.</w:t>
      </w:r>
    </w:p>
    <w:tbl>
      <w:tblPr>
        <w:tblW w:type="auto" w:w="0"/>
        <w:jc w:val="center"/>
        <w:tblLook w:firstColumn="1" w:firstRow="1" w:lastColumn="0" w:lastRow="0" w:noHBand="0" w:noVBand="1" w:val="04A0"/>
      </w:tblPr>
      <w:tblGrid>
        <w:gridCol w:w="10224"/>
      </w:tblGrid>
      <w:tr>
        <w:trPr>
          <w:cantSplit w:val="1"/>
        </w:trPr>
        <w:tc>
          <w:tcPr>
            <w:tcW w:type="dxa" w:w="10224"/>
            <w:shd w:fill="EEF6EA"/>
            <w:tcMar>
              <w:top w:w="105" w:type="dxa"/>
              <w:start w:w="135" w:type="dxa"/>
              <w:bottom w:w="105" w:type="dxa"/>
              <w:end w:w="135" w:type="dxa"/>
            </w:tcMar>
          </w:tcPr>
          <w:p>
            <w:pPr>
              <w:spacing w:after="60"/>
            </w:pPr>
            <w:r>
              <w:rPr>
                <w:rFonts w:ascii="Noto Sans" w:hAnsi="Noto Sans" w:eastAsia="Noto Sans CJK JP"/>
                <w:b/>
                <w:sz w:val="20"/>
              </w:rPr>
              <w:t>Ce que l’évaluation mesure réellement</w:t>
            </w:r>
          </w:p>
          <w:p>
            <w:pPr>
              <w:spacing w:after="0"/>
            </w:pPr>
            <w:r>
              <w:rPr>
                <w:rFonts w:ascii="Noto Sans" w:hAnsi="Noto Sans" w:eastAsia="Noto Sans CJK JP"/>
                <w:sz w:val="19"/>
              </w:rPr>
              <w:t>Pas l’absence totale d’erreurs. Elle mesure la capacité à comprendre, communiquer, réparer, rechercher, apprendre, s’adapter et continuer de fonctionner lorsqu’une difficulté apparaît.</w:t>
            </w:r>
          </w:p>
        </w:tc>
      </w:tr>
    </w:tbl>
    <w:p>
      <w:pPr>
        <w:spacing w:after="0"/>
      </w:pPr>
    </w:p>
    <w:p>
      <w:pPr>
        <w:pStyle w:val="Heading1"/>
      </w:pPr>
      <w:r>
        <w:t>29. Critères de validation de l’étape 7</w:t>
      </w:r>
    </w:p>
    <w:p>
      <w:pPr>
        <w:pStyle w:val="ListBullet"/>
        <w:spacing w:after="40"/>
      </w:pPr>
      <w:r>
        <w:rPr>
          <w:rFonts w:ascii="Noto Sans" w:hAnsi="Noto Sans" w:eastAsia="Noto Sans CJK JP"/>
          <w:sz w:val="19"/>
        </w:rPr>
        <w:t>l’utilisateur comprend des contenus longs et complexes avec une autonomie suffisante ;</w:t>
      </w:r>
    </w:p>
    <w:p>
      <w:pPr>
        <w:pStyle w:val="ListBullet"/>
        <w:spacing w:after="40"/>
      </w:pPr>
      <w:r>
        <w:rPr>
          <w:rFonts w:ascii="Noto Sans" w:hAnsi="Noto Sans" w:eastAsia="Noto Sans CJK JP"/>
          <w:sz w:val="19"/>
        </w:rPr>
        <w:t>il peut tolérer du vocabulaire inconnu sans perdre l’ensemble du message ;</w:t>
      </w:r>
    </w:p>
    <w:p>
      <w:pPr>
        <w:pStyle w:val="ListBullet"/>
        <w:spacing w:after="40"/>
      </w:pPr>
      <w:r>
        <w:rPr>
          <w:rFonts w:ascii="Noto Sans" w:hAnsi="Noto Sans" w:eastAsia="Noto Sans CJK JP"/>
          <w:sz w:val="19"/>
        </w:rPr>
        <w:t>il détecte une grande partie des implicites et changements de registre courants ;</w:t>
      </w:r>
    </w:p>
    <w:p>
      <w:pPr>
        <w:pStyle w:val="ListBullet"/>
        <w:spacing w:after="40"/>
      </w:pPr>
      <w:r>
        <w:rPr>
          <w:rFonts w:ascii="Noto Sans" w:hAnsi="Noto Sans" w:eastAsia="Noto Sans CJK JP"/>
          <w:sz w:val="19"/>
        </w:rPr>
        <w:t>il reformule et répare efficacement lorsqu’il ne connaît pas une expression ;</w:t>
      </w:r>
    </w:p>
    <w:p>
      <w:pPr>
        <w:pStyle w:val="ListBullet"/>
        <w:spacing w:after="40"/>
      </w:pPr>
      <w:r>
        <w:rPr>
          <w:rFonts w:ascii="Noto Sans" w:hAnsi="Noto Sans" w:eastAsia="Noto Sans CJK JP"/>
          <w:sz w:val="19"/>
        </w:rPr>
        <w:t>il adapte son discours, sa politesse et sa prosodie à un interlocuteur et à un objectif ;</w:t>
      </w:r>
    </w:p>
    <w:p>
      <w:pPr>
        <w:pStyle w:val="ListBullet"/>
        <w:spacing w:after="40"/>
      </w:pPr>
      <w:r>
        <w:rPr>
          <w:rFonts w:ascii="Noto Sans" w:hAnsi="Noto Sans" w:eastAsia="Noto Sans CJK JP"/>
          <w:sz w:val="19"/>
        </w:rPr>
        <w:t>il lit et écrit dans plusieurs styles généraux ;</w:t>
      </w:r>
    </w:p>
    <w:p>
      <w:pPr>
        <w:pStyle w:val="ListBullet"/>
        <w:spacing w:after="40"/>
      </w:pPr>
      <w:r>
        <w:rPr>
          <w:rFonts w:ascii="Noto Sans" w:hAnsi="Noto Sans" w:eastAsia="Noto Sans CJK JP"/>
          <w:sz w:val="19"/>
        </w:rPr>
        <w:t>il utilise des ressources monolingues, corpus et contenus authentiques ;</w:t>
      </w:r>
    </w:p>
    <w:p>
      <w:pPr>
        <w:pStyle w:val="ListBullet"/>
        <w:spacing w:after="40"/>
      </w:pPr>
      <w:r>
        <w:rPr>
          <w:rFonts w:ascii="Noto Sans" w:hAnsi="Noto Sans" w:eastAsia="Noto Sans CJK JP"/>
          <w:sz w:val="19"/>
        </w:rPr>
        <w:t>il peut apprendre du vocabulaire spécialisé sans cours francophone détaillé ;</w:t>
      </w:r>
    </w:p>
    <w:p>
      <w:pPr>
        <w:pStyle w:val="ListBullet"/>
        <w:spacing w:after="40"/>
      </w:pPr>
      <w:r>
        <w:rPr>
          <w:rFonts w:ascii="Noto Sans" w:hAnsi="Noto Sans" w:eastAsia="Noto Sans CJK JP"/>
          <w:sz w:val="19"/>
        </w:rPr>
        <w:t>il est capable de construire son propre programme de progression et de révision ;</w:t>
      </w:r>
    </w:p>
    <w:p>
      <w:pPr>
        <w:pStyle w:val="ListBullet"/>
        <w:spacing w:after="40"/>
      </w:pPr>
      <w:r>
        <w:rPr>
          <w:rFonts w:ascii="Noto Sans" w:hAnsi="Noto Sans" w:eastAsia="Noto Sans CJK JP"/>
          <w:sz w:val="19"/>
        </w:rPr>
        <w:t>ses erreurs restantes n’empêchent pas une communication complexe efficace ;</w:t>
      </w:r>
    </w:p>
    <w:p>
      <w:pPr>
        <w:pStyle w:val="ListBullet"/>
        <w:spacing w:after="40"/>
      </w:pPr>
      <w:r>
        <w:rPr>
          <w:rFonts w:ascii="Noto Sans" w:hAnsi="Noto Sans" w:eastAsia="Noto Sans CJK JP"/>
          <w:sz w:val="19"/>
        </w:rPr>
        <w:t>la production écrite et la saisie kana → kanji sont opérationnelles ; l’écriture manuscrite reste facultative ;</w:t>
      </w:r>
    </w:p>
    <w:p>
      <w:pPr>
        <w:pStyle w:val="ListBullet"/>
        <w:spacing w:after="40"/>
      </w:pPr>
      <w:r>
        <w:rPr>
          <w:rFonts w:ascii="Noto Sans" w:hAnsi="Noto Sans" w:eastAsia="Noto Sans CJK JP"/>
          <w:sz w:val="19"/>
        </w:rPr>
        <w:t>il a choisi et démarré au moins une première spécialisation, sans devoir valider toutes les branches électives.</w:t>
      </w:r>
    </w:p>
    <w:p>
      <w:pPr>
        <w:pStyle w:val="Heading1"/>
      </w:pPr>
      <w:r>
        <w:t>30. Ce que l’étape 7 n’essaie volontairement PAS de terminer</w:t>
      </w:r>
    </w:p>
    <w:p>
      <w:pPr>
        <w:pStyle w:val="ListBullet"/>
        <w:spacing w:after="40"/>
      </w:pPr>
      <w:r>
        <w:rPr>
          <w:rFonts w:ascii="Noto Sans" w:hAnsi="Noto Sans" w:eastAsia="Noto Sans CJK JP"/>
          <w:sz w:val="19"/>
        </w:rPr>
        <w:t>tout le vocabulaire japonais ;</w:t>
      </w:r>
    </w:p>
    <w:p>
      <w:pPr>
        <w:pStyle w:val="ListBullet"/>
        <w:spacing w:after="40"/>
      </w:pPr>
      <w:r>
        <w:rPr>
          <w:rFonts w:ascii="Noto Sans" w:hAnsi="Noto Sans" w:eastAsia="Noto Sans CJK JP"/>
          <w:sz w:val="19"/>
        </w:rPr>
        <w:t>tous les kanji existants ;</w:t>
      </w:r>
    </w:p>
    <w:p>
      <w:pPr>
        <w:pStyle w:val="ListBullet"/>
        <w:spacing w:after="40"/>
      </w:pPr>
      <w:r>
        <w:rPr>
          <w:rFonts w:ascii="Noto Sans" w:hAnsi="Noto Sans" w:eastAsia="Noto Sans CJK JP"/>
          <w:sz w:val="19"/>
        </w:rPr>
        <w:t>tous les noms propres et lectures exceptionnelles ;</w:t>
      </w:r>
    </w:p>
    <w:p>
      <w:pPr>
        <w:pStyle w:val="ListBullet"/>
        <w:spacing w:after="40"/>
      </w:pPr>
      <w:r>
        <w:rPr>
          <w:rFonts w:ascii="Noto Sans" w:hAnsi="Noto Sans" w:eastAsia="Noto Sans CJK JP"/>
          <w:sz w:val="19"/>
        </w:rPr>
        <w:t>tous les dialectes ;</w:t>
      </w:r>
    </w:p>
    <w:p>
      <w:pPr>
        <w:pStyle w:val="ListBullet"/>
        <w:spacing w:after="40"/>
      </w:pPr>
      <w:r>
        <w:rPr>
          <w:rFonts w:ascii="Noto Sans" w:hAnsi="Noto Sans" w:eastAsia="Noto Sans CJK JP"/>
          <w:sz w:val="19"/>
        </w:rPr>
        <w:t>tous les domaines professionnels ;</w:t>
      </w:r>
    </w:p>
    <w:p>
      <w:pPr>
        <w:pStyle w:val="ListBullet"/>
        <w:spacing w:after="40"/>
      </w:pPr>
      <w:r>
        <w:rPr>
          <w:rFonts w:ascii="Noto Sans" w:hAnsi="Noto Sans" w:eastAsia="Noto Sans CJK JP"/>
          <w:sz w:val="19"/>
        </w:rPr>
        <w:t>toute la littérature japonaise ;</w:t>
      </w:r>
    </w:p>
    <w:p>
      <w:pPr>
        <w:pStyle w:val="ListBullet"/>
        <w:spacing w:after="40"/>
      </w:pPr>
      <w:r>
        <w:rPr>
          <w:rFonts w:ascii="Noto Sans" w:hAnsi="Noto Sans" w:eastAsia="Noto Sans CJK JP"/>
          <w:sz w:val="19"/>
        </w:rPr>
        <w:t>tout le japonais classique ;</w:t>
      </w:r>
    </w:p>
    <w:p>
      <w:pPr>
        <w:pStyle w:val="ListBullet"/>
        <w:spacing w:after="40"/>
      </w:pPr>
      <w:r>
        <w:rPr>
          <w:rFonts w:ascii="Noto Sans" w:hAnsi="Noto Sans" w:eastAsia="Noto Sans CJK JP"/>
          <w:sz w:val="19"/>
        </w:rPr>
        <w:t>tous les idiomes et proverbes ;</w:t>
      </w:r>
    </w:p>
    <w:p>
      <w:pPr>
        <w:pStyle w:val="ListBullet"/>
        <w:spacing w:after="40"/>
      </w:pPr>
      <w:r>
        <w:rPr>
          <w:rFonts w:ascii="Noto Sans" w:hAnsi="Noto Sans" w:eastAsia="Noto Sans CJK JP"/>
          <w:sz w:val="19"/>
        </w:rPr>
        <w:t>un accent identique à un natif ;</w:t>
      </w:r>
    </w:p>
    <w:p>
      <w:pPr>
        <w:pStyle w:val="ListBullet"/>
        <w:spacing w:after="40"/>
      </w:pPr>
      <w:r>
        <w:rPr>
          <w:rFonts w:ascii="Noto Sans" w:hAnsi="Noto Sans" w:eastAsia="Noto Sans CJK JP"/>
          <w:sz w:val="19"/>
        </w:rPr>
        <w:t>la compréhension parfaite de tout locuteur dans toute situation ;</w:t>
      </w:r>
    </w:p>
    <w:p>
      <w:pPr>
        <w:pStyle w:val="ListBullet"/>
        <w:spacing w:after="40"/>
      </w:pPr>
      <w:r>
        <w:rPr>
          <w:rFonts w:ascii="Noto Sans" w:hAnsi="Noto Sans" w:eastAsia="Noto Sans CJK JP"/>
          <w:sz w:val="19"/>
        </w:rPr>
        <w:t>la compétence d’un traducteur, interprète, linguiste ou rédacteur professionnel sans formation spécialisée.</w:t>
      </w:r>
    </w:p>
    <w:p>
      <w:pPr>
        <w:pStyle w:val="Heading1"/>
      </w:pPr>
      <w:r>
        <w:t>31. Après l’étape 7 : le Mode autonomie</w:t>
      </w:r>
    </w:p>
    <w:p>
      <w:r>
        <w:rPr>
          <w:rFonts w:ascii="Noto Sans" w:hAnsi="Noto Sans" w:eastAsia="Noto Sans CJK JP"/>
          <w:sz w:val="20"/>
        </w:rPr>
        <w:t>Le tronc commun guidé est terminé, mais l’application ne s’arrête pas. Elle change de logique : au lieu de débloquer un niveau supérieur unique, elle aide l’utilisateur à choisir des domaines, suivre ses faiblesses et construire sa propre progression.</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90" w:type="dxa"/>
              <w:bottom w:w="65" w:type="dxa"/>
              <w:end w:w="90" w:type="dxa"/>
            </w:tcMar>
          </w:tcPr>
          <w:p>
            <w:r>
              <w:rPr>
                <w:rFonts w:ascii="Noto Sans" w:hAnsi="Noto Sans" w:eastAsia="Noto Sans CJK JP"/>
                <w:b/>
                <w:sz w:val="17"/>
              </w:rPr>
              <w:t>Type de suite</w:t>
            </w:r>
          </w:p>
        </w:tc>
        <w:tc>
          <w:tcPr>
            <w:tcW w:type="dxa" w:w="5112"/>
            <w:shd w:fill="DCEAF0"/>
            <w:tcMar>
              <w:top w:w="65" w:type="dxa"/>
              <w:start w:w="90" w:type="dxa"/>
              <w:bottom w:w="65" w:type="dxa"/>
              <w:end w:w="90" w:type="dxa"/>
            </w:tcMar>
          </w:tcPr>
          <w:p>
            <w:r>
              <w:rPr>
                <w:rFonts w:ascii="Noto Sans" w:hAnsi="Noto Sans" w:eastAsia="Noto Sans CJK JP"/>
                <w:b/>
                <w:sz w:val="17"/>
              </w:rPr>
              <w:t>Exemples</w:t>
            </w:r>
          </w:p>
        </w:tc>
      </w:tr>
      <w:tr>
        <w:trPr>
          <w:cantSplit w:val="1"/>
        </w:trPr>
        <w:tc>
          <w:tcPr>
            <w:tcW w:type="dxa" w:w="5112"/>
            <w:tcMar>
              <w:top w:w="50" w:type="dxa"/>
              <w:start w:w="75" w:type="dxa"/>
              <w:bottom w:w="50" w:type="dxa"/>
              <w:end w:w="75" w:type="dxa"/>
            </w:tcMar>
          </w:tcPr>
          <w:p>
            <w:r>
              <w:rPr>
                <w:rFonts w:ascii="Noto Sans" w:hAnsi="Noto Sans" w:eastAsia="Noto Sans CJK JP"/>
                <w:sz w:val="15"/>
              </w:rPr>
              <w:t>Spécialisation</w:t>
            </w:r>
          </w:p>
        </w:tc>
        <w:tc>
          <w:tcPr>
            <w:tcW w:type="dxa" w:w="5112"/>
            <w:tcMar>
              <w:top w:w="50" w:type="dxa"/>
              <w:start w:w="75" w:type="dxa"/>
              <w:bottom w:w="50" w:type="dxa"/>
              <w:end w:w="75" w:type="dxa"/>
            </w:tcMar>
          </w:tcPr>
          <w:p>
            <w:r>
              <w:rPr>
                <w:rFonts w:ascii="Noto Sans" w:hAnsi="Noto Sans" w:eastAsia="Noto Sans CJK JP"/>
                <w:sz w:val="15"/>
              </w:rPr>
              <w:t>business, informatique, tourisme, université, vie au Japon…</w:t>
            </w:r>
          </w:p>
        </w:tc>
      </w:tr>
      <w:tr>
        <w:trPr>
          <w:cantSplit w:val="1"/>
        </w:trPr>
        <w:tc>
          <w:tcPr>
            <w:tcW w:type="dxa" w:w="5112"/>
            <w:tcMar>
              <w:top w:w="50" w:type="dxa"/>
              <w:start w:w="75" w:type="dxa"/>
              <w:bottom w:w="50" w:type="dxa"/>
              <w:end w:w="75" w:type="dxa"/>
            </w:tcMar>
          </w:tcPr>
          <w:p>
            <w:r>
              <w:rPr>
                <w:rFonts w:ascii="Noto Sans" w:hAnsi="Noto Sans" w:eastAsia="Noto Sans CJK JP"/>
                <w:sz w:val="15"/>
              </w:rPr>
              <w:t>Media</w:t>
            </w:r>
          </w:p>
        </w:tc>
        <w:tc>
          <w:tcPr>
            <w:tcW w:type="dxa" w:w="5112"/>
            <w:tcMar>
              <w:top w:w="50" w:type="dxa"/>
              <w:start w:w="75" w:type="dxa"/>
              <w:bottom w:w="50" w:type="dxa"/>
              <w:end w:w="75" w:type="dxa"/>
            </w:tcMar>
          </w:tcPr>
          <w:p>
            <w:r>
              <w:rPr>
                <w:rFonts w:ascii="Noto Sans" w:hAnsi="Noto Sans" w:eastAsia="Noto Sans CJK JP"/>
                <w:sz w:val="15"/>
              </w:rPr>
              <w:t>anime, manga, cinéma, podcasts, actualité…</w:t>
            </w:r>
          </w:p>
        </w:tc>
      </w:tr>
      <w:tr>
        <w:trPr>
          <w:cantSplit w:val="1"/>
        </w:trPr>
        <w:tc>
          <w:tcPr>
            <w:tcW w:type="dxa" w:w="5112"/>
            <w:tcMar>
              <w:top w:w="50" w:type="dxa"/>
              <w:start w:w="75" w:type="dxa"/>
              <w:bottom w:w="50" w:type="dxa"/>
              <w:end w:w="75" w:type="dxa"/>
            </w:tcMar>
          </w:tcPr>
          <w:p>
            <w:r>
              <w:rPr>
                <w:rFonts w:ascii="Noto Sans" w:hAnsi="Noto Sans" w:eastAsia="Noto Sans CJK JP"/>
                <w:sz w:val="15"/>
              </w:rPr>
              <w:t>Lecture</w:t>
            </w:r>
          </w:p>
        </w:tc>
        <w:tc>
          <w:tcPr>
            <w:tcW w:type="dxa" w:w="5112"/>
            <w:tcMar>
              <w:top w:w="50" w:type="dxa"/>
              <w:start w:w="75" w:type="dxa"/>
              <w:bottom w:w="50" w:type="dxa"/>
              <w:end w:w="75" w:type="dxa"/>
            </w:tcMar>
          </w:tcPr>
          <w:p>
            <w:r>
              <w:rPr>
                <w:rFonts w:ascii="Noto Sans" w:hAnsi="Noto Sans" w:eastAsia="Noto Sans CJK JP"/>
                <w:sz w:val="15"/>
              </w:rPr>
              <w:t>romans, presse, essais, littérature…</w:t>
            </w:r>
          </w:p>
        </w:tc>
      </w:tr>
      <w:tr>
        <w:trPr>
          <w:cantSplit w:val="1"/>
        </w:trPr>
        <w:tc>
          <w:tcPr>
            <w:tcW w:type="dxa" w:w="5112"/>
            <w:tcMar>
              <w:top w:w="50" w:type="dxa"/>
              <w:start w:w="75" w:type="dxa"/>
              <w:bottom w:w="50" w:type="dxa"/>
              <w:end w:w="75" w:type="dxa"/>
            </w:tcMar>
          </w:tcPr>
          <w:p>
            <w:r>
              <w:rPr>
                <w:rFonts w:ascii="Noto Sans" w:hAnsi="Noto Sans" w:eastAsia="Noto Sans CJK JP"/>
                <w:sz w:val="15"/>
              </w:rPr>
              <w:t>Oral</w:t>
            </w:r>
          </w:p>
        </w:tc>
        <w:tc>
          <w:tcPr>
            <w:tcW w:type="dxa" w:w="5112"/>
            <w:tcMar>
              <w:top w:w="50" w:type="dxa"/>
              <w:start w:w="75" w:type="dxa"/>
              <w:bottom w:w="50" w:type="dxa"/>
              <w:end w:w="75" w:type="dxa"/>
            </w:tcMar>
          </w:tcPr>
          <w:p>
            <w:r>
              <w:rPr>
                <w:rFonts w:ascii="Noto Sans" w:hAnsi="Noto Sans" w:eastAsia="Noto Sans CJK JP"/>
                <w:sz w:val="15"/>
              </w:rPr>
              <w:t>conversation, prononciation, débat, présentation…</w:t>
            </w:r>
          </w:p>
        </w:tc>
      </w:tr>
      <w:tr>
        <w:trPr>
          <w:cantSplit w:val="1"/>
        </w:trPr>
        <w:tc>
          <w:tcPr>
            <w:tcW w:type="dxa" w:w="5112"/>
            <w:tcMar>
              <w:top w:w="50" w:type="dxa"/>
              <w:start w:w="75" w:type="dxa"/>
              <w:bottom w:w="50" w:type="dxa"/>
              <w:end w:w="75" w:type="dxa"/>
            </w:tcMar>
          </w:tcPr>
          <w:p>
            <w:r>
              <w:rPr>
                <w:rFonts w:ascii="Noto Sans" w:hAnsi="Noto Sans" w:eastAsia="Noto Sans CJK JP"/>
                <w:sz w:val="15"/>
              </w:rPr>
              <w:t>Certification</w:t>
            </w:r>
          </w:p>
        </w:tc>
        <w:tc>
          <w:tcPr>
            <w:tcW w:type="dxa" w:w="5112"/>
            <w:tcMar>
              <w:top w:w="50" w:type="dxa"/>
              <w:start w:w="75" w:type="dxa"/>
              <w:bottom w:w="50" w:type="dxa"/>
              <w:end w:w="75" w:type="dxa"/>
            </w:tcMar>
          </w:tcPr>
          <w:p>
            <w:r>
              <w:rPr>
                <w:rFonts w:ascii="Noto Sans" w:hAnsi="Noto Sans" w:eastAsia="Noto Sans CJK JP"/>
                <w:sz w:val="15"/>
              </w:rPr>
              <w:t>préparation JLPT selon le niveau réel, dans un parcours distinct</w:t>
            </w:r>
          </w:p>
        </w:tc>
      </w:tr>
      <w:tr>
        <w:trPr>
          <w:cantSplit w:val="1"/>
        </w:trPr>
        <w:tc>
          <w:tcPr>
            <w:tcW w:type="dxa" w:w="5112"/>
            <w:tcMar>
              <w:top w:w="50" w:type="dxa"/>
              <w:start w:w="75" w:type="dxa"/>
              <w:bottom w:w="50" w:type="dxa"/>
              <w:end w:w="75" w:type="dxa"/>
            </w:tcMar>
          </w:tcPr>
          <w:p>
            <w:r>
              <w:rPr>
                <w:rFonts w:ascii="Noto Sans" w:hAnsi="Noto Sans" w:eastAsia="Noto Sans CJK JP"/>
                <w:sz w:val="15"/>
              </w:rPr>
              <w:t>Révision</w:t>
            </w:r>
          </w:p>
        </w:tc>
        <w:tc>
          <w:tcPr>
            <w:tcW w:type="dxa" w:w="5112"/>
            <w:tcMar>
              <w:top w:w="50" w:type="dxa"/>
              <w:start w:w="75" w:type="dxa"/>
              <w:bottom w:w="50" w:type="dxa"/>
              <w:end w:w="75" w:type="dxa"/>
            </w:tcMar>
          </w:tcPr>
          <w:p>
            <w:r>
              <w:rPr>
                <w:rFonts w:ascii="Noto Sans" w:hAnsi="Noto Sans" w:eastAsia="Noto Sans CJK JP"/>
                <w:sz w:val="15"/>
              </w:rPr>
              <w:t>SRS personnalisé sur faiblesses, erreurs et vocabulaire individuel</w:t>
            </w:r>
          </w:p>
        </w:tc>
      </w:tr>
    </w:tbl>
    <w:p>
      <w:pPr>
        <w:pStyle w:val="Heading1"/>
      </w:pPr>
      <w:r>
        <w:t>32. Conséquences importantes pour l’architecture de l’application</w:t>
      </w:r>
    </w:p>
    <w:p>
      <w:pPr>
        <w:pStyle w:val="ListBullet"/>
        <w:spacing w:after="40"/>
      </w:pPr>
      <w:r>
        <w:rPr>
          <w:rFonts w:ascii="Noto Sans" w:hAnsi="Noto Sans" w:eastAsia="Noto Sans CJK JP"/>
          <w:sz w:val="19"/>
        </w:rPr>
        <w:t>les étapes 0 à 7 forment le tronc commun guidé ;</w:t>
      </w:r>
    </w:p>
    <w:p>
      <w:pPr>
        <w:pStyle w:val="ListBullet"/>
        <w:spacing w:after="40"/>
      </w:pPr>
      <w:r>
        <w:rPr>
          <w:rFonts w:ascii="Noto Sans" w:hAnsi="Noto Sans" w:eastAsia="Noto Sans CJK JP"/>
          <w:sz w:val="19"/>
        </w:rPr>
        <w:t>les branches électives doivent réutiliser le même moteur de compétences et de révision ;</w:t>
      </w:r>
    </w:p>
    <w:p>
      <w:pPr>
        <w:pStyle w:val="ListBullet"/>
        <w:spacing w:after="40"/>
      </w:pPr>
      <w:r>
        <w:rPr>
          <w:rFonts w:ascii="Noto Sans" w:hAnsi="Noto Sans" w:eastAsia="Noto Sans CJK JP"/>
          <w:sz w:val="19"/>
        </w:rPr>
        <w:t>un mot ou kanji appris en spécialisation doit revenir dans le moteur de révision global ;</w:t>
      </w:r>
    </w:p>
    <w:p>
      <w:pPr>
        <w:pStyle w:val="ListBullet"/>
        <w:spacing w:after="40"/>
      </w:pPr>
      <w:r>
        <w:rPr>
          <w:rFonts w:ascii="Noto Sans" w:hAnsi="Noto Sans" w:eastAsia="Noto Sans CJK JP"/>
          <w:sz w:val="19"/>
        </w:rPr>
        <w:t>les statistiques doivent montrer les domaines forts / faibles plutôt qu’un simple pourcentage de cours terminés ;</w:t>
      </w:r>
    </w:p>
    <w:p>
      <w:pPr>
        <w:pStyle w:val="ListBullet"/>
        <w:spacing w:after="40"/>
      </w:pPr>
      <w:r>
        <w:rPr>
          <w:rFonts w:ascii="Noto Sans" w:hAnsi="Noto Sans" w:eastAsia="Noto Sans CJK JP"/>
          <w:sz w:val="19"/>
        </w:rPr>
        <w:t>l’utilisateur doit pouvoir importer ou créer ses propres listes de vocabulaire à haut niveau ;</w:t>
      </w:r>
    </w:p>
    <w:p>
      <w:pPr>
        <w:pStyle w:val="ListBullet"/>
        <w:spacing w:after="40"/>
      </w:pPr>
      <w:r>
        <w:rPr>
          <w:rFonts w:ascii="Noto Sans" w:hAnsi="Noto Sans" w:eastAsia="Noto Sans CJK JP"/>
          <w:sz w:val="19"/>
        </w:rPr>
        <w:t>les contenus authentiques deviennent progressivement centraux ;</w:t>
      </w:r>
    </w:p>
    <w:p>
      <w:pPr>
        <w:pStyle w:val="ListBullet"/>
        <w:spacing w:after="40"/>
      </w:pPr>
      <w:r>
        <w:rPr>
          <w:rFonts w:ascii="Noto Sans" w:hAnsi="Noto Sans" w:eastAsia="Noto Sans CJK JP"/>
          <w:sz w:val="19"/>
        </w:rPr>
        <w:t>les explications doivent devenir principalement japonaises, avec aide française adaptative ;</w:t>
      </w:r>
    </w:p>
    <w:p>
      <w:pPr>
        <w:pStyle w:val="ListBullet"/>
        <w:spacing w:after="40"/>
      </w:pPr>
      <w:r>
        <w:rPr>
          <w:rFonts w:ascii="Noto Sans" w:hAnsi="Noto Sans" w:eastAsia="Noto Sans CJK JP"/>
          <w:sz w:val="19"/>
        </w:rPr>
        <w:t>la prononciation / prosodie doit pouvoir recevoir des objectifs personnalisés sans imposer un accent unique comme verrou ;</w:t>
      </w:r>
    </w:p>
    <w:p>
      <w:pPr>
        <w:pStyle w:val="ListBullet"/>
        <w:spacing w:after="40"/>
      </w:pPr>
      <w:r>
        <w:rPr>
          <w:rFonts w:ascii="Noto Sans" w:hAnsi="Noto Sans" w:eastAsia="Noto Sans CJK JP"/>
          <w:sz w:val="19"/>
        </w:rPr>
        <w:t>le Mode autonomie doit recommander des activités selon objectifs, lacunes et spécialisation choisie.</w:t>
      </w:r>
    </w:p>
    <w:p>
      <w:pPr>
        <w:pStyle w:val="Heading1"/>
      </w:pPr>
      <w:r>
        <w:t>33. Glossaire minimal</w:t>
      </w:r>
    </w:p>
    <w:tbl>
      <w:tblPr>
        <w:tblStyle w:val="TableGrid"/>
        <w:tblW w:type="auto" w:w="0"/>
        <w:jc w:val="center"/>
        <w:tblLook w:firstColumn="1" w:firstRow="1" w:lastColumn="0" w:lastRow="0" w:noHBand="0" w:noVBand="1" w:val="04A0"/>
      </w:tblPr>
      <w:tblGrid>
        <w:gridCol w:w="5112"/>
        <w:gridCol w:w="5112"/>
      </w:tblGrid>
      <w:tr>
        <w:trPr>
          <w:tblHeader w:val="true"/>
          <w:cantSplit w:val="1"/>
        </w:trPr>
        <w:tc>
          <w:tcPr>
            <w:tcW w:type="dxa" w:w="5112"/>
            <w:shd w:fill="DCEAF0"/>
            <w:tcMar>
              <w:top w:w="65" w:type="dxa"/>
              <w:start w:w="90" w:type="dxa"/>
              <w:bottom w:w="65" w:type="dxa"/>
              <w:end w:w="90" w:type="dxa"/>
            </w:tcMar>
          </w:tcPr>
          <w:p>
            <w:r>
              <w:rPr>
                <w:rFonts w:ascii="Noto Sans" w:hAnsi="Noto Sans" w:eastAsia="Noto Sans CJK JP"/>
                <w:b/>
                <w:sz w:val="17"/>
              </w:rPr>
              <w:t>Terme</w:t>
            </w:r>
          </w:p>
        </w:tc>
        <w:tc>
          <w:tcPr>
            <w:tcW w:type="dxa" w:w="5112"/>
            <w:shd w:fill="DCEAF0"/>
            <w:tcMar>
              <w:top w:w="65" w:type="dxa"/>
              <w:start w:w="90" w:type="dxa"/>
              <w:bottom w:w="65" w:type="dxa"/>
              <w:end w:w="90" w:type="dxa"/>
            </w:tcMar>
          </w:tcPr>
          <w:p>
            <w:r>
              <w:rPr>
                <w:rFonts w:ascii="Noto Sans" w:hAnsi="Noto Sans" w:eastAsia="Noto Sans CJK JP"/>
                <w:b/>
                <w:sz w:val="17"/>
              </w:rPr>
              <w:t>Explication simple</w:t>
            </w:r>
          </w:p>
        </w:tc>
      </w:tr>
      <w:tr>
        <w:trPr>
          <w:cantSplit w:val="1"/>
        </w:trPr>
        <w:tc>
          <w:tcPr>
            <w:tcW w:type="dxa" w:w="5112"/>
            <w:tcMar>
              <w:top w:w="50" w:type="dxa"/>
              <w:start w:w="75" w:type="dxa"/>
              <w:bottom w:w="50" w:type="dxa"/>
              <w:end w:w="75" w:type="dxa"/>
            </w:tcMar>
          </w:tcPr>
          <w:p>
            <w:r>
              <w:rPr>
                <w:rFonts w:ascii="Noto Sans" w:hAnsi="Noto Sans" w:eastAsia="Noto Sans CJK JP"/>
                <w:sz w:val="15"/>
              </w:rPr>
              <w:t>Implicite</w:t>
            </w:r>
          </w:p>
        </w:tc>
        <w:tc>
          <w:tcPr>
            <w:tcW w:type="dxa" w:w="5112"/>
            <w:tcMar>
              <w:top w:w="50" w:type="dxa"/>
              <w:start w:w="75" w:type="dxa"/>
              <w:bottom w:w="50" w:type="dxa"/>
              <w:end w:w="75" w:type="dxa"/>
            </w:tcMar>
          </w:tcPr>
          <w:p>
            <w:r>
              <w:rPr>
                <w:rFonts w:ascii="Noto Sans" w:hAnsi="Noto Sans" w:eastAsia="Noto Sans CJK JP"/>
                <w:sz w:val="15"/>
              </w:rPr>
              <w:t>Information comprise grâce au contexte mais non formulée directement.</w:t>
            </w:r>
          </w:p>
        </w:tc>
      </w:tr>
      <w:tr>
        <w:trPr>
          <w:cantSplit w:val="1"/>
        </w:trPr>
        <w:tc>
          <w:tcPr>
            <w:tcW w:type="dxa" w:w="5112"/>
            <w:tcMar>
              <w:top w:w="50" w:type="dxa"/>
              <w:start w:w="75" w:type="dxa"/>
              <w:bottom w:w="50" w:type="dxa"/>
              <w:end w:w="75" w:type="dxa"/>
            </w:tcMar>
          </w:tcPr>
          <w:p>
            <w:r>
              <w:rPr>
                <w:rFonts w:ascii="Noto Sans" w:hAnsi="Noto Sans" w:eastAsia="Noto Sans CJK JP"/>
                <w:sz w:val="15"/>
              </w:rPr>
              <w:t>Sous-entendu</w:t>
            </w:r>
          </w:p>
        </w:tc>
        <w:tc>
          <w:tcPr>
            <w:tcW w:type="dxa" w:w="5112"/>
            <w:tcMar>
              <w:top w:w="50" w:type="dxa"/>
              <w:start w:w="75" w:type="dxa"/>
              <w:bottom w:w="50" w:type="dxa"/>
              <w:end w:w="75" w:type="dxa"/>
            </w:tcMar>
          </w:tcPr>
          <w:p>
            <w:r>
              <w:rPr>
                <w:rFonts w:ascii="Noto Sans" w:hAnsi="Noto Sans" w:eastAsia="Noto Sans CJK JP"/>
                <w:sz w:val="15"/>
              </w:rPr>
              <w:t>Idée que le locuteur suggère sans la dire explicitement.</w:t>
            </w:r>
          </w:p>
        </w:tc>
      </w:tr>
      <w:tr>
        <w:trPr>
          <w:cantSplit w:val="1"/>
        </w:trPr>
        <w:tc>
          <w:tcPr>
            <w:tcW w:type="dxa" w:w="5112"/>
            <w:tcMar>
              <w:top w:w="50" w:type="dxa"/>
              <w:start w:w="75" w:type="dxa"/>
              <w:bottom w:w="50" w:type="dxa"/>
              <w:end w:w="75" w:type="dxa"/>
            </w:tcMar>
          </w:tcPr>
          <w:p>
            <w:r>
              <w:rPr>
                <w:rFonts w:ascii="Noto Sans" w:hAnsi="Noto Sans" w:eastAsia="Noto Sans CJK JP"/>
                <w:sz w:val="15"/>
              </w:rPr>
              <w:t>Rhétorique</w:t>
            </w:r>
          </w:p>
        </w:tc>
        <w:tc>
          <w:tcPr>
            <w:tcW w:type="dxa" w:w="5112"/>
            <w:tcMar>
              <w:top w:w="50" w:type="dxa"/>
              <w:start w:w="75" w:type="dxa"/>
              <w:bottom w:w="50" w:type="dxa"/>
              <w:end w:w="75" w:type="dxa"/>
            </w:tcMar>
          </w:tcPr>
          <w:p>
            <w:r>
              <w:rPr>
                <w:rFonts w:ascii="Noto Sans" w:hAnsi="Noto Sans" w:eastAsia="Noto Sans CJK JP"/>
                <w:sz w:val="15"/>
              </w:rPr>
              <w:t>Manière d’organiser et présenter un discours pour produire un effet.</w:t>
            </w:r>
          </w:p>
        </w:tc>
      </w:tr>
      <w:tr>
        <w:trPr>
          <w:cantSplit w:val="1"/>
        </w:trPr>
        <w:tc>
          <w:tcPr>
            <w:tcW w:type="dxa" w:w="5112"/>
            <w:tcMar>
              <w:top w:w="50" w:type="dxa"/>
              <w:start w:w="75" w:type="dxa"/>
              <w:bottom w:w="50" w:type="dxa"/>
              <w:end w:w="75" w:type="dxa"/>
            </w:tcMar>
          </w:tcPr>
          <w:p>
            <w:r>
              <w:rPr>
                <w:rFonts w:ascii="Noto Sans" w:hAnsi="Noto Sans" w:eastAsia="Noto Sans CJK JP"/>
                <w:sz w:val="15"/>
              </w:rPr>
              <w:t>Collocation</w:t>
            </w:r>
          </w:p>
        </w:tc>
        <w:tc>
          <w:tcPr>
            <w:tcW w:type="dxa" w:w="5112"/>
            <w:tcMar>
              <w:top w:w="50" w:type="dxa"/>
              <w:start w:w="75" w:type="dxa"/>
              <w:bottom w:w="50" w:type="dxa"/>
              <w:end w:w="75" w:type="dxa"/>
            </w:tcMar>
          </w:tcPr>
          <w:p>
            <w:r>
              <w:rPr>
                <w:rFonts w:ascii="Noto Sans" w:hAnsi="Noto Sans" w:eastAsia="Noto Sans CJK JP"/>
                <w:sz w:val="15"/>
              </w:rPr>
              <w:t>Association de mots considérée naturelle par les locuteurs.</w:t>
            </w:r>
          </w:p>
        </w:tc>
      </w:tr>
      <w:tr>
        <w:trPr>
          <w:cantSplit w:val="1"/>
        </w:trPr>
        <w:tc>
          <w:tcPr>
            <w:tcW w:type="dxa" w:w="5112"/>
            <w:tcMar>
              <w:top w:w="50" w:type="dxa"/>
              <w:start w:w="75" w:type="dxa"/>
              <w:bottom w:w="50" w:type="dxa"/>
              <w:end w:w="75" w:type="dxa"/>
            </w:tcMar>
          </w:tcPr>
          <w:p>
            <w:r>
              <w:rPr>
                <w:rFonts w:ascii="Noto Sans" w:hAnsi="Noto Sans" w:eastAsia="Noto Sans CJK JP"/>
                <w:sz w:val="15"/>
              </w:rPr>
              <w:t>Idiome</w:t>
            </w:r>
          </w:p>
        </w:tc>
        <w:tc>
          <w:tcPr>
            <w:tcW w:type="dxa" w:w="5112"/>
            <w:tcMar>
              <w:top w:w="50" w:type="dxa"/>
              <w:start w:w="75" w:type="dxa"/>
              <w:bottom w:w="50" w:type="dxa"/>
              <w:end w:w="75" w:type="dxa"/>
            </w:tcMar>
          </w:tcPr>
          <w:p>
            <w:r>
              <w:rPr>
                <w:rFonts w:ascii="Noto Sans" w:hAnsi="Noto Sans" w:eastAsia="Noto Sans CJK JP"/>
                <w:sz w:val="15"/>
              </w:rPr>
              <w:t>Expression dont le sens ne se déduit pas toujours de chaque mot.</w:t>
            </w:r>
          </w:p>
        </w:tc>
      </w:tr>
      <w:tr>
        <w:trPr>
          <w:cantSplit w:val="1"/>
        </w:trPr>
        <w:tc>
          <w:tcPr>
            <w:tcW w:type="dxa" w:w="5112"/>
            <w:tcMar>
              <w:top w:w="50" w:type="dxa"/>
              <w:start w:w="75" w:type="dxa"/>
              <w:bottom w:w="50" w:type="dxa"/>
              <w:end w:w="75" w:type="dxa"/>
            </w:tcMar>
          </w:tcPr>
          <w:p>
            <w:r>
              <w:rPr>
                <w:rFonts w:ascii="Noto Sans" w:hAnsi="Noto Sans" w:eastAsia="Noto Sans CJK JP"/>
                <w:sz w:val="15"/>
              </w:rPr>
              <w:t>Sociolecte</w:t>
            </w:r>
          </w:p>
        </w:tc>
        <w:tc>
          <w:tcPr>
            <w:tcW w:type="dxa" w:w="5112"/>
            <w:tcMar>
              <w:top w:w="50" w:type="dxa"/>
              <w:start w:w="75" w:type="dxa"/>
              <w:bottom w:w="50" w:type="dxa"/>
              <w:end w:w="75" w:type="dxa"/>
            </w:tcMar>
          </w:tcPr>
          <w:p>
            <w:r>
              <w:rPr>
                <w:rFonts w:ascii="Noto Sans" w:hAnsi="Noto Sans" w:eastAsia="Noto Sans CJK JP"/>
                <w:sz w:val="15"/>
              </w:rPr>
              <w:t>Variété de langue liée à un groupe social, professionnel ou générationnel.</w:t>
            </w:r>
          </w:p>
        </w:tc>
      </w:tr>
      <w:tr>
        <w:trPr>
          <w:cantSplit w:val="1"/>
        </w:trPr>
        <w:tc>
          <w:tcPr>
            <w:tcW w:type="dxa" w:w="5112"/>
            <w:tcMar>
              <w:top w:w="50" w:type="dxa"/>
              <w:start w:w="75" w:type="dxa"/>
              <w:bottom w:w="50" w:type="dxa"/>
              <w:end w:w="75" w:type="dxa"/>
            </w:tcMar>
          </w:tcPr>
          <w:p>
            <w:r>
              <w:rPr>
                <w:rFonts w:ascii="Noto Sans" w:hAnsi="Noto Sans" w:eastAsia="Noto Sans CJK JP"/>
                <w:sz w:val="15"/>
              </w:rPr>
              <w:t>Prosodie</w:t>
            </w:r>
          </w:p>
        </w:tc>
        <w:tc>
          <w:tcPr>
            <w:tcW w:type="dxa" w:w="5112"/>
            <w:tcMar>
              <w:top w:w="50" w:type="dxa"/>
              <w:start w:w="75" w:type="dxa"/>
              <w:bottom w:w="50" w:type="dxa"/>
              <w:end w:w="75" w:type="dxa"/>
            </w:tcMar>
          </w:tcPr>
          <w:p>
            <w:r>
              <w:rPr>
                <w:rFonts w:ascii="Noto Sans" w:hAnsi="Noto Sans" w:eastAsia="Noto Sans CJK JP"/>
                <w:sz w:val="15"/>
              </w:rPr>
              <w:t>Rythme, pauses, intonation, hauteur et mise en relief dans la parole.</w:t>
            </w:r>
          </w:p>
        </w:tc>
      </w:tr>
      <w:tr>
        <w:trPr>
          <w:cantSplit w:val="1"/>
        </w:trPr>
        <w:tc>
          <w:tcPr>
            <w:tcW w:type="dxa" w:w="5112"/>
            <w:tcMar>
              <w:top w:w="50" w:type="dxa"/>
              <w:start w:w="75" w:type="dxa"/>
              <w:bottom w:w="50" w:type="dxa"/>
              <w:end w:w="75" w:type="dxa"/>
            </w:tcMar>
          </w:tcPr>
          <w:p>
            <w:r>
              <w:rPr>
                <w:rFonts w:ascii="Noto Sans" w:hAnsi="Noto Sans" w:eastAsia="Noto Sans CJK JP"/>
                <w:sz w:val="15"/>
              </w:rPr>
              <w:t>Corpus</w:t>
            </w:r>
          </w:p>
        </w:tc>
        <w:tc>
          <w:tcPr>
            <w:tcW w:type="dxa" w:w="5112"/>
            <w:tcMar>
              <w:top w:w="50" w:type="dxa"/>
              <w:start w:w="75" w:type="dxa"/>
              <w:bottom w:w="50" w:type="dxa"/>
              <w:end w:w="75" w:type="dxa"/>
            </w:tcMar>
          </w:tcPr>
          <w:p>
            <w:r>
              <w:rPr>
                <w:rFonts w:ascii="Noto Sans" w:hAnsi="Noto Sans" w:eastAsia="Noto Sans CJK JP"/>
                <w:sz w:val="15"/>
              </w:rPr>
              <w:t>Grande collection de textes ou phrases permettant d’observer l’usage réel de la langue.</w:t>
            </w:r>
          </w:p>
        </w:tc>
      </w:tr>
      <w:tr>
        <w:trPr>
          <w:cantSplit w:val="1"/>
        </w:trPr>
        <w:tc>
          <w:tcPr>
            <w:tcW w:type="dxa" w:w="5112"/>
            <w:tcMar>
              <w:top w:w="50" w:type="dxa"/>
              <w:start w:w="75" w:type="dxa"/>
              <w:bottom w:w="50" w:type="dxa"/>
              <w:end w:w="75" w:type="dxa"/>
            </w:tcMar>
          </w:tcPr>
          <w:p>
            <w:r>
              <w:rPr>
                <w:rFonts w:ascii="Noto Sans" w:hAnsi="Noto Sans" w:eastAsia="Noto Sans CJK JP"/>
                <w:sz w:val="15"/>
              </w:rPr>
              <w:t>Dictionnaire monolingue</w:t>
            </w:r>
          </w:p>
        </w:tc>
        <w:tc>
          <w:tcPr>
            <w:tcW w:type="dxa" w:w="5112"/>
            <w:tcMar>
              <w:top w:w="50" w:type="dxa"/>
              <w:start w:w="75" w:type="dxa"/>
              <w:bottom w:w="50" w:type="dxa"/>
              <w:end w:w="75" w:type="dxa"/>
            </w:tcMar>
          </w:tcPr>
          <w:p>
            <w:r>
              <w:rPr>
                <w:rFonts w:ascii="Noto Sans" w:hAnsi="Noto Sans" w:eastAsia="Noto Sans CJK JP"/>
                <w:sz w:val="15"/>
              </w:rPr>
              <w:t>Dictionnaire où les mots japonais sont expliqués en japonais.</w:t>
            </w:r>
          </w:p>
        </w:tc>
      </w:tr>
      <w:tr>
        <w:trPr>
          <w:cantSplit w:val="1"/>
        </w:trPr>
        <w:tc>
          <w:tcPr>
            <w:tcW w:type="dxa" w:w="5112"/>
            <w:tcMar>
              <w:top w:w="50" w:type="dxa"/>
              <w:start w:w="75" w:type="dxa"/>
              <w:bottom w:w="50" w:type="dxa"/>
              <w:end w:w="75" w:type="dxa"/>
            </w:tcMar>
          </w:tcPr>
          <w:p>
            <w:r>
              <w:rPr>
                <w:rFonts w:ascii="Noto Sans" w:hAnsi="Noto Sans" w:eastAsia="Noto Sans CJK JP"/>
                <w:sz w:val="15"/>
              </w:rPr>
              <w:t>Auto-apprentissage</w:t>
            </w:r>
          </w:p>
        </w:tc>
        <w:tc>
          <w:tcPr>
            <w:tcW w:type="dxa" w:w="5112"/>
            <w:tcMar>
              <w:top w:w="50" w:type="dxa"/>
              <w:start w:w="75" w:type="dxa"/>
              <w:bottom w:w="50" w:type="dxa"/>
              <w:end w:w="75" w:type="dxa"/>
            </w:tcMar>
          </w:tcPr>
          <w:p>
            <w:r>
              <w:rPr>
                <w:rFonts w:ascii="Noto Sans" w:hAnsi="Noto Sans" w:eastAsia="Noto Sans CJK JP"/>
                <w:sz w:val="15"/>
              </w:rPr>
              <w:t>Capacité à définir soi-même objectifs, ressources, exercices et révisions.</w:t>
            </w:r>
          </w:p>
        </w:tc>
      </w:tr>
      <w:tr>
        <w:trPr>
          <w:cantSplit w:val="1"/>
        </w:trPr>
        <w:tc>
          <w:tcPr>
            <w:tcW w:type="dxa" w:w="5112"/>
            <w:tcMar>
              <w:top w:w="50" w:type="dxa"/>
              <w:start w:w="75" w:type="dxa"/>
              <w:bottom w:w="50" w:type="dxa"/>
              <w:end w:w="75" w:type="dxa"/>
            </w:tcMar>
          </w:tcPr>
          <w:p>
            <w:r>
              <w:rPr>
                <w:rFonts w:ascii="Noto Sans" w:hAnsi="Noto Sans" w:eastAsia="Noto Sans CJK JP"/>
                <w:sz w:val="15"/>
              </w:rPr>
              <w:t>Spécialisation</w:t>
            </w:r>
          </w:p>
        </w:tc>
        <w:tc>
          <w:tcPr>
            <w:tcW w:type="dxa" w:w="5112"/>
            <w:tcMar>
              <w:top w:w="50" w:type="dxa"/>
              <w:start w:w="75" w:type="dxa"/>
              <w:bottom w:w="50" w:type="dxa"/>
              <w:end w:w="75" w:type="dxa"/>
            </w:tcMar>
          </w:tcPr>
          <w:p>
            <w:r>
              <w:rPr>
                <w:rFonts w:ascii="Noto Sans" w:hAnsi="Noto Sans" w:eastAsia="Noto Sans CJK JP"/>
                <w:sz w:val="15"/>
              </w:rPr>
              <w:t>Approfondissement d’un domaine précis après ou autour de la fin du tronc commun.</w:t>
            </w:r>
          </w:p>
        </w:tc>
      </w:tr>
      <w:tr>
        <w:trPr>
          <w:cantSplit w:val="1"/>
        </w:trPr>
        <w:tc>
          <w:tcPr>
            <w:tcW w:type="dxa" w:w="5112"/>
            <w:tcMar>
              <w:top w:w="50" w:type="dxa"/>
              <w:start w:w="75" w:type="dxa"/>
              <w:bottom w:w="50" w:type="dxa"/>
              <w:end w:w="75" w:type="dxa"/>
            </w:tcMar>
          </w:tcPr>
          <w:p>
            <w:r>
              <w:rPr>
                <w:rFonts w:ascii="Noto Sans" w:hAnsi="Noto Sans" w:eastAsia="Noto Sans CJK JP"/>
                <w:sz w:val="15"/>
              </w:rPr>
              <w:t>Horizon C1 / C2</w:t>
            </w:r>
          </w:p>
        </w:tc>
        <w:tc>
          <w:tcPr>
            <w:tcW w:type="dxa" w:w="5112"/>
            <w:tcMar>
              <w:top w:w="50" w:type="dxa"/>
              <w:start w:w="75" w:type="dxa"/>
              <w:bottom w:w="50" w:type="dxa"/>
              <w:end w:w="75" w:type="dxa"/>
            </w:tcMar>
          </w:tcPr>
          <w:p>
            <w:r>
              <w:rPr>
                <w:rFonts w:ascii="Noto Sans" w:hAnsi="Noto Sans" w:eastAsia="Noto Sans CJK JP"/>
                <w:sz w:val="15"/>
              </w:rPr>
              <w:t>Repère de compétence avancée inspiré du JF Standard ; il ne constitue pas une certification automatique de l’application.</w:t>
            </w:r>
          </w:p>
        </w:tc>
      </w:tr>
    </w:tbl>
    <w:p>
      <w:pPr>
        <w:pStyle w:val="Heading1"/>
      </w:pPr>
      <w:r>
        <w:t>34. Points à figer lors du futur document « Missions étape 7 »</w:t>
      </w:r>
    </w:p>
    <w:p>
      <w:pPr>
        <w:pStyle w:val="ListBullet"/>
        <w:spacing w:after="40"/>
      </w:pPr>
      <w:r>
        <w:rPr>
          <w:rFonts w:ascii="Noto Sans" w:hAnsi="Noto Sans" w:eastAsia="Noto Sans CJK JP"/>
          <w:sz w:val="19"/>
        </w:rPr>
        <w:t>liste définitive des compétences obligatoires du tronc commun ;</w:t>
      </w:r>
    </w:p>
    <w:p>
      <w:pPr>
        <w:pStyle w:val="ListBullet"/>
        <w:spacing w:after="40"/>
      </w:pPr>
      <w:r>
        <w:rPr>
          <w:rFonts w:ascii="Noto Sans" w:hAnsi="Noto Sans" w:eastAsia="Noto Sans CJK JP"/>
          <w:sz w:val="19"/>
        </w:rPr>
        <w:t>règle précise de déblocage du Mode autonomie ;</w:t>
      </w:r>
    </w:p>
    <w:p>
      <w:pPr>
        <w:pStyle w:val="ListBullet"/>
        <w:spacing w:after="40"/>
      </w:pPr>
      <w:r>
        <w:rPr>
          <w:rFonts w:ascii="Noto Sans" w:hAnsi="Noto Sans" w:eastAsia="Noto Sans CJK JP"/>
          <w:sz w:val="19"/>
        </w:rPr>
        <w:t>niveau minimal à accomplir dans la première spécialisation choisie avant validation ;</w:t>
      </w:r>
    </w:p>
    <w:p>
      <w:pPr>
        <w:pStyle w:val="ListBullet"/>
        <w:spacing w:after="40"/>
      </w:pPr>
      <w:r>
        <w:rPr>
          <w:rFonts w:ascii="Noto Sans" w:hAnsi="Noto Sans" w:eastAsia="Noto Sans CJK JP"/>
          <w:sz w:val="19"/>
        </w:rPr>
        <w:t>bibliothèque de sources authentiques et droits d’utilisation ;</w:t>
      </w:r>
    </w:p>
    <w:p>
      <w:pPr>
        <w:pStyle w:val="ListBullet"/>
        <w:spacing w:after="40"/>
      </w:pPr>
      <w:r>
        <w:rPr>
          <w:rFonts w:ascii="Noto Sans" w:hAnsi="Noto Sans" w:eastAsia="Noto Sans CJK JP"/>
          <w:sz w:val="19"/>
        </w:rPr>
        <w:t>progression contrôlée vers des textes et audios non simplifiés ;</w:t>
      </w:r>
    </w:p>
    <w:p>
      <w:pPr>
        <w:pStyle w:val="ListBullet"/>
        <w:spacing w:after="40"/>
      </w:pPr>
      <w:r>
        <w:rPr>
          <w:rFonts w:ascii="Noto Sans" w:hAnsi="Noto Sans" w:eastAsia="Noto Sans CJK JP"/>
          <w:sz w:val="19"/>
        </w:rPr>
        <w:t>système de dictionnaire intégré et aide contextuelle ;</w:t>
      </w:r>
    </w:p>
    <w:p>
      <w:pPr>
        <w:pStyle w:val="ListBullet"/>
        <w:spacing w:after="40"/>
      </w:pPr>
      <w:r>
        <w:rPr>
          <w:rFonts w:ascii="Noto Sans" w:hAnsi="Noto Sans" w:eastAsia="Noto Sans CJK JP"/>
          <w:sz w:val="19"/>
        </w:rPr>
        <w:t>types d’exercices d’implicite, ironie et registre sans correction arbitraire ;</w:t>
      </w:r>
    </w:p>
    <w:p>
      <w:pPr>
        <w:pStyle w:val="ListBullet"/>
        <w:spacing w:after="40"/>
      </w:pPr>
      <w:r>
        <w:rPr>
          <w:rFonts w:ascii="Noto Sans" w:hAnsi="Noto Sans" w:eastAsia="Noto Sans CJK JP"/>
          <w:sz w:val="19"/>
        </w:rPr>
        <w:t>critères d’évaluation d’un résumé et d’une argumentation longue ;</w:t>
      </w:r>
    </w:p>
    <w:p>
      <w:pPr>
        <w:pStyle w:val="ListBullet"/>
        <w:spacing w:after="40"/>
      </w:pPr>
      <w:r>
        <w:rPr>
          <w:rFonts w:ascii="Noto Sans" w:hAnsi="Noto Sans" w:eastAsia="Noto Sans CJK JP"/>
          <w:sz w:val="19"/>
        </w:rPr>
        <w:t>fonctionnement d’un projet final multi-sources sans rendre l’application bloquante ;</w:t>
      </w:r>
    </w:p>
    <w:p>
      <w:pPr>
        <w:pStyle w:val="ListBullet"/>
        <w:spacing w:after="40"/>
      </w:pPr>
      <w:r>
        <w:rPr>
          <w:rFonts w:ascii="Noto Sans" w:hAnsi="Noto Sans" w:eastAsia="Noto Sans CJK JP"/>
          <w:sz w:val="19"/>
        </w:rPr>
        <w:t>choix et personnalisation des branches de spécialisation ;</w:t>
      </w:r>
    </w:p>
    <w:p>
      <w:pPr>
        <w:pStyle w:val="ListBullet"/>
        <w:spacing w:after="40"/>
      </w:pPr>
      <w:r>
        <w:rPr>
          <w:rFonts w:ascii="Noto Sans" w:hAnsi="Noto Sans" w:eastAsia="Noto Sans CJK JP"/>
          <w:sz w:val="19"/>
        </w:rPr>
        <w:t>import de vocabulaire personnel et création de cartes depuis un texte ou un audio ;</w:t>
      </w:r>
    </w:p>
    <w:p>
      <w:pPr>
        <w:pStyle w:val="ListBullet"/>
        <w:spacing w:after="40"/>
      </w:pPr>
      <w:r>
        <w:rPr>
          <w:rFonts w:ascii="Noto Sans" w:hAnsi="Noto Sans" w:eastAsia="Noto Sans CJK JP"/>
          <w:sz w:val="19"/>
        </w:rPr>
        <w:t>système de détection des lacunes par domaine ;</w:t>
      </w:r>
    </w:p>
    <w:p>
      <w:pPr>
        <w:pStyle w:val="ListBullet"/>
        <w:spacing w:after="40"/>
      </w:pPr>
      <w:r>
        <w:rPr>
          <w:rFonts w:ascii="Noto Sans" w:hAnsi="Noto Sans" w:eastAsia="Noto Sans CJK JP"/>
          <w:sz w:val="19"/>
        </w:rPr>
        <w:t>objectifs personnalisés de prononciation / prosodie et niveau de tolérance aux variations ;</w:t>
      </w:r>
    </w:p>
    <w:p>
      <w:pPr>
        <w:pStyle w:val="ListBullet"/>
        <w:spacing w:after="40"/>
      </w:pPr>
      <w:r>
        <w:rPr>
          <w:rFonts w:ascii="Noto Sans" w:hAnsi="Noto Sans" w:eastAsia="Noto Sans CJK JP"/>
          <w:sz w:val="19"/>
        </w:rPr>
        <w:t>niveau d’aide automatique en japonais vs français ;</w:t>
      </w:r>
    </w:p>
    <w:p>
      <w:pPr>
        <w:pStyle w:val="ListBullet"/>
        <w:spacing w:after="40"/>
      </w:pPr>
      <w:r>
        <w:rPr>
          <w:rFonts w:ascii="Noto Sans" w:hAnsi="Noto Sans" w:eastAsia="Noto Sans CJK JP"/>
          <w:sz w:val="19"/>
        </w:rPr>
        <w:t>révision espacée personnalisée après la fin du tronc commun ;</w:t>
      </w:r>
    </w:p>
    <w:p>
      <w:pPr>
        <w:pStyle w:val="ListBullet"/>
        <w:spacing w:after="40"/>
      </w:pPr>
      <w:r>
        <w:rPr>
          <w:rFonts w:ascii="Noto Sans" w:hAnsi="Noto Sans" w:eastAsia="Noto Sans CJK JP"/>
          <w:sz w:val="19"/>
        </w:rPr>
        <w:t>recommandations automatiques selon objectifs de l’utilisateur.</w:t>
      </w:r>
    </w:p>
    <w:p>
      <w:pPr>
        <w:pStyle w:val="Heading1"/>
      </w:pPr>
      <w:r>
        <w:t>35. Références et cadrage des niveaux</w:t>
      </w:r>
    </w:p>
    <w:p>
      <w:r>
        <w:rPr>
          <w:rFonts w:ascii="Noto Sans" w:hAnsi="Noto Sans" w:eastAsia="Noto Sans CJK JP"/>
          <w:sz w:val="18"/>
        </w:rPr>
        <w:t>Le JF Standard utilise les niveaux A1 à C2 et mesure la progression par les tâches que l’apprenant peut accomplir. Les mentions C1 / C2 de cette étape servent donc d’horizon approximatif et d’inspiration pédagogique. Elles ne doivent pas être présentées comme une certification automatique tant que les missions et évaluations n’ont pas été calibrées sur un référentiel externe. De même, une préparation JLPT éventuelle doit rester un parcours distinct du tronc commun de communication.</w:t>
      </w:r>
    </w:p>
    <w:p>
      <w:pPr>
        <w:pStyle w:val="ListBullet"/>
        <w:spacing w:after="40"/>
      </w:pPr>
      <w:r>
        <w:rPr>
          <w:rFonts w:ascii="Noto Sans" w:hAnsi="Noto Sans" w:eastAsia="Noto Sans CJK JP"/>
          <w:sz w:val="16"/>
        </w:rPr>
        <w:t xml:space="preserve">Japan Foundation — JF Standard, présentation des niveaux et Can-do A1 à C2. </w:t>
      </w:r>
      <w:r>
        <w:rPr>
          <w:rFonts w:ascii="Noto Sans" w:hAnsi="Noto Sans" w:eastAsia="Noto Sans CJK JP"/>
          <w:color w:val="285578"/>
          <w:sz w:val="16"/>
        </w:rPr>
        <w:t>https://www.jfstandard.jpf.go.jp/summaryen/ja/render.do</w:t>
      </w:r>
    </w:p>
    <w:p>
      <w:pPr>
        <w:pStyle w:val="ListBullet"/>
        <w:spacing w:after="40"/>
      </w:pPr>
      <w:r>
        <w:rPr>
          <w:rFonts w:ascii="Noto Sans" w:hAnsi="Noto Sans" w:eastAsia="Noto Sans CJK JP"/>
          <w:sz w:val="16"/>
        </w:rPr>
        <w:t xml:space="preserve">Japan Foundation — JF Standard pamphlet : exemples C1 et C2 de présentation de sujets complexes. </w:t>
      </w:r>
      <w:r>
        <w:rPr>
          <w:rFonts w:ascii="Noto Sans" w:hAnsi="Noto Sans" w:eastAsia="Noto Sans CJK JP"/>
          <w:color w:val="285578"/>
          <w:sz w:val="16"/>
        </w:rPr>
        <w:t>https://www.jfstandard.jpf.go.jp/pdf/jfs2024_pamphlet_en.pdf</w:t>
      </w:r>
    </w:p>
    <w:p>
      <w:pPr>
        <w:pStyle w:val="ListBullet"/>
        <w:spacing w:after="40"/>
      </w:pPr>
      <w:r>
        <w:rPr>
          <w:rFonts w:ascii="Noto Sans" w:hAnsi="Noto Sans" w:eastAsia="Noto Sans CJK JP"/>
          <w:sz w:val="16"/>
        </w:rPr>
        <w:t xml:space="preserve">Japan Foundation — JF Standard Guidebook : progression des activités langagières et niveaux d’utilisateur expérimenté. </w:t>
      </w:r>
      <w:r>
        <w:rPr>
          <w:rFonts w:ascii="Noto Sans" w:hAnsi="Noto Sans" w:eastAsia="Noto Sans CJK JP"/>
          <w:color w:val="285578"/>
          <w:sz w:val="16"/>
        </w:rPr>
        <w:t>https://www.jfstandard.jpf.go.jp/pdf/web_whole_en.pdf</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eastAsia="Noto Sans CJK JP"/>
        <w:color w:val="787878"/>
        <w:sz w:val="16"/>
      </w:rPr>
      <w:t>Application japonais — Étape 7 : Autonomie avancée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CJK JP"/>
      <w:b/>
      <w:bCs/>
      <w:color w:val="19465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eastAsia="Noto Sans CJK JP"/>
      <w:b/>
      <w:bCs/>
      <w:color w:val="265A73"/>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eastAsia="Noto Sans CJK JP"/>
      <w:b/>
      <w:bCs/>
      <w:color w:val="3C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olor w:val="19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