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885" w:rsidRPr="004A2413" w:rsidRDefault="005B4EA6" w:rsidP="004A2413">
      <w:pPr>
        <w:jc w:val="center"/>
        <w:rPr>
          <w:b/>
          <w:sz w:val="24"/>
          <w:lang w:val="bg-BG"/>
        </w:rPr>
      </w:pPr>
      <w:r w:rsidRPr="004A2413">
        <w:rPr>
          <w:b/>
          <w:sz w:val="24"/>
          <w:lang w:val="bg-BG"/>
        </w:rPr>
        <w:t>Парична теория и парична политика</w:t>
      </w:r>
    </w:p>
    <w:p w:rsidR="005B4EA6" w:rsidRDefault="005B4EA6">
      <w:r>
        <w:rPr>
          <w:lang w:val="bg-BG"/>
        </w:rPr>
        <w:t xml:space="preserve">Гл. Ас. Д-р Гергана Михайлова – </w:t>
      </w:r>
      <w:hyperlink r:id="rId6" w:history="1">
        <w:r w:rsidRPr="005374C3">
          <w:rPr>
            <w:rStyle w:val="a3"/>
          </w:rPr>
          <w:t>gerym@abv.bg</w:t>
        </w:r>
      </w:hyperlink>
    </w:p>
    <w:p w:rsidR="005B4EA6" w:rsidRDefault="006A5C5B">
      <w:pPr>
        <w:rPr>
          <w:lang w:val="bg-BG"/>
        </w:rPr>
      </w:pPr>
      <w:r>
        <w:rPr>
          <w:lang w:val="bg-BG"/>
        </w:rPr>
        <w:t>Учебник - Пари, банки, кредит на Милети Младенов</w:t>
      </w:r>
    </w:p>
    <w:p w:rsidR="006A5C5B" w:rsidRDefault="006A5C5B">
      <w:r>
        <w:t xml:space="preserve">The economics of money, banking and financial markets – </w:t>
      </w:r>
      <w:proofErr w:type="spellStart"/>
      <w:r>
        <w:t>Mishkin</w:t>
      </w:r>
      <w:proofErr w:type="spellEnd"/>
    </w:p>
    <w:p w:rsidR="006A5C5B" w:rsidRPr="006A5C5B" w:rsidRDefault="006A5C5B"/>
    <w:p w:rsidR="005B4EA6" w:rsidRPr="004A2413" w:rsidRDefault="005B4EA6" w:rsidP="004A2413">
      <w:pPr>
        <w:jc w:val="center"/>
        <w:rPr>
          <w:b/>
          <w:lang w:val="bg-BG"/>
        </w:rPr>
      </w:pPr>
      <w:r w:rsidRPr="004A2413">
        <w:rPr>
          <w:b/>
          <w:lang w:val="bg-BG"/>
        </w:rPr>
        <w:t>Пари, парична маса и стойност на парите</w:t>
      </w:r>
    </w:p>
    <w:p w:rsidR="004A2413" w:rsidRDefault="004A2413"/>
    <w:p w:rsidR="005B4EA6" w:rsidRDefault="005B4EA6">
      <w:pPr>
        <w:rPr>
          <w:lang w:val="bg-BG"/>
        </w:rPr>
      </w:pPr>
      <w:r>
        <w:rPr>
          <w:lang w:val="bg-BG"/>
        </w:rPr>
        <w:t>Механизми за разпределение на нац. продукт:</w:t>
      </w:r>
    </w:p>
    <w:p w:rsidR="005B4EA6" w:rsidRDefault="005B4EA6" w:rsidP="005B4EA6">
      <w:pPr>
        <w:pStyle w:val="a4"/>
        <w:numPr>
          <w:ilvl w:val="0"/>
          <w:numId w:val="1"/>
        </w:numPr>
        <w:rPr>
          <w:lang w:val="bg-BG"/>
        </w:rPr>
      </w:pPr>
      <w:r>
        <w:rPr>
          <w:lang w:val="bg-BG"/>
        </w:rPr>
        <w:t>Бартерна икономика – размяна на стоки и услуги от едни иконом. агенти срещу стоки и услуги, произведени от други иконом. агенти, трябва да има съвпадение на потребностите на двете страни</w:t>
      </w:r>
    </w:p>
    <w:p w:rsidR="005B4EA6" w:rsidRDefault="005B4EA6" w:rsidP="005B4EA6">
      <w:pPr>
        <w:pStyle w:val="a4"/>
        <w:numPr>
          <w:ilvl w:val="0"/>
          <w:numId w:val="1"/>
        </w:numPr>
        <w:rPr>
          <w:lang w:val="bg-BG"/>
        </w:rPr>
      </w:pPr>
      <w:r>
        <w:rPr>
          <w:lang w:val="bg-BG"/>
        </w:rPr>
        <w:t xml:space="preserve">Държавна купонна система </w:t>
      </w:r>
      <w:r w:rsidR="00C350FE">
        <w:rPr>
          <w:lang w:val="bg-BG"/>
        </w:rPr>
        <w:t>–</w:t>
      </w:r>
      <w:r>
        <w:rPr>
          <w:lang w:val="bg-BG"/>
        </w:rPr>
        <w:t xml:space="preserve"> </w:t>
      </w:r>
      <w:r w:rsidR="00C350FE">
        <w:rPr>
          <w:lang w:val="bg-BG"/>
        </w:rPr>
        <w:t>държавата определя кой и колко стоки и услуги да получи отделния икономически агент, но не всеки желае да придобие дадено количество от дадена стока или услуга</w:t>
      </w:r>
    </w:p>
    <w:p w:rsidR="00C350FE" w:rsidRDefault="00C350FE" w:rsidP="005B4EA6">
      <w:pPr>
        <w:pStyle w:val="a4"/>
        <w:numPr>
          <w:ilvl w:val="0"/>
          <w:numId w:val="1"/>
        </w:numPr>
        <w:rPr>
          <w:lang w:val="bg-BG"/>
        </w:rPr>
      </w:pPr>
      <w:r>
        <w:rPr>
          <w:lang w:val="bg-BG"/>
        </w:rPr>
        <w:t>Парична система – собствениците на ресурси получават паричен доход, който разменят за предпочитани от тях стоки и услуги, рязко снишаване на разходите за осъществяване на размяната</w:t>
      </w:r>
    </w:p>
    <w:p w:rsidR="00330D32" w:rsidRDefault="00330D32" w:rsidP="00170F28">
      <w:pPr>
        <w:jc w:val="center"/>
        <w:rPr>
          <w:lang w:val="bg-BG"/>
        </w:rPr>
      </w:pPr>
      <w:r>
        <w:rPr>
          <w:noProof/>
          <w:lang w:val="bg-BG" w:eastAsia="bg-BG"/>
        </w:rPr>
        <w:drawing>
          <wp:inline distT="0" distB="0" distL="0" distR="0" wp14:anchorId="6B9C58E1" wp14:editId="680AA8F8">
            <wp:extent cx="3286125" cy="1704975"/>
            <wp:effectExtent l="0" t="0" r="9525" b="9525"/>
            <wp:docPr id="1" name="Picture 1" descr="C:\Users\Andrey\Pictures\схема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y\Pictures\схема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1704975"/>
                    </a:xfrm>
                    <a:prstGeom prst="rect">
                      <a:avLst/>
                    </a:prstGeom>
                    <a:noFill/>
                    <a:ln>
                      <a:noFill/>
                    </a:ln>
                  </pic:spPr>
                </pic:pic>
              </a:graphicData>
            </a:graphic>
          </wp:inline>
        </w:drawing>
      </w:r>
    </w:p>
    <w:p w:rsidR="00DA1C07" w:rsidRPr="004A2413" w:rsidRDefault="00DA1C07" w:rsidP="00C350FE">
      <w:pPr>
        <w:rPr>
          <w:b/>
          <w:lang w:val="bg-BG"/>
        </w:rPr>
      </w:pPr>
      <w:r w:rsidRPr="004A2413">
        <w:rPr>
          <w:b/>
          <w:lang w:val="bg-BG"/>
        </w:rPr>
        <w:t>Разменно уравнение</w:t>
      </w:r>
    </w:p>
    <w:p w:rsidR="004A2413" w:rsidRPr="004A2413" w:rsidRDefault="004A2413" w:rsidP="00C350FE">
      <m:oMathPara>
        <m:oMathParaPr>
          <m:jc m:val="left"/>
        </m:oMathParaPr>
        <m:oMath>
          <m:r>
            <w:rPr>
              <w:rFonts w:ascii="Cambria Math" w:hAnsi="Cambria Math"/>
            </w:rPr>
            <m:t>m×v=p×q=y</m:t>
          </m:r>
        </m:oMath>
      </m:oMathPara>
    </w:p>
    <w:p w:rsidR="00C350FE" w:rsidRDefault="00C350FE" w:rsidP="00C350FE">
      <w:pPr>
        <w:rPr>
          <w:lang w:val="bg-BG"/>
        </w:rPr>
      </w:pPr>
      <w:r>
        <w:t xml:space="preserve">m – </w:t>
      </w:r>
      <w:r>
        <w:rPr>
          <w:lang w:val="bg-BG"/>
        </w:rPr>
        <w:t>количество пари в икономиката</w:t>
      </w:r>
    </w:p>
    <w:p w:rsidR="00C350FE" w:rsidRDefault="00C350FE" w:rsidP="00C350FE">
      <w:pPr>
        <w:rPr>
          <w:lang w:val="bg-BG"/>
        </w:rPr>
      </w:pPr>
      <w:r>
        <w:t xml:space="preserve">v – </w:t>
      </w:r>
      <w:r>
        <w:rPr>
          <w:lang w:val="bg-BG"/>
        </w:rPr>
        <w:t>средна скорост на парично обръщение</w:t>
      </w:r>
      <w:r>
        <w:t xml:space="preserve">, </w:t>
      </w:r>
      <w:r>
        <w:rPr>
          <w:lang w:val="bg-BG"/>
        </w:rPr>
        <w:t>която показва колко пъти паричната маса се обръща за даден период от време при финансирането на потока от номинален доход</w:t>
      </w:r>
      <w:r w:rsidR="006A5C5B">
        <w:rPr>
          <w:lang w:val="bg-BG"/>
        </w:rPr>
        <w:t xml:space="preserve"> (константа)</w:t>
      </w:r>
    </w:p>
    <w:p w:rsidR="00C350FE" w:rsidRDefault="00C350FE" w:rsidP="00C350FE">
      <w:pPr>
        <w:rPr>
          <w:lang w:val="bg-BG"/>
        </w:rPr>
      </w:pPr>
      <w:r>
        <w:t xml:space="preserve">p – </w:t>
      </w:r>
      <w:r>
        <w:rPr>
          <w:lang w:val="bg-BG"/>
        </w:rPr>
        <w:t>цени в икономиката</w:t>
      </w:r>
    </w:p>
    <w:p w:rsidR="00DA1C07" w:rsidRDefault="00C350FE" w:rsidP="00C350FE">
      <w:pPr>
        <w:rPr>
          <w:lang w:val="bg-BG"/>
        </w:rPr>
      </w:pPr>
      <w:r>
        <w:lastRenderedPageBreak/>
        <w:t xml:space="preserve">q </w:t>
      </w:r>
      <w:r>
        <w:rPr>
          <w:lang w:val="bg-BG"/>
        </w:rPr>
        <w:t>–</w:t>
      </w:r>
      <w:r w:rsidR="00DA1C07">
        <w:rPr>
          <w:lang w:val="bg-BG"/>
        </w:rPr>
        <w:t xml:space="preserve"> </w:t>
      </w:r>
      <w:proofErr w:type="gramStart"/>
      <w:r>
        <w:rPr>
          <w:lang w:val="bg-BG"/>
        </w:rPr>
        <w:t>количеството</w:t>
      </w:r>
      <w:proofErr w:type="gramEnd"/>
      <w:r>
        <w:rPr>
          <w:lang w:val="bg-BG"/>
        </w:rPr>
        <w:t xml:space="preserve"> крайно производство</w:t>
      </w:r>
    </w:p>
    <w:p w:rsidR="00C350FE" w:rsidRDefault="00C350FE" w:rsidP="00C350FE">
      <w:r>
        <w:t xml:space="preserve">y – </w:t>
      </w:r>
      <w:proofErr w:type="gramStart"/>
      <w:r>
        <w:rPr>
          <w:lang w:val="bg-BG"/>
        </w:rPr>
        <w:t>номиналната</w:t>
      </w:r>
      <w:proofErr w:type="gramEnd"/>
      <w:r>
        <w:rPr>
          <w:lang w:val="bg-BG"/>
        </w:rPr>
        <w:t xml:space="preserve"> стойност на крайното производство (БВП в номинално изражение)</w:t>
      </w:r>
    </w:p>
    <w:p w:rsidR="004A2413" w:rsidRDefault="004A2413" w:rsidP="00C350FE"/>
    <w:p w:rsidR="00C350FE" w:rsidRPr="004A2413" w:rsidRDefault="00C350FE" w:rsidP="00C350FE">
      <w:pPr>
        <w:rPr>
          <w:b/>
          <w:lang w:val="bg-BG"/>
        </w:rPr>
      </w:pPr>
      <w:r w:rsidRPr="004A2413">
        <w:rPr>
          <w:b/>
          <w:lang w:val="bg-BG"/>
        </w:rPr>
        <w:t>Какво са парите?</w:t>
      </w:r>
    </w:p>
    <w:p w:rsidR="00C350FE" w:rsidRDefault="00C350FE" w:rsidP="004A2413">
      <w:pPr>
        <w:spacing w:after="0"/>
        <w:rPr>
          <w:lang w:val="bg-BG"/>
        </w:rPr>
      </w:pPr>
      <w:r>
        <w:rPr>
          <w:lang w:val="bg-BG"/>
        </w:rPr>
        <w:t>Парите са общоприето средство за плащане или уреждане на дългове.</w:t>
      </w:r>
    </w:p>
    <w:p w:rsidR="00C350FE" w:rsidRDefault="00C350FE" w:rsidP="004A2413">
      <w:pPr>
        <w:spacing w:after="0"/>
        <w:rPr>
          <w:lang w:val="bg-BG"/>
        </w:rPr>
      </w:pPr>
      <w:r>
        <w:rPr>
          <w:lang w:val="bg-BG"/>
        </w:rPr>
        <w:t>Богатството е сувкупността от всички видове собственост</w:t>
      </w:r>
      <w:r w:rsidR="00656C44">
        <w:rPr>
          <w:lang w:val="bg-BG"/>
        </w:rPr>
        <w:t>, които служат за нейносто съхранение, т.е. включва не само налични пари, но и акции, облигации, недвижимо имущество и др.</w:t>
      </w:r>
    </w:p>
    <w:p w:rsidR="00656C44" w:rsidRDefault="00656C44" w:rsidP="004A2413">
      <w:pPr>
        <w:spacing w:after="0"/>
        <w:rPr>
          <w:lang w:val="bg-BG"/>
        </w:rPr>
      </w:pPr>
      <w:r>
        <w:rPr>
          <w:lang w:val="bg-BG"/>
        </w:rPr>
        <w:t>Доходът представлява паричен поток, получен за определен период от време (напр. заплата), докато парите са запас, те се натрупват във времето, измерват се като наличност.</w:t>
      </w:r>
    </w:p>
    <w:p w:rsidR="00656C44" w:rsidRPr="004A2413" w:rsidRDefault="00656C44" w:rsidP="00C350FE">
      <w:pPr>
        <w:rPr>
          <w:b/>
          <w:lang w:val="bg-BG"/>
        </w:rPr>
      </w:pPr>
      <w:r w:rsidRPr="004A2413">
        <w:rPr>
          <w:b/>
          <w:lang w:val="bg-BG"/>
        </w:rPr>
        <w:t>Функция на парите:</w:t>
      </w:r>
    </w:p>
    <w:p w:rsidR="00656C44" w:rsidRDefault="00656C44" w:rsidP="00656C44">
      <w:pPr>
        <w:pStyle w:val="a4"/>
        <w:numPr>
          <w:ilvl w:val="0"/>
          <w:numId w:val="2"/>
        </w:numPr>
        <w:rPr>
          <w:lang w:val="bg-BG"/>
        </w:rPr>
      </w:pPr>
      <w:r>
        <w:rPr>
          <w:lang w:val="bg-BG"/>
        </w:rPr>
        <w:t>Средство за размяна – използват се за размяна на стоки и услуги, чрез нея рязко се намаляват трансакционните разходи, която се изразява във времето, изразходвано за размяна на стоките и услугите. За да може една стока да изпълнява успешно тази функция е необходимо да притежава няколко качества:</w:t>
      </w:r>
    </w:p>
    <w:p w:rsidR="00656C44" w:rsidRDefault="00656C44" w:rsidP="00656C44">
      <w:pPr>
        <w:pStyle w:val="a4"/>
        <w:numPr>
          <w:ilvl w:val="0"/>
          <w:numId w:val="3"/>
        </w:numPr>
        <w:rPr>
          <w:lang w:val="bg-BG"/>
        </w:rPr>
      </w:pPr>
      <w:r>
        <w:rPr>
          <w:lang w:val="bg-BG"/>
        </w:rPr>
        <w:t>Тя трябва да е делима</w:t>
      </w:r>
    </w:p>
    <w:p w:rsidR="00656C44" w:rsidRDefault="00656C44" w:rsidP="00656C44">
      <w:pPr>
        <w:pStyle w:val="a4"/>
        <w:numPr>
          <w:ilvl w:val="0"/>
          <w:numId w:val="3"/>
        </w:numPr>
        <w:rPr>
          <w:lang w:val="bg-BG"/>
        </w:rPr>
      </w:pPr>
      <w:r>
        <w:rPr>
          <w:lang w:val="bg-BG"/>
        </w:rPr>
        <w:t>Да е лесно преносима</w:t>
      </w:r>
    </w:p>
    <w:p w:rsidR="00656C44" w:rsidRDefault="00656C44" w:rsidP="00656C44">
      <w:pPr>
        <w:pStyle w:val="a4"/>
        <w:numPr>
          <w:ilvl w:val="0"/>
          <w:numId w:val="3"/>
        </w:numPr>
        <w:rPr>
          <w:lang w:val="bg-BG"/>
        </w:rPr>
      </w:pPr>
      <w:r>
        <w:rPr>
          <w:lang w:val="bg-BG"/>
        </w:rPr>
        <w:t>Да е общоприета</w:t>
      </w:r>
    </w:p>
    <w:p w:rsidR="00656C44" w:rsidRDefault="00656C44" w:rsidP="00656C44">
      <w:pPr>
        <w:pStyle w:val="a4"/>
        <w:numPr>
          <w:ilvl w:val="0"/>
          <w:numId w:val="3"/>
        </w:numPr>
        <w:rPr>
          <w:lang w:val="bg-BG"/>
        </w:rPr>
      </w:pPr>
      <w:r>
        <w:rPr>
          <w:lang w:val="bg-BG"/>
        </w:rPr>
        <w:t>Да не се разваля бързо</w:t>
      </w:r>
    </w:p>
    <w:p w:rsidR="00656C44" w:rsidRDefault="00656C44" w:rsidP="00656C44">
      <w:pPr>
        <w:pStyle w:val="a4"/>
        <w:numPr>
          <w:ilvl w:val="0"/>
          <w:numId w:val="2"/>
        </w:numPr>
        <w:rPr>
          <w:lang w:val="bg-BG"/>
        </w:rPr>
      </w:pPr>
      <w:r>
        <w:rPr>
          <w:lang w:val="bg-BG"/>
        </w:rPr>
        <w:t>Разчетно средство – служи за измерване на стойността на стоки и услуги</w:t>
      </w:r>
    </w:p>
    <w:p w:rsidR="00656C44" w:rsidRDefault="00656C44" w:rsidP="00656C44">
      <w:pPr>
        <w:pStyle w:val="a4"/>
        <w:numPr>
          <w:ilvl w:val="0"/>
          <w:numId w:val="2"/>
        </w:numPr>
        <w:rPr>
          <w:lang w:val="bg-BG"/>
        </w:rPr>
      </w:pPr>
      <w:r>
        <w:rPr>
          <w:lang w:val="bg-BG"/>
        </w:rPr>
        <w:t>Средство за съхранение на стойността – служи за съхранение на стойността във времето</w:t>
      </w:r>
    </w:p>
    <w:p w:rsidR="00656C44" w:rsidRDefault="00656C44" w:rsidP="00656C44">
      <w:pPr>
        <w:rPr>
          <w:lang w:val="bg-BG"/>
        </w:rPr>
      </w:pPr>
      <w:r>
        <w:rPr>
          <w:lang w:val="bg-BG"/>
        </w:rPr>
        <w:t>Парите притежават качеството ликвидност, което се изразява в бързината, с която един актив може да бъде превърнат в ликвидност.</w:t>
      </w:r>
    </w:p>
    <w:p w:rsidR="006A5C5B" w:rsidRPr="006A5C5B" w:rsidRDefault="006A5C5B" w:rsidP="006A5C5B">
      <w:pPr>
        <w:pStyle w:val="a4"/>
        <w:numPr>
          <w:ilvl w:val="0"/>
          <w:numId w:val="2"/>
        </w:numPr>
        <w:rPr>
          <w:lang w:val="bg-BG"/>
        </w:rPr>
      </w:pPr>
      <w:r>
        <w:rPr>
          <w:lang w:val="bg-BG"/>
        </w:rPr>
        <w:t>Стандарт за отложени плащания – могат да се отпускат кредити, които да се връщат след определен период от време</w:t>
      </w:r>
    </w:p>
    <w:p w:rsidR="006A5C5B" w:rsidRPr="004A2413" w:rsidRDefault="006A5C5B" w:rsidP="006A5C5B">
      <w:pPr>
        <w:rPr>
          <w:b/>
          <w:lang w:val="bg-BG"/>
        </w:rPr>
      </w:pPr>
      <w:r w:rsidRPr="004A2413">
        <w:rPr>
          <w:b/>
          <w:lang w:val="bg-BG"/>
        </w:rPr>
        <w:t>Парични стандарти</w:t>
      </w:r>
    </w:p>
    <w:p w:rsidR="006A5C5B" w:rsidRDefault="006A5C5B" w:rsidP="004A2413">
      <w:pPr>
        <w:spacing w:after="0"/>
        <w:rPr>
          <w:lang w:val="bg-BG"/>
        </w:rPr>
      </w:pPr>
      <w:r>
        <w:rPr>
          <w:lang w:val="bg-BG"/>
        </w:rPr>
        <w:t>Паричните стандарти са ситема от правила, които очертават характера на парите в обръщение в дадена държава или общност от държави дефинират начина на определяне на тяхната стойност, определят институциите, които емитират пари и регулират паричното предлагане.</w:t>
      </w:r>
    </w:p>
    <w:p w:rsidR="006A5C5B" w:rsidRDefault="006A5C5B" w:rsidP="004A2413">
      <w:pPr>
        <w:spacing w:after="0"/>
        <w:rPr>
          <w:lang w:val="bg-BG"/>
        </w:rPr>
      </w:pPr>
      <w:r>
        <w:rPr>
          <w:lang w:val="bg-BG"/>
        </w:rPr>
        <w:t xml:space="preserve">В исторически план съществуват стокови, кредитни и книжни пари. </w:t>
      </w:r>
    </w:p>
    <w:p w:rsidR="00330D32" w:rsidRDefault="00330D32" w:rsidP="004A2413">
      <w:pPr>
        <w:spacing w:after="0"/>
        <w:rPr>
          <w:lang w:val="bg-BG"/>
        </w:rPr>
      </w:pPr>
      <w:r>
        <w:rPr>
          <w:lang w:val="bg-BG"/>
        </w:rPr>
        <w:t>Представител на стоковия стандарт е златният стандарт. При него държавата определя паричната единица като дадено количество злато и оставя това количество пари автоматично да се определя от количеството злато в страната. От гледна точка на възможностите за дискреционно (по преценка) управление на паричното предлагане и на ценовата стабилност при златния стандарт паричното предлагане зависи от предлагането на злато в страната, което прави невъзможно дискреционното управление на паричното предлагане. При него съществува автоматичен механизъм за регулиране на инфлацията. При нарастване на ценовото ниво в икономиката</w:t>
      </w:r>
      <w:r w:rsidR="000F6468">
        <w:rPr>
          <w:lang w:val="bg-BG"/>
        </w:rPr>
        <w:t xml:space="preserve"> </w:t>
      </w:r>
      <w:r w:rsidR="000F6468">
        <w:rPr>
          <w:lang w:val="bg-BG"/>
        </w:rPr>
        <w:lastRenderedPageBreak/>
        <w:t xml:space="preserve">разходите за добив на злато нарастват, което кара мините да намаляват произведеното количество злато. </w:t>
      </w:r>
    </w:p>
    <w:p w:rsidR="000F6468" w:rsidRDefault="000F6468" w:rsidP="006A5C5B">
      <w:pPr>
        <w:rPr>
          <w:lang w:val="bg-BG"/>
        </w:rPr>
      </w:pPr>
      <w:r>
        <w:rPr>
          <w:lang w:val="bg-BG"/>
        </w:rPr>
        <w:t>При книжния стандарт съществуват специфични полици (банкноти), срещу които не стоят като обезпечение някакви стоки (злато, сребро или др. благородни метали). Книжните пари някъде се срещат и като фидуциарни пари.</w:t>
      </w:r>
    </w:p>
    <w:p w:rsidR="004A2413" w:rsidRDefault="004A2413" w:rsidP="006A5C5B"/>
    <w:p w:rsidR="000F6468" w:rsidRPr="004A2413" w:rsidRDefault="000F6468" w:rsidP="006A5C5B">
      <w:pPr>
        <w:rPr>
          <w:b/>
          <w:lang w:val="bg-BG"/>
        </w:rPr>
      </w:pPr>
      <w:r w:rsidRPr="004A2413">
        <w:rPr>
          <w:b/>
          <w:lang w:val="bg-BG"/>
        </w:rPr>
        <w:t>Парична система</w:t>
      </w:r>
    </w:p>
    <w:p w:rsidR="000F6468" w:rsidRDefault="000F6468" w:rsidP="006A5C5B">
      <w:pPr>
        <w:rPr>
          <w:lang w:val="bg-BG"/>
        </w:rPr>
      </w:pPr>
      <w:r>
        <w:rPr>
          <w:lang w:val="bg-BG"/>
        </w:rPr>
        <w:t>Тя обхваща реда и организацията на плащанията в една страна.</w:t>
      </w:r>
    </w:p>
    <w:p w:rsidR="000F6468" w:rsidRPr="004A2413" w:rsidRDefault="000F6468" w:rsidP="006A5C5B">
      <w:pPr>
        <w:rPr>
          <w:b/>
          <w:lang w:val="bg-BG"/>
        </w:rPr>
      </w:pPr>
      <w:r w:rsidRPr="004A2413">
        <w:rPr>
          <w:b/>
          <w:lang w:val="bg-BG"/>
        </w:rPr>
        <w:t>Дефиниране и измерване на паричната маса</w:t>
      </w:r>
    </w:p>
    <w:p w:rsidR="000F6468" w:rsidRDefault="000F6468" w:rsidP="006A5C5B">
      <w:pPr>
        <w:rPr>
          <w:lang w:val="bg-BG"/>
        </w:rPr>
      </w:pPr>
      <w:r>
        <w:rPr>
          <w:lang w:val="bg-BG"/>
        </w:rPr>
        <w:t>Съществуват 2 подхода за дефиниране на парите – теоретичен и емпиричен. Според теоретичния подход за пари се считат тези стоки, които могат да изпълняват функцията средство за размяна. Според емпиричния подход за пари се считат тези активи, които имат най-силна връзка с основните макроикономически променливи като икономически растеж, валутен курс, инфлация.</w:t>
      </w:r>
    </w:p>
    <w:p w:rsidR="000F6468" w:rsidRDefault="000F6468" w:rsidP="006A5C5B">
      <w:pPr>
        <w:rPr>
          <w:lang w:val="bg-BG"/>
        </w:rPr>
      </w:pPr>
      <w:r>
        <w:rPr>
          <w:lang w:val="bg-BG"/>
        </w:rPr>
        <w:t>Парите се дефинират чрез т.нар. парични агрегати в икономиката. В България съществуват 3 парични агрегата:</w:t>
      </w:r>
    </w:p>
    <w:p w:rsidR="000F6468" w:rsidRDefault="000F6468" w:rsidP="000F6468">
      <w:pPr>
        <w:pStyle w:val="a4"/>
        <w:numPr>
          <w:ilvl w:val="0"/>
          <w:numId w:val="4"/>
        </w:numPr>
        <w:rPr>
          <w:lang w:val="bg-BG"/>
        </w:rPr>
      </w:pPr>
      <w:r>
        <w:rPr>
          <w:lang w:val="bg-BG"/>
        </w:rPr>
        <w:t>М1 – тесни пари</w:t>
      </w:r>
    </w:p>
    <w:p w:rsidR="000F6468" w:rsidRDefault="000F6468" w:rsidP="000F6468">
      <w:pPr>
        <w:pStyle w:val="a4"/>
        <w:numPr>
          <w:ilvl w:val="0"/>
          <w:numId w:val="5"/>
        </w:numPr>
        <w:rPr>
          <w:lang w:val="bg-BG"/>
        </w:rPr>
      </w:pPr>
      <w:r>
        <w:rPr>
          <w:lang w:val="bg-BG"/>
        </w:rPr>
        <w:t>Пари извън парично-финансовите институции – парите в обръщение</w:t>
      </w:r>
      <w:r w:rsidR="00D53CF9">
        <w:rPr>
          <w:lang w:val="bg-BG"/>
        </w:rPr>
        <w:t xml:space="preserve"> минус парите в касите на парично-финансовите институции</w:t>
      </w:r>
    </w:p>
    <w:p w:rsidR="00D53CF9" w:rsidRDefault="00D53CF9" w:rsidP="000F6468">
      <w:pPr>
        <w:pStyle w:val="a4"/>
        <w:numPr>
          <w:ilvl w:val="0"/>
          <w:numId w:val="5"/>
        </w:numPr>
        <w:rPr>
          <w:lang w:val="bg-BG"/>
        </w:rPr>
      </w:pPr>
      <w:r>
        <w:rPr>
          <w:lang w:val="bg-BG"/>
        </w:rPr>
        <w:t>Овърнайт депозити – най-краткосрочните депозити. Те съдържат депозити, които нямат определен срок и могат незабавно да се обърнат в налични пари.</w:t>
      </w:r>
    </w:p>
    <w:p w:rsidR="00D53CF9" w:rsidRDefault="00D53CF9" w:rsidP="00D53CF9">
      <w:pPr>
        <w:pStyle w:val="a4"/>
        <w:numPr>
          <w:ilvl w:val="0"/>
          <w:numId w:val="4"/>
        </w:numPr>
        <w:rPr>
          <w:lang w:val="bg-BG"/>
        </w:rPr>
      </w:pPr>
      <w:r>
        <w:rPr>
          <w:lang w:val="bg-BG"/>
        </w:rPr>
        <w:t>М2 = М1 + квази пари*</w:t>
      </w:r>
    </w:p>
    <w:p w:rsidR="00D53CF9" w:rsidRDefault="00D53CF9" w:rsidP="00D53CF9">
      <w:pPr>
        <w:rPr>
          <w:lang w:val="bg-BG"/>
        </w:rPr>
      </w:pPr>
      <w:r>
        <w:rPr>
          <w:lang w:val="bg-BG"/>
        </w:rPr>
        <w:t>*квази пари:</w:t>
      </w:r>
    </w:p>
    <w:p w:rsidR="00D53CF9" w:rsidRDefault="00D53CF9" w:rsidP="00D53CF9">
      <w:pPr>
        <w:pStyle w:val="a4"/>
        <w:numPr>
          <w:ilvl w:val="0"/>
          <w:numId w:val="6"/>
        </w:numPr>
        <w:rPr>
          <w:lang w:val="bg-BG"/>
        </w:rPr>
      </w:pPr>
      <w:r>
        <w:rPr>
          <w:lang w:val="bg-BG"/>
        </w:rPr>
        <w:t>Депозити, договорени за ползване след предизвестие до 3 месеца</w:t>
      </w:r>
    </w:p>
    <w:p w:rsidR="00D53CF9" w:rsidRDefault="00D53CF9" w:rsidP="00D53CF9">
      <w:pPr>
        <w:pStyle w:val="a4"/>
        <w:numPr>
          <w:ilvl w:val="0"/>
          <w:numId w:val="6"/>
        </w:numPr>
        <w:rPr>
          <w:lang w:val="bg-BG"/>
        </w:rPr>
      </w:pPr>
      <w:r>
        <w:rPr>
          <w:lang w:val="bg-BG"/>
        </w:rPr>
        <w:t>Депозити с догововорен матуритет до 2 години</w:t>
      </w:r>
    </w:p>
    <w:p w:rsidR="00D53CF9" w:rsidRDefault="00D53CF9" w:rsidP="00D53CF9">
      <w:pPr>
        <w:pStyle w:val="a4"/>
        <w:numPr>
          <w:ilvl w:val="0"/>
          <w:numId w:val="4"/>
        </w:numPr>
        <w:rPr>
          <w:lang w:val="bg-BG"/>
        </w:rPr>
      </w:pPr>
      <w:r>
        <w:rPr>
          <w:lang w:val="bg-BG"/>
        </w:rPr>
        <w:t>М3 – широки пари = М2 + търгуеми финансови инструменти*</w:t>
      </w:r>
    </w:p>
    <w:p w:rsidR="00D53CF9" w:rsidRDefault="00D53CF9" w:rsidP="00D53CF9">
      <w:pPr>
        <w:rPr>
          <w:lang w:val="bg-BG"/>
        </w:rPr>
      </w:pPr>
      <w:r>
        <w:rPr>
          <w:lang w:val="bg-BG"/>
        </w:rPr>
        <w:t>*търгуеми финансови инструменти:</w:t>
      </w:r>
    </w:p>
    <w:p w:rsidR="00D53CF9" w:rsidRDefault="00D53CF9" w:rsidP="00D53CF9">
      <w:pPr>
        <w:pStyle w:val="a4"/>
        <w:numPr>
          <w:ilvl w:val="0"/>
          <w:numId w:val="7"/>
        </w:numPr>
        <w:rPr>
          <w:lang w:val="bg-BG"/>
        </w:rPr>
      </w:pPr>
      <w:r>
        <w:rPr>
          <w:lang w:val="bg-BG"/>
        </w:rPr>
        <w:t>Репо сделки – покупка на ДЦК в настоящия момент с ангажимент за тяхната продажба в един бъдещ момент</w:t>
      </w:r>
    </w:p>
    <w:p w:rsidR="00D53CF9" w:rsidRDefault="00D53CF9" w:rsidP="00D53CF9">
      <w:pPr>
        <w:pStyle w:val="a4"/>
        <w:numPr>
          <w:ilvl w:val="0"/>
          <w:numId w:val="7"/>
        </w:numPr>
        <w:rPr>
          <w:lang w:val="bg-BG"/>
        </w:rPr>
      </w:pPr>
      <w:r>
        <w:rPr>
          <w:lang w:val="bg-BG"/>
        </w:rPr>
        <w:t xml:space="preserve">Акции и дялове на фондове на паричния пазар </w:t>
      </w:r>
    </w:p>
    <w:p w:rsidR="00CB7AEE" w:rsidRDefault="00CB7AEE" w:rsidP="00D53CF9">
      <w:pPr>
        <w:pStyle w:val="a4"/>
        <w:numPr>
          <w:ilvl w:val="0"/>
          <w:numId w:val="7"/>
        </w:numPr>
        <w:rPr>
          <w:lang w:val="bg-BG"/>
        </w:rPr>
      </w:pPr>
      <w:r>
        <w:rPr>
          <w:lang w:val="bg-BG"/>
        </w:rPr>
        <w:t>Издадени дългови ценни книжа със срок до 2 години</w:t>
      </w:r>
    </w:p>
    <w:p w:rsidR="00CB7AEE" w:rsidRDefault="00CB7AEE" w:rsidP="00CB7AEE">
      <w:pPr>
        <w:rPr>
          <w:lang w:val="bg-BG"/>
        </w:rPr>
      </w:pPr>
      <w:r>
        <w:rPr>
          <w:lang w:val="bg-BG"/>
        </w:rPr>
        <w:t xml:space="preserve">Статистиеското отражение на паричните агрегати се намира в паричния отчет. Той обхваща т.нар. аналитични отчетности на търговските банки, както и аналитична отчетност на БНБ. Аналитичната отчетност представя по определен начин балансите на отделните търговски банки в страната. </w:t>
      </w:r>
      <w:r>
        <w:rPr>
          <w:lang w:val="bg-BG"/>
        </w:rPr>
        <w:lastRenderedPageBreak/>
        <w:t>Аналитичната отчетност на БНБ обхаваща баланс на управление емисионно и баланс на управление банково.</w:t>
      </w:r>
    </w:p>
    <w:p w:rsidR="00FE2F7F" w:rsidRDefault="00CB7AEE" w:rsidP="00CB7AEE">
      <w:pPr>
        <w:rPr>
          <w:lang w:val="bg-BG"/>
        </w:rPr>
      </w:pPr>
      <w:r>
        <w:rPr>
          <w:noProof/>
          <w:lang w:val="bg-BG" w:eastAsia="bg-BG"/>
        </w:rPr>
        <w:drawing>
          <wp:inline distT="0" distB="0" distL="0" distR="0">
            <wp:extent cx="6276975" cy="2667000"/>
            <wp:effectExtent l="19050" t="0" r="9525"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B7AEE" w:rsidRPr="004A2413" w:rsidRDefault="002519C2" w:rsidP="00FE2F7F">
      <w:pPr>
        <w:rPr>
          <w:b/>
          <w:lang w:val="bg-BG"/>
        </w:rPr>
      </w:pPr>
      <w:r w:rsidRPr="004A2413">
        <w:rPr>
          <w:b/>
          <w:lang w:val="bg-BG"/>
        </w:rPr>
        <w:t>Секторно отнощение:</w:t>
      </w:r>
    </w:p>
    <w:p w:rsidR="002519C2" w:rsidRDefault="002519C2" w:rsidP="002519C2">
      <w:pPr>
        <w:pStyle w:val="a4"/>
        <w:numPr>
          <w:ilvl w:val="0"/>
          <w:numId w:val="3"/>
        </w:numPr>
        <w:rPr>
          <w:lang w:val="bg-BG"/>
        </w:rPr>
      </w:pPr>
      <w:r w:rsidRPr="002519C2">
        <w:rPr>
          <w:lang w:val="bg-BG"/>
        </w:rPr>
        <w:t>Резидентен</w:t>
      </w:r>
      <w:r>
        <w:rPr>
          <w:lang w:val="bg-BG"/>
        </w:rPr>
        <w:t xml:space="preserve"> сектор – всички иконом. агенти, установени на територията на страната</w:t>
      </w:r>
    </w:p>
    <w:p w:rsidR="002519C2" w:rsidRDefault="002519C2" w:rsidP="002519C2">
      <w:pPr>
        <w:pStyle w:val="a4"/>
        <w:numPr>
          <w:ilvl w:val="0"/>
          <w:numId w:val="3"/>
        </w:numPr>
        <w:rPr>
          <w:lang w:val="bg-BG"/>
        </w:rPr>
      </w:pPr>
      <w:r>
        <w:rPr>
          <w:lang w:val="bg-BG"/>
        </w:rPr>
        <w:t>Нерезидентен сектор – останалия свят</w:t>
      </w:r>
    </w:p>
    <w:p w:rsidR="002519C2" w:rsidRDefault="002519C2" w:rsidP="002519C2">
      <w:pPr>
        <w:rPr>
          <w:lang w:val="bg-BG"/>
        </w:rPr>
      </w:pPr>
      <w:r>
        <w:rPr>
          <w:lang w:val="bg-BG"/>
        </w:rPr>
        <w:t>Резидентният сектор се дели на Централна банка и парично-финансови институции; централно правителство, местно правителство и социално-осигурителни фондове; небанкови финансови институции; нефинансови предприятия.</w:t>
      </w:r>
    </w:p>
    <w:p w:rsidR="002519C2" w:rsidRPr="004A2413" w:rsidRDefault="002519C2" w:rsidP="002519C2">
      <w:pPr>
        <w:rPr>
          <w:b/>
          <w:lang w:val="bg-BG"/>
        </w:rPr>
      </w:pPr>
      <w:r w:rsidRPr="004A2413">
        <w:rPr>
          <w:b/>
          <w:lang w:val="bg-BG"/>
        </w:rPr>
        <w:t>Аналитична отчетност на търговските банки:</w:t>
      </w:r>
    </w:p>
    <w:tbl>
      <w:tblPr>
        <w:tblStyle w:val="1-1"/>
        <w:tblW w:w="0" w:type="auto"/>
        <w:tblLook w:val="04A0" w:firstRow="1" w:lastRow="0" w:firstColumn="1" w:lastColumn="0" w:noHBand="0" w:noVBand="1"/>
      </w:tblPr>
      <w:tblGrid>
        <w:gridCol w:w="4788"/>
        <w:gridCol w:w="4788"/>
      </w:tblGrid>
      <w:tr w:rsidR="006E3C3C" w:rsidTr="004A2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E3C3C" w:rsidRPr="00866EF7" w:rsidRDefault="006E3C3C" w:rsidP="002519C2">
            <w:pPr>
              <w:rPr>
                <w:lang w:val="bg-BG"/>
              </w:rPr>
            </w:pPr>
            <w:r w:rsidRPr="00866EF7">
              <w:rPr>
                <w:lang w:val="bg-BG"/>
              </w:rPr>
              <w:t>Активи</w:t>
            </w:r>
          </w:p>
        </w:tc>
        <w:tc>
          <w:tcPr>
            <w:tcW w:w="4788" w:type="dxa"/>
          </w:tcPr>
          <w:p w:rsidR="006E3C3C" w:rsidRPr="00866EF7" w:rsidRDefault="006E3C3C" w:rsidP="002519C2">
            <w:pPr>
              <w:cnfStyle w:val="100000000000" w:firstRow="1" w:lastRow="0" w:firstColumn="0" w:lastColumn="0" w:oddVBand="0" w:evenVBand="0" w:oddHBand="0" w:evenHBand="0" w:firstRowFirstColumn="0" w:firstRowLastColumn="0" w:lastRowFirstColumn="0" w:lastRowLastColumn="0"/>
              <w:rPr>
                <w:lang w:val="bg-BG"/>
              </w:rPr>
            </w:pPr>
            <w:r w:rsidRPr="00866EF7">
              <w:rPr>
                <w:lang w:val="bg-BG"/>
              </w:rPr>
              <w:t>Пасиви</w:t>
            </w:r>
          </w:p>
        </w:tc>
      </w:tr>
      <w:tr w:rsidR="002519C2" w:rsidTr="004A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6" w:space="0" w:color="7BA0CD" w:themeColor="accent1" w:themeTint="BF"/>
              <w:right w:val="single" w:sz="6" w:space="0" w:color="7BA0CD" w:themeColor="accent1" w:themeTint="BF"/>
            </w:tcBorders>
          </w:tcPr>
          <w:p w:rsidR="002519C2" w:rsidRPr="00E32272" w:rsidRDefault="002519C2" w:rsidP="002519C2">
            <w:pPr>
              <w:rPr>
                <w:b w:val="0"/>
                <w:lang w:val="bg-BG"/>
              </w:rPr>
            </w:pPr>
            <w:r w:rsidRPr="00E32272">
              <w:rPr>
                <w:b w:val="0"/>
                <w:lang w:val="bg-BG"/>
              </w:rPr>
              <w:t>Нетни чуждестранни активи – разлика между чуждестранни активи (всички активи на ТБ в чужбина) и чуждестранни пасиви</w:t>
            </w:r>
          </w:p>
        </w:tc>
        <w:tc>
          <w:tcPr>
            <w:tcW w:w="4788" w:type="dxa"/>
            <w:tcBorders>
              <w:left w:val="single" w:sz="6" w:space="0" w:color="7BA0CD" w:themeColor="accent1" w:themeTint="BF"/>
              <w:bottom w:val="single" w:sz="6" w:space="0" w:color="7BA0CD" w:themeColor="accent1" w:themeTint="BF"/>
            </w:tcBorders>
          </w:tcPr>
          <w:p w:rsidR="002519C2" w:rsidRPr="006E3C3C" w:rsidRDefault="00E32272" w:rsidP="002519C2">
            <w:pPr>
              <w:cnfStyle w:val="000000100000" w:firstRow="0" w:lastRow="0" w:firstColumn="0" w:lastColumn="0" w:oddVBand="0" w:evenVBand="0" w:oddHBand="1" w:evenHBand="0" w:firstRowFirstColumn="0" w:firstRowLastColumn="0" w:lastRowFirstColumn="0" w:lastRowLastColumn="0"/>
              <w:rPr>
                <w:lang w:val="bg-BG"/>
              </w:rPr>
            </w:pPr>
            <w:r w:rsidRPr="006E3C3C">
              <w:rPr>
                <w:lang w:val="bg-BG"/>
              </w:rPr>
              <w:t>Задължения към БНБ</w:t>
            </w:r>
          </w:p>
        </w:tc>
      </w:tr>
      <w:tr w:rsidR="002519C2" w:rsidTr="004A24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6" w:space="0" w:color="7BA0CD" w:themeColor="accent1" w:themeTint="BF"/>
              <w:bottom w:val="single" w:sz="6" w:space="0" w:color="7BA0CD" w:themeColor="accent1" w:themeTint="BF"/>
              <w:right w:val="single" w:sz="6" w:space="0" w:color="7BA0CD" w:themeColor="accent1" w:themeTint="BF"/>
            </w:tcBorders>
          </w:tcPr>
          <w:p w:rsidR="002519C2" w:rsidRPr="00E32272" w:rsidRDefault="002519C2" w:rsidP="002519C2">
            <w:pPr>
              <w:rPr>
                <w:b w:val="0"/>
                <w:lang w:val="bg-BG"/>
              </w:rPr>
            </w:pPr>
            <w:r w:rsidRPr="00E32272">
              <w:rPr>
                <w:b w:val="0"/>
                <w:lang w:val="bg-BG"/>
              </w:rPr>
              <w:t>Резервни активи – минимални задължителни резерви (резерви, които се поддържат</w:t>
            </w:r>
            <w:r w:rsidR="00E32272" w:rsidRPr="00E32272">
              <w:rPr>
                <w:b w:val="0"/>
                <w:lang w:val="bg-BG"/>
              </w:rPr>
              <w:t>от ТБ</w:t>
            </w:r>
            <w:r w:rsidRPr="00E32272">
              <w:rPr>
                <w:b w:val="0"/>
                <w:lang w:val="bg-BG"/>
              </w:rPr>
              <w:t xml:space="preserve"> като % от всички привлечени  депозити</w:t>
            </w:r>
            <w:r w:rsidR="00E32272" w:rsidRPr="00E32272">
              <w:rPr>
                <w:b w:val="0"/>
                <w:lang w:val="bg-BG"/>
              </w:rPr>
              <w:t>), свръхрезерви, пари в каси на търговските банки</w:t>
            </w:r>
          </w:p>
        </w:tc>
        <w:tc>
          <w:tcPr>
            <w:tcW w:w="4788" w:type="dxa"/>
            <w:tcBorders>
              <w:top w:val="single" w:sz="6" w:space="0" w:color="7BA0CD" w:themeColor="accent1" w:themeTint="BF"/>
              <w:left w:val="single" w:sz="6" w:space="0" w:color="7BA0CD" w:themeColor="accent1" w:themeTint="BF"/>
              <w:bottom w:val="single" w:sz="6" w:space="0" w:color="7BA0CD" w:themeColor="accent1" w:themeTint="BF"/>
            </w:tcBorders>
          </w:tcPr>
          <w:p w:rsidR="002519C2" w:rsidRPr="00E32272" w:rsidRDefault="00E32272" w:rsidP="00E32272">
            <w:pPr>
              <w:cnfStyle w:val="000000010000" w:firstRow="0" w:lastRow="0" w:firstColumn="0" w:lastColumn="0" w:oddVBand="0" w:evenVBand="0" w:oddHBand="0" w:evenHBand="1" w:firstRowFirstColumn="0" w:firstRowLastColumn="0" w:lastRowFirstColumn="0" w:lastRowLastColumn="0"/>
              <w:rPr>
                <w:lang w:val="bg-BG"/>
              </w:rPr>
            </w:pPr>
            <w:r w:rsidRPr="00E32272">
              <w:rPr>
                <w:lang w:val="bg-BG"/>
              </w:rPr>
              <w:t>Парични пасиви, включени в паричната маса – овърнайт депозити, депозити с договорен матуритет до 2 години, депозити за ползването след предизвестие до 3 месеца, репо сделки, акции на фондове на паричния пазар, дългови ЦК до 2 години</w:t>
            </w:r>
          </w:p>
        </w:tc>
      </w:tr>
      <w:tr w:rsidR="002519C2" w:rsidTr="004A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6" w:space="0" w:color="7BA0CD" w:themeColor="accent1" w:themeTint="BF"/>
              <w:bottom w:val="single" w:sz="6" w:space="0" w:color="7BA0CD" w:themeColor="accent1" w:themeTint="BF"/>
              <w:right w:val="single" w:sz="6" w:space="0" w:color="7BA0CD" w:themeColor="accent1" w:themeTint="BF"/>
            </w:tcBorders>
          </w:tcPr>
          <w:p w:rsidR="002519C2" w:rsidRPr="00E32272" w:rsidRDefault="00E32272" w:rsidP="002519C2">
            <w:pPr>
              <w:rPr>
                <w:b w:val="0"/>
                <w:lang w:val="bg-BG"/>
              </w:rPr>
            </w:pPr>
            <w:r w:rsidRPr="00E32272">
              <w:rPr>
                <w:b w:val="0"/>
                <w:lang w:val="bg-BG"/>
              </w:rPr>
              <w:t>Вземания от правителствения сектор – кредити, ДЦК</w:t>
            </w:r>
          </w:p>
        </w:tc>
        <w:tc>
          <w:tcPr>
            <w:tcW w:w="4788" w:type="dxa"/>
            <w:tcBorders>
              <w:top w:val="single" w:sz="6" w:space="0" w:color="7BA0CD" w:themeColor="accent1" w:themeTint="BF"/>
              <w:left w:val="single" w:sz="6" w:space="0" w:color="7BA0CD" w:themeColor="accent1" w:themeTint="BF"/>
              <w:bottom w:val="single" w:sz="6" w:space="0" w:color="7BA0CD" w:themeColor="accent1" w:themeTint="BF"/>
            </w:tcBorders>
          </w:tcPr>
          <w:p w:rsidR="002519C2" w:rsidRPr="00E32272" w:rsidRDefault="00E32272" w:rsidP="002519C2">
            <w:pPr>
              <w:cnfStyle w:val="000000100000" w:firstRow="0" w:lastRow="0" w:firstColumn="0" w:lastColumn="0" w:oddVBand="0" w:evenVBand="0" w:oddHBand="1" w:evenHBand="0" w:firstRowFirstColumn="0" w:firstRowLastColumn="0" w:lastRowFirstColumn="0" w:lastRowLastColumn="0"/>
              <w:rPr>
                <w:lang w:val="bg-BG"/>
              </w:rPr>
            </w:pPr>
            <w:r w:rsidRPr="00E32272">
              <w:rPr>
                <w:lang w:val="bg-BG"/>
              </w:rPr>
              <w:t>Пасиви, невключени в паричната маса – депозити с договорен матуритет над 2 г., депозити за ползване след предизвестие над 3 месеца, дългови ценни книжа над 2 г.</w:t>
            </w:r>
          </w:p>
        </w:tc>
      </w:tr>
      <w:tr w:rsidR="002519C2" w:rsidTr="004A24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6" w:space="0" w:color="7BA0CD" w:themeColor="accent1" w:themeTint="BF"/>
              <w:bottom w:val="single" w:sz="6" w:space="0" w:color="7BA0CD" w:themeColor="accent1" w:themeTint="BF"/>
              <w:right w:val="single" w:sz="6" w:space="0" w:color="7BA0CD" w:themeColor="accent1" w:themeTint="BF"/>
            </w:tcBorders>
          </w:tcPr>
          <w:p w:rsidR="002519C2" w:rsidRPr="00E32272" w:rsidRDefault="00E32272" w:rsidP="002519C2">
            <w:pPr>
              <w:rPr>
                <w:b w:val="0"/>
                <w:lang w:val="bg-BG"/>
              </w:rPr>
            </w:pPr>
            <w:r w:rsidRPr="00E32272">
              <w:rPr>
                <w:b w:val="0"/>
                <w:lang w:val="bg-BG"/>
              </w:rPr>
              <w:t>Вземания от неправителствен сектор</w:t>
            </w:r>
          </w:p>
        </w:tc>
        <w:tc>
          <w:tcPr>
            <w:tcW w:w="4788" w:type="dxa"/>
            <w:tcBorders>
              <w:top w:val="single" w:sz="6" w:space="0" w:color="7BA0CD" w:themeColor="accent1" w:themeTint="BF"/>
              <w:left w:val="single" w:sz="6" w:space="0" w:color="7BA0CD" w:themeColor="accent1" w:themeTint="BF"/>
              <w:bottom w:val="single" w:sz="6" w:space="0" w:color="7BA0CD" w:themeColor="accent1" w:themeTint="BF"/>
            </w:tcBorders>
          </w:tcPr>
          <w:p w:rsidR="002519C2" w:rsidRPr="00E32272" w:rsidRDefault="00E32272" w:rsidP="002519C2">
            <w:pPr>
              <w:cnfStyle w:val="000000010000" w:firstRow="0" w:lastRow="0" w:firstColumn="0" w:lastColumn="0" w:oddVBand="0" w:evenVBand="0" w:oddHBand="0" w:evenHBand="1" w:firstRowFirstColumn="0" w:firstRowLastColumn="0" w:lastRowFirstColumn="0" w:lastRowLastColumn="0"/>
              <w:rPr>
                <w:lang w:val="bg-BG"/>
              </w:rPr>
            </w:pPr>
            <w:r w:rsidRPr="00E32272">
              <w:rPr>
                <w:lang w:val="bg-BG"/>
              </w:rPr>
              <w:t>Собствен капитал и резерви</w:t>
            </w:r>
          </w:p>
        </w:tc>
      </w:tr>
      <w:tr w:rsidR="002519C2" w:rsidTr="004A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6" w:space="0" w:color="7BA0CD" w:themeColor="accent1" w:themeTint="BF"/>
              <w:right w:val="single" w:sz="6" w:space="0" w:color="7BA0CD" w:themeColor="accent1" w:themeTint="BF"/>
            </w:tcBorders>
          </w:tcPr>
          <w:p w:rsidR="002519C2" w:rsidRPr="00E32272" w:rsidRDefault="00E32272" w:rsidP="002519C2">
            <w:pPr>
              <w:rPr>
                <w:b w:val="0"/>
                <w:lang w:val="bg-BG"/>
              </w:rPr>
            </w:pPr>
            <w:r w:rsidRPr="00E32272">
              <w:rPr>
                <w:b w:val="0"/>
                <w:lang w:val="bg-BG"/>
              </w:rPr>
              <w:t>Други активи</w:t>
            </w:r>
          </w:p>
        </w:tc>
        <w:tc>
          <w:tcPr>
            <w:tcW w:w="4788" w:type="dxa"/>
            <w:tcBorders>
              <w:top w:val="single" w:sz="6" w:space="0" w:color="7BA0CD" w:themeColor="accent1" w:themeTint="BF"/>
              <w:left w:val="single" w:sz="6" w:space="0" w:color="7BA0CD" w:themeColor="accent1" w:themeTint="BF"/>
            </w:tcBorders>
          </w:tcPr>
          <w:p w:rsidR="002519C2" w:rsidRPr="00E32272" w:rsidRDefault="002519C2" w:rsidP="002519C2">
            <w:pPr>
              <w:cnfStyle w:val="000000100000" w:firstRow="0" w:lastRow="0" w:firstColumn="0" w:lastColumn="0" w:oddVBand="0" w:evenVBand="0" w:oddHBand="1" w:evenHBand="0" w:firstRowFirstColumn="0" w:firstRowLastColumn="0" w:lastRowFirstColumn="0" w:lastRowLastColumn="0"/>
              <w:rPr>
                <w:lang w:val="bg-BG"/>
              </w:rPr>
            </w:pPr>
          </w:p>
        </w:tc>
      </w:tr>
    </w:tbl>
    <w:p w:rsidR="002519C2" w:rsidRDefault="002519C2" w:rsidP="002519C2">
      <w:pPr>
        <w:rPr>
          <w:lang w:val="bg-BG"/>
        </w:rPr>
      </w:pPr>
    </w:p>
    <w:p w:rsidR="00E32272" w:rsidRPr="004A2413" w:rsidRDefault="00E32272" w:rsidP="002519C2">
      <w:pPr>
        <w:rPr>
          <w:b/>
          <w:lang w:val="bg-BG"/>
        </w:rPr>
      </w:pPr>
      <w:r w:rsidRPr="004A2413">
        <w:rPr>
          <w:b/>
          <w:lang w:val="bg-BG"/>
        </w:rPr>
        <w:lastRenderedPageBreak/>
        <w:t>Аналитична отчетност на БНБ</w:t>
      </w:r>
    </w:p>
    <w:tbl>
      <w:tblPr>
        <w:tblStyle w:val="1-1"/>
        <w:tblW w:w="0" w:type="auto"/>
        <w:tblLook w:val="04A0" w:firstRow="1" w:lastRow="0" w:firstColumn="1" w:lastColumn="0" w:noHBand="0" w:noVBand="1"/>
      </w:tblPr>
      <w:tblGrid>
        <w:gridCol w:w="4788"/>
        <w:gridCol w:w="4788"/>
      </w:tblGrid>
      <w:tr w:rsidR="006E3C3C" w:rsidTr="004A2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E3C3C" w:rsidRDefault="006E3C3C" w:rsidP="002519C2">
            <w:pPr>
              <w:rPr>
                <w:lang w:val="bg-BG"/>
              </w:rPr>
            </w:pPr>
            <w:r>
              <w:rPr>
                <w:lang w:val="bg-BG"/>
              </w:rPr>
              <w:t>Активи</w:t>
            </w:r>
          </w:p>
        </w:tc>
        <w:tc>
          <w:tcPr>
            <w:tcW w:w="4788" w:type="dxa"/>
          </w:tcPr>
          <w:p w:rsidR="006E3C3C" w:rsidRDefault="006E3C3C" w:rsidP="002519C2">
            <w:pPr>
              <w:cnfStyle w:val="100000000000" w:firstRow="1" w:lastRow="0" w:firstColumn="0" w:lastColumn="0" w:oddVBand="0" w:evenVBand="0" w:oddHBand="0" w:evenHBand="0" w:firstRowFirstColumn="0" w:firstRowLastColumn="0" w:lastRowFirstColumn="0" w:lastRowLastColumn="0"/>
              <w:rPr>
                <w:lang w:val="bg-BG"/>
              </w:rPr>
            </w:pPr>
            <w:r>
              <w:rPr>
                <w:lang w:val="bg-BG"/>
              </w:rPr>
              <w:t>Пасиви</w:t>
            </w:r>
          </w:p>
        </w:tc>
      </w:tr>
      <w:tr w:rsidR="00E32272" w:rsidTr="004A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32272" w:rsidRPr="006E3C3C" w:rsidRDefault="00E32272" w:rsidP="002519C2">
            <w:pPr>
              <w:rPr>
                <w:b w:val="0"/>
                <w:lang w:val="bg-BG"/>
              </w:rPr>
            </w:pPr>
            <w:r w:rsidRPr="006E3C3C">
              <w:rPr>
                <w:b w:val="0"/>
                <w:lang w:val="bg-BG"/>
              </w:rPr>
              <w:t>Нетни чуждестранни активи</w:t>
            </w:r>
          </w:p>
        </w:tc>
        <w:tc>
          <w:tcPr>
            <w:tcW w:w="4788" w:type="dxa"/>
          </w:tcPr>
          <w:p w:rsidR="00E32272" w:rsidRDefault="006E3C3C" w:rsidP="002519C2">
            <w:pPr>
              <w:cnfStyle w:val="000000100000" w:firstRow="0" w:lastRow="0" w:firstColumn="0" w:lastColumn="0" w:oddVBand="0" w:evenVBand="0" w:oddHBand="1" w:evenHBand="0" w:firstRowFirstColumn="0" w:firstRowLastColumn="0" w:lastRowFirstColumn="0" w:lastRowLastColumn="0"/>
              <w:rPr>
                <w:lang w:val="bg-BG"/>
              </w:rPr>
            </w:pPr>
            <w:r>
              <w:rPr>
                <w:lang w:val="bg-BG"/>
              </w:rPr>
              <w:t>Резервни пари (парична база) – включва пари в обръщение и депозити на ТБ (резерви)</w:t>
            </w:r>
          </w:p>
        </w:tc>
      </w:tr>
      <w:tr w:rsidR="00E32272" w:rsidTr="004A24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32272" w:rsidRPr="006E3C3C" w:rsidRDefault="00E32272" w:rsidP="002519C2">
            <w:pPr>
              <w:rPr>
                <w:b w:val="0"/>
                <w:lang w:val="bg-BG"/>
              </w:rPr>
            </w:pPr>
            <w:r w:rsidRPr="006E3C3C">
              <w:rPr>
                <w:b w:val="0"/>
                <w:lang w:val="bg-BG"/>
              </w:rPr>
              <w:t>Вземания от търговските банки</w:t>
            </w:r>
          </w:p>
        </w:tc>
        <w:tc>
          <w:tcPr>
            <w:tcW w:w="4788" w:type="dxa"/>
          </w:tcPr>
          <w:p w:rsidR="00E32272" w:rsidRDefault="006E3C3C" w:rsidP="002519C2">
            <w:pPr>
              <w:cnfStyle w:val="000000010000" w:firstRow="0" w:lastRow="0" w:firstColumn="0" w:lastColumn="0" w:oddVBand="0" w:evenVBand="0" w:oddHBand="0" w:evenHBand="1" w:firstRowFirstColumn="0" w:firstRowLastColumn="0" w:lastRowFirstColumn="0" w:lastRowLastColumn="0"/>
              <w:rPr>
                <w:lang w:val="bg-BG"/>
              </w:rPr>
            </w:pPr>
            <w:r>
              <w:rPr>
                <w:lang w:val="bg-BG"/>
              </w:rPr>
              <w:t>Парични пасиви (в паричните агрегати) – овърнайт депозиви и т.н. (както при при пасиви на ТБ</w:t>
            </w:r>
            <w:r w:rsidR="00866EF7">
              <w:rPr>
                <w:lang w:val="bg-BG"/>
              </w:rPr>
              <w:t>)</w:t>
            </w:r>
          </w:p>
        </w:tc>
      </w:tr>
      <w:tr w:rsidR="00E32272" w:rsidTr="004A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32272" w:rsidRPr="006E3C3C" w:rsidRDefault="006E3C3C" w:rsidP="002519C2">
            <w:pPr>
              <w:rPr>
                <w:b w:val="0"/>
                <w:lang w:val="bg-BG"/>
              </w:rPr>
            </w:pPr>
            <w:r w:rsidRPr="006E3C3C">
              <w:rPr>
                <w:b w:val="0"/>
                <w:lang w:val="bg-BG"/>
              </w:rPr>
              <w:t>Вземания от правителствен сектор, нето*</w:t>
            </w:r>
          </w:p>
        </w:tc>
        <w:tc>
          <w:tcPr>
            <w:tcW w:w="4788" w:type="dxa"/>
          </w:tcPr>
          <w:p w:rsidR="00E32272" w:rsidRDefault="006E3C3C" w:rsidP="002519C2">
            <w:pPr>
              <w:cnfStyle w:val="000000100000" w:firstRow="0" w:lastRow="0" w:firstColumn="0" w:lastColumn="0" w:oddVBand="0" w:evenVBand="0" w:oddHBand="1" w:evenHBand="0" w:firstRowFirstColumn="0" w:firstRowLastColumn="0" w:lastRowFirstColumn="0" w:lastRowLastColumn="0"/>
              <w:rPr>
                <w:lang w:val="bg-BG"/>
              </w:rPr>
            </w:pPr>
            <w:r>
              <w:rPr>
                <w:lang w:val="bg-BG"/>
              </w:rPr>
              <w:t>Пасиви, невключени в паричната маса – депозити над 2.г, депозити над 3 месеца</w:t>
            </w:r>
          </w:p>
        </w:tc>
      </w:tr>
      <w:tr w:rsidR="00E32272" w:rsidTr="004A24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32272" w:rsidRPr="006E3C3C" w:rsidRDefault="006E3C3C" w:rsidP="002519C2">
            <w:pPr>
              <w:rPr>
                <w:b w:val="0"/>
                <w:lang w:val="bg-BG"/>
              </w:rPr>
            </w:pPr>
            <w:r w:rsidRPr="006E3C3C">
              <w:rPr>
                <w:b w:val="0"/>
                <w:lang w:val="bg-BG"/>
              </w:rPr>
              <w:t>Вземания от неправителствен сектор – кредити, предоставени от ЦН на други сектори в икономиката</w:t>
            </w:r>
          </w:p>
        </w:tc>
        <w:tc>
          <w:tcPr>
            <w:tcW w:w="4788" w:type="dxa"/>
          </w:tcPr>
          <w:p w:rsidR="00E32272" w:rsidRDefault="006E3C3C" w:rsidP="002519C2">
            <w:pPr>
              <w:cnfStyle w:val="000000010000" w:firstRow="0" w:lastRow="0" w:firstColumn="0" w:lastColumn="0" w:oddVBand="0" w:evenVBand="0" w:oddHBand="0" w:evenHBand="1" w:firstRowFirstColumn="0" w:firstRowLastColumn="0" w:lastRowFirstColumn="0" w:lastRowLastColumn="0"/>
              <w:rPr>
                <w:lang w:val="bg-BG"/>
              </w:rPr>
            </w:pPr>
            <w:r>
              <w:rPr>
                <w:lang w:val="bg-BG"/>
              </w:rPr>
              <w:t>Собствен капитал и резерви</w:t>
            </w:r>
          </w:p>
        </w:tc>
      </w:tr>
      <w:tr w:rsidR="00E32272" w:rsidTr="004A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32272" w:rsidRPr="006E3C3C" w:rsidRDefault="006E3C3C" w:rsidP="002519C2">
            <w:pPr>
              <w:rPr>
                <w:b w:val="0"/>
                <w:lang w:val="bg-BG"/>
              </w:rPr>
            </w:pPr>
            <w:r w:rsidRPr="006E3C3C">
              <w:rPr>
                <w:b w:val="0"/>
                <w:lang w:val="bg-BG"/>
              </w:rPr>
              <w:t>Други активи</w:t>
            </w:r>
          </w:p>
        </w:tc>
        <w:tc>
          <w:tcPr>
            <w:tcW w:w="4788" w:type="dxa"/>
          </w:tcPr>
          <w:p w:rsidR="00E32272" w:rsidRDefault="00E32272" w:rsidP="002519C2">
            <w:pPr>
              <w:cnfStyle w:val="000000100000" w:firstRow="0" w:lastRow="0" w:firstColumn="0" w:lastColumn="0" w:oddVBand="0" w:evenVBand="0" w:oddHBand="1" w:evenHBand="0" w:firstRowFirstColumn="0" w:firstRowLastColumn="0" w:lastRowFirstColumn="0" w:lastRowLastColumn="0"/>
              <w:rPr>
                <w:lang w:val="bg-BG"/>
              </w:rPr>
            </w:pPr>
          </w:p>
        </w:tc>
      </w:tr>
    </w:tbl>
    <w:p w:rsidR="006E3C3C" w:rsidRDefault="006E3C3C" w:rsidP="002519C2">
      <w:pPr>
        <w:rPr>
          <w:lang w:val="bg-BG"/>
        </w:rPr>
      </w:pPr>
      <w:r>
        <w:rPr>
          <w:lang w:val="bg-BG"/>
        </w:rPr>
        <w:t>*вземанията на ЦБ от правителствения сектор са нетирани с депозита на централното правителство в БНБ (говори се за фискален резерв)</w:t>
      </w:r>
    </w:p>
    <w:p w:rsidR="006E3C3C" w:rsidRPr="004A2413" w:rsidRDefault="006E3C3C" w:rsidP="004A2413">
      <w:pPr>
        <w:spacing w:after="0"/>
        <w:rPr>
          <w:b/>
          <w:lang w:val="bg-BG"/>
        </w:rPr>
      </w:pPr>
      <w:r w:rsidRPr="004A2413">
        <w:rPr>
          <w:b/>
          <w:lang w:val="bg-BG"/>
        </w:rPr>
        <w:t>Нетните чуждестранни активи + нетните вътрешни активи =</w:t>
      </w:r>
      <w:r w:rsidR="004A2413">
        <w:rPr>
          <w:b/>
        </w:rPr>
        <w:t xml:space="preserve"> </w:t>
      </w:r>
      <w:r w:rsidRPr="004A2413">
        <w:rPr>
          <w:b/>
          <w:lang w:val="bg-BG"/>
        </w:rPr>
        <w:t>паричен агрегат М3 + дългосрочните пасиви</w:t>
      </w:r>
    </w:p>
    <w:p w:rsidR="006E3C3C" w:rsidRDefault="006E3C3C" w:rsidP="004A2413">
      <w:pPr>
        <w:spacing w:after="0"/>
        <w:rPr>
          <w:lang w:val="bg-BG"/>
        </w:rPr>
      </w:pPr>
      <w:r>
        <w:rPr>
          <w:lang w:val="bg-BG"/>
        </w:rPr>
        <w:t>Резервни пари = пари извън банките(пари в обръщаниебез пари в касите на ТБ) + банкови резерви</w:t>
      </w:r>
    </w:p>
    <w:p w:rsidR="00DA1C07" w:rsidRDefault="00DA1C07" w:rsidP="004A2413">
      <w:pPr>
        <w:spacing w:after="0"/>
        <w:rPr>
          <w:lang w:val="bg-BG"/>
        </w:rPr>
      </w:pPr>
      <w:r>
        <w:rPr>
          <w:lang w:val="bg-BG"/>
        </w:rPr>
        <w:t>Парите извън банките са парите в обръщение, намалени с парите в касите на търговските банки. Банковите резерви включват минимални задължителни резерви, свръхрезерви и пари в касите на търговските банки.</w:t>
      </w:r>
    </w:p>
    <w:p w:rsidR="004A2413" w:rsidRDefault="004A2413" w:rsidP="002519C2">
      <w:pPr>
        <w:rPr>
          <w:b/>
        </w:rPr>
      </w:pPr>
    </w:p>
    <w:p w:rsidR="00DA1C07" w:rsidRDefault="00DA1C07" w:rsidP="002519C2">
      <w:pPr>
        <w:rPr>
          <w:lang w:val="bg-BG"/>
        </w:rPr>
      </w:pPr>
      <w:r w:rsidRPr="004A2413">
        <w:rPr>
          <w:b/>
          <w:lang w:val="bg-BG"/>
        </w:rPr>
        <w:t>Задача:</w:t>
      </w:r>
      <w:r>
        <w:rPr>
          <w:lang w:val="bg-BG"/>
        </w:rPr>
        <w:t xml:space="preserve"> определете скоростта на парично обръщение ако номиналната стойност на произведения в страната БВП възлиза на 49 090 605 000 лв., а парите в икономиката, измерени чрез паричен агрегат М3, възлизат на 32 061 383 000 лв.</w:t>
      </w:r>
    </w:p>
    <w:p w:rsidR="00DA1C07" w:rsidRPr="004A2413" w:rsidRDefault="004A2413" w:rsidP="002519C2">
      <m:oMathPara>
        <m:oMathParaPr>
          <m:jc m:val="left"/>
        </m:oMathParaPr>
        <m:oMath>
          <m:r>
            <w:rPr>
              <w:rFonts w:ascii="Cambria Math" w:hAnsi="Cambria Math"/>
            </w:rPr>
            <m:t>m×v=y</m:t>
          </m:r>
        </m:oMath>
      </m:oMathPara>
    </w:p>
    <w:p w:rsidR="004A2413" w:rsidRPr="004A2413" w:rsidRDefault="004A2413" w:rsidP="002519C2">
      <m:oMathPara>
        <m:oMathParaPr>
          <m:jc m:val="left"/>
        </m:oMathParaPr>
        <m:oMath>
          <m:r>
            <w:rPr>
              <w:rFonts w:ascii="Cambria Math" w:hAnsi="Cambria Math"/>
            </w:rPr>
            <m:t>v=</m:t>
          </m:r>
          <m:f>
            <m:fPr>
              <m:ctrlPr>
                <w:rPr>
                  <w:rFonts w:ascii="Cambria Math" w:hAnsi="Cambria Math"/>
                  <w:i/>
                </w:rPr>
              </m:ctrlPr>
            </m:fPr>
            <m:num>
              <m:r>
                <w:rPr>
                  <w:rFonts w:ascii="Cambria Math" w:hAnsi="Cambria Math"/>
                </w:rPr>
                <m:t>y</m:t>
              </m:r>
            </m:num>
            <m:den>
              <m:r>
                <w:rPr>
                  <w:rFonts w:ascii="Cambria Math" w:hAnsi="Cambria Math"/>
                </w:rPr>
                <m:t>m</m:t>
              </m:r>
            </m:den>
          </m:f>
          <m:r>
            <w:rPr>
              <w:rFonts w:ascii="Cambria Math" w:hAnsi="Cambria Math"/>
            </w:rPr>
            <m:t>=</m:t>
          </m:r>
          <m:f>
            <m:fPr>
              <m:ctrlPr>
                <w:rPr>
                  <w:rFonts w:ascii="Cambria Math" w:hAnsi="Cambria Math"/>
                  <w:i/>
                </w:rPr>
              </m:ctrlPr>
            </m:fPr>
            <m:num>
              <m:r>
                <m:rPr>
                  <m:sty m:val="p"/>
                </m:rPr>
                <w:rPr>
                  <w:rFonts w:ascii="Cambria Math" w:hAnsi="Cambria Math"/>
                </w:rPr>
                <m:t>49 090 605 000</m:t>
              </m:r>
            </m:num>
            <m:den>
              <m:r>
                <m:rPr>
                  <m:sty m:val="p"/>
                </m:rPr>
                <w:rPr>
                  <w:rFonts w:ascii="Cambria Math" w:hAnsi="Cambria Math"/>
                </w:rPr>
                <m:t>32 061 383 000</m:t>
              </m:r>
            </m:den>
          </m:f>
        </m:oMath>
      </m:oMathPara>
    </w:p>
    <w:p w:rsidR="004A2413" w:rsidRDefault="004A2413" w:rsidP="002519C2">
      <w:pPr>
        <w:rPr>
          <w:b/>
        </w:rPr>
      </w:pPr>
    </w:p>
    <w:p w:rsidR="00DA1C07" w:rsidRDefault="00DA1C07" w:rsidP="002519C2">
      <w:pPr>
        <w:rPr>
          <w:lang w:val="bg-BG"/>
        </w:rPr>
      </w:pPr>
      <w:r w:rsidRPr="004A2413">
        <w:rPr>
          <w:b/>
          <w:lang w:val="bg-BG"/>
        </w:rPr>
        <w:t>Задача 2:</w:t>
      </w:r>
      <w:r>
        <w:rPr>
          <w:lang w:val="bg-BG"/>
        </w:rPr>
        <w:t xml:space="preserve"> определете стойността на паричните агрегати М1, М2 и М3, ако парите извън парично-финансовите институции </w:t>
      </w:r>
      <w:r w:rsidR="00866EF7">
        <w:rPr>
          <w:lang w:val="bg-BG"/>
        </w:rPr>
        <w:t xml:space="preserve">са </w:t>
      </w:r>
      <w:r>
        <w:rPr>
          <w:lang w:val="bg-BG"/>
        </w:rPr>
        <w:t>6 230 673 000 лв., депозитите с договорен матуритет до 2 г. възлизат на 13 137 175 000 лв., депозити, договорени за ползване след предизвестие до 3 месеца възлизат на 2 804 997 000 лв., търгуеми инструменти – 40 772 000 лв., депозити с договорен матуритет над 2 г.</w:t>
      </w:r>
      <w:r w:rsidR="00866EF7">
        <w:rPr>
          <w:lang w:val="bg-BG"/>
        </w:rPr>
        <w:t xml:space="preserve"> и депозити след предизвестие над 3 месеца – 976 198 000 лв., издадени дългови ценни книжа над 2 г. – 159 324 000 лв., овърнайт депозити – 9 847 766 000 лв.</w:t>
      </w:r>
    </w:p>
    <w:p w:rsidR="00866EF7" w:rsidRDefault="00866EF7" w:rsidP="002519C2">
      <w:pPr>
        <w:rPr>
          <w:lang w:val="bg-BG"/>
        </w:rPr>
      </w:pPr>
      <w:r>
        <w:rPr>
          <w:lang w:val="bg-BG"/>
        </w:rPr>
        <w:t>М1=6 230 673 000+9 847 766 000=16 078 439 000</w:t>
      </w:r>
    </w:p>
    <w:p w:rsidR="00866EF7" w:rsidRDefault="00866EF7" w:rsidP="002519C2">
      <w:pPr>
        <w:rPr>
          <w:lang w:val="bg-BG"/>
        </w:rPr>
      </w:pPr>
      <w:r>
        <w:rPr>
          <w:lang w:val="bg-BG"/>
        </w:rPr>
        <w:t>М2=М1+13 137 175 000+2 804 997 000=32 020 611 000</w:t>
      </w:r>
    </w:p>
    <w:p w:rsidR="00866EF7" w:rsidRDefault="00866EF7" w:rsidP="002519C2">
      <w:pPr>
        <w:rPr>
          <w:lang w:val="bg-BG"/>
        </w:rPr>
      </w:pPr>
      <w:r>
        <w:rPr>
          <w:lang w:val="bg-BG"/>
        </w:rPr>
        <w:lastRenderedPageBreak/>
        <w:t>М3=М2+40 772 000=32 061 383</w:t>
      </w:r>
      <w:r w:rsidR="0018252D">
        <w:rPr>
          <w:lang w:val="bg-BG"/>
        </w:rPr>
        <w:t> </w:t>
      </w:r>
      <w:r>
        <w:rPr>
          <w:lang w:val="bg-BG"/>
        </w:rPr>
        <w:t>000</w:t>
      </w:r>
    </w:p>
    <w:p w:rsidR="0018252D" w:rsidRDefault="0018252D" w:rsidP="002519C2">
      <w:pPr>
        <w:rPr>
          <w:lang w:val="bg-BG"/>
        </w:rPr>
      </w:pPr>
    </w:p>
    <w:p w:rsidR="0018252D" w:rsidRPr="004A2413" w:rsidRDefault="0018252D" w:rsidP="002519C2">
      <w:pPr>
        <w:rPr>
          <w:b/>
          <w:lang w:val="bg-BG"/>
        </w:rPr>
      </w:pPr>
      <w:r w:rsidRPr="004A2413">
        <w:rPr>
          <w:b/>
          <w:lang w:val="bg-BG"/>
        </w:rPr>
        <w:t>Понятия за лихвените проценти</w:t>
      </w:r>
    </w:p>
    <w:p w:rsidR="0018252D" w:rsidRDefault="0018252D" w:rsidP="002519C2">
      <w:pPr>
        <w:rPr>
          <w:lang w:val="bg-BG"/>
        </w:rPr>
      </w:pPr>
      <w:r>
        <w:rPr>
          <w:lang w:val="bg-BG"/>
        </w:rPr>
        <w:t>Дефиниция и зависимости с основни макроикономически величини.</w:t>
      </w:r>
    </w:p>
    <w:p w:rsidR="0018252D" w:rsidRDefault="0018252D" w:rsidP="002519C2">
      <w:pPr>
        <w:rPr>
          <w:lang w:val="bg-BG"/>
        </w:rPr>
      </w:pPr>
      <w:r>
        <w:rPr>
          <w:lang w:val="bg-BG"/>
        </w:rPr>
        <w:t>Лихвата е цена на парите, дадени на заем или възнаграждение за раздялата с ликвидност. Съществуват 4 причини за предоставяне на пари на заем:</w:t>
      </w:r>
    </w:p>
    <w:p w:rsidR="0018252D" w:rsidRDefault="0018252D" w:rsidP="0018252D">
      <w:pPr>
        <w:pStyle w:val="a4"/>
        <w:numPr>
          <w:ilvl w:val="0"/>
          <w:numId w:val="8"/>
        </w:numPr>
        <w:rPr>
          <w:lang w:val="bg-BG"/>
        </w:rPr>
      </w:pPr>
      <w:r>
        <w:rPr>
          <w:lang w:val="bg-BG"/>
        </w:rPr>
        <w:t>Чрез даване на заем се отлага текущо потребление</w:t>
      </w:r>
    </w:p>
    <w:p w:rsidR="0018252D" w:rsidRDefault="0018252D" w:rsidP="0018252D">
      <w:pPr>
        <w:pStyle w:val="a4"/>
        <w:numPr>
          <w:ilvl w:val="0"/>
          <w:numId w:val="8"/>
        </w:numPr>
        <w:rPr>
          <w:lang w:val="bg-BG"/>
        </w:rPr>
      </w:pPr>
      <w:r>
        <w:rPr>
          <w:lang w:val="bg-BG"/>
        </w:rPr>
        <w:t>Ако има възможност за използването на пари алтернативно, заемодателят ще изисква да получи поне същия доход, както и при алтернативната употреба</w:t>
      </w:r>
    </w:p>
    <w:p w:rsidR="0018252D" w:rsidRDefault="0018252D" w:rsidP="0018252D">
      <w:pPr>
        <w:pStyle w:val="a4"/>
        <w:numPr>
          <w:ilvl w:val="0"/>
          <w:numId w:val="8"/>
        </w:numPr>
        <w:rPr>
          <w:lang w:val="bg-BG"/>
        </w:rPr>
      </w:pPr>
      <w:r>
        <w:rPr>
          <w:lang w:val="bg-BG"/>
        </w:rPr>
        <w:t>При съществуване на риск от непогасяване, кредиторът поема този риск ако получи от кредита достатъчно печалба, която средно да покрива риска от евентуално невърнати дългове</w:t>
      </w:r>
    </w:p>
    <w:p w:rsidR="0018252D" w:rsidRDefault="0018252D" w:rsidP="0018252D">
      <w:pPr>
        <w:pStyle w:val="a4"/>
        <w:numPr>
          <w:ilvl w:val="0"/>
          <w:numId w:val="8"/>
        </w:numPr>
        <w:rPr>
          <w:lang w:val="bg-BG"/>
        </w:rPr>
      </w:pPr>
      <w:r>
        <w:rPr>
          <w:lang w:val="bg-BG"/>
        </w:rPr>
        <w:t>При инфлация лихвата компенсира до известа степен загубата на покупателна сила. Лихвата всъщност е прираст на дадената на заем главница, а лихвеният процент е отношение на лихвата към главницата</w:t>
      </w:r>
    </w:p>
    <w:p w:rsidR="0018252D" w:rsidRDefault="0018252D" w:rsidP="002317E5">
      <w:pPr>
        <w:spacing w:after="0"/>
        <w:rPr>
          <w:lang w:val="bg-BG"/>
        </w:rPr>
      </w:pPr>
      <w:r>
        <w:rPr>
          <w:lang w:val="bg-BG"/>
        </w:rPr>
        <w:t>Заем – 100 лв.</w:t>
      </w:r>
    </w:p>
    <w:p w:rsidR="0018252D" w:rsidRDefault="0018252D" w:rsidP="002317E5">
      <w:pPr>
        <w:spacing w:after="0"/>
        <w:rPr>
          <w:lang w:val="bg-BG"/>
        </w:rPr>
      </w:pPr>
      <w:r>
        <w:rPr>
          <w:lang w:val="bg-BG"/>
        </w:rPr>
        <w:t>След 5 месеца получаваме 110 лв.</w:t>
      </w:r>
    </w:p>
    <w:p w:rsidR="009645A7" w:rsidRDefault="009645A7" w:rsidP="002317E5">
      <w:pPr>
        <w:spacing w:after="0"/>
        <w:rPr>
          <w:lang w:val="bg-BG"/>
        </w:rPr>
      </w:pPr>
      <w:r>
        <w:rPr>
          <w:lang w:val="bg-BG"/>
        </w:rPr>
        <w:t>Лихвата е разликата между крайната сума и първоначалната сума – 10 лв.</w:t>
      </w:r>
    </w:p>
    <w:p w:rsidR="009645A7" w:rsidRPr="00BE73DE" w:rsidRDefault="004A2413" w:rsidP="0018252D">
      <m:oMathPara>
        <m:oMathParaPr>
          <m:jc m:val="left"/>
        </m:oMathParaPr>
        <m:oMath>
          <m:r>
            <w:rPr>
              <w:rFonts w:ascii="Cambria Math" w:hAnsi="Cambria Math"/>
            </w:rPr>
            <m:t>лихва=</m:t>
          </m:r>
          <m:f>
            <m:fPr>
              <m:ctrlPr>
                <w:rPr>
                  <w:rFonts w:ascii="Cambria Math" w:hAnsi="Cambria Math"/>
                  <w:i/>
                </w:rPr>
              </m:ctrlPr>
            </m:fPr>
            <m:num>
              <m:r>
                <w:rPr>
                  <w:rFonts w:ascii="Cambria Math" w:hAnsi="Cambria Math"/>
                </w:rPr>
                <m:t>лихва</m:t>
              </m:r>
            </m:num>
            <m:den>
              <m:r>
                <w:rPr>
                  <w:rFonts w:ascii="Cambria Math" w:hAnsi="Cambria Math"/>
                </w:rPr>
                <m:t>главница</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100</m:t>
              </m:r>
            </m:den>
          </m:f>
          <m:r>
            <w:rPr>
              <w:rFonts w:ascii="Cambria Math" w:hAnsi="Cambria Math"/>
            </w:rPr>
            <m:t>=0,1→10%</m:t>
          </m:r>
        </m:oMath>
      </m:oMathPara>
    </w:p>
    <w:p w:rsidR="009645A7" w:rsidRDefault="009645A7" w:rsidP="002317E5">
      <w:pPr>
        <w:spacing w:after="0"/>
        <w:rPr>
          <w:lang w:val="bg-BG"/>
        </w:rPr>
      </w:pPr>
      <w:r>
        <w:rPr>
          <w:lang w:val="bg-BG"/>
        </w:rPr>
        <w:t>Лихва в края на март – 10%</w:t>
      </w:r>
    </w:p>
    <w:p w:rsidR="009645A7" w:rsidRDefault="009645A7" w:rsidP="002317E5">
      <w:pPr>
        <w:spacing w:after="0"/>
        <w:rPr>
          <w:lang w:val="bg-BG"/>
        </w:rPr>
      </w:pPr>
      <w:r>
        <w:rPr>
          <w:lang w:val="bg-BG"/>
        </w:rPr>
        <w:t>Лихва в края на април – 10,3%</w:t>
      </w:r>
    </w:p>
    <w:p w:rsidR="009645A7" w:rsidRDefault="009645A7" w:rsidP="002317E5">
      <w:pPr>
        <w:spacing w:after="0"/>
      </w:pPr>
      <w:r>
        <w:rPr>
          <w:lang w:val="bg-BG"/>
        </w:rPr>
        <w:t>Разликата е 0,3 процентни пункта!</w:t>
      </w:r>
    </w:p>
    <w:p w:rsidR="002317E5" w:rsidRPr="002317E5" w:rsidRDefault="002317E5" w:rsidP="002317E5">
      <w:pPr>
        <w:spacing w:after="0"/>
      </w:pPr>
    </w:p>
    <w:p w:rsidR="009645A7" w:rsidRDefault="009645A7" w:rsidP="0018252D">
      <w:pPr>
        <w:rPr>
          <w:lang w:val="bg-BG"/>
        </w:rPr>
      </w:pPr>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53340</wp:posOffset>
                </wp:positionV>
                <wp:extent cx="76200" cy="66675"/>
                <wp:effectExtent l="0" t="0" r="19050" b="28575"/>
                <wp:wrapNone/>
                <wp:docPr id="4" name="Isosceles Triangle 4"/>
                <wp:cNvGraphicFramePr/>
                <a:graphic xmlns:a="http://schemas.openxmlformats.org/drawingml/2006/main">
                  <a:graphicData uri="http://schemas.microsoft.com/office/word/2010/wordprocessingShape">
                    <wps:wsp>
                      <wps:cNvSpPr/>
                      <wps:spPr>
                        <a:xfrm>
                          <a:off x="0" y="0"/>
                          <a:ext cx="76200" cy="666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0;margin-top:4.2pt;width:6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O8NdgIAAEMFAAAOAAAAZHJzL2Uyb0RvYy54bWysVMFu2zAMvQ/YPwi6r06CNN2COkWQokOB&#10;oi2WDj2rshQLkEWNUuJkXz9KdpyiLXYYloMimeQj+fSoy6t9Y9lOYTDgSj4+G3GmnITKuE3Jfz7d&#10;fPnKWYjCVcKCUyU/qMCvFp8/XbZ+riZQg60UMgJxYd76ktcx+nlRBFmrRoQz8MqRUQM2ItIRN0WF&#10;oiX0xhaT0WhWtICVR5AqBPp63Rn5IuNrrWR80DqoyGzJqbaYV8zrS1qLxaWYb1D42si+DPEPVTTC&#10;OEo6QF2LKNgWzTuoxkiEADqeSWgK0NpIlXugbsajN92sa+FV7oXICX6gKfw/WHm/e0RmqpJPOXOi&#10;oSu6DRCksiqwJzTCbaxi08RT68Oc3Nf+EftToG1qeq+xSf/UDttnbg8Dt2ofmaSPFzO6Ls4kWWaz&#10;2cV5QixOoR5D/K6gYWlT8thnzpyK3V2InfvRjWJTOV0BeRcPVqUarPuhNDVEKSc5OktJrSyynSAR&#10;CCmVi+POVItKdZ/PR/TraxoicoUZMCFrY+2A3QMkmb7H7mrt/VOoykocgkd/K6wLHiJyZnBxCG6M&#10;A/wIwFJXfebO/0hSR01i6QWqA103QjcHwcsbQ3zfiRAfBZLw6YZomOMDLdpCW3Lod5zVgL8/+p78&#10;SY9k5aylQSp5+LUVqDizt46U+m08nabJy4fp+cWEDvja8vLa4rbNCuiaxvRseJm3yT/a41YjNM80&#10;88uUlUzCScpdchnxeFjFbsDp1ZBqucxuNG1exDu39jKBJ1aTlp72zwL9UXSk1Xs4Dp2Yv9Fd55si&#10;HSy3EbTJojzx2vNNk5qF078q6Sl4fc5ep7dv8QcAAP//AwBQSwMEFAAGAAgAAAAhAIrNkL3XAAAA&#10;BAEAAA8AAABkcnMvZG93bnJldi54bWxMj8FOwzAQRO9I/IO1SNyokwqhJMSpqoreuNDyAdt4iQPx&#10;OsRuGv6e7QlOo9GsZt7Wm8UPaqYp9oEN5KsMFHEbbM+dgffj/qEAFROyxSEwGfihCJvm9qbGyoYL&#10;v9F8SJ2SEo4VGnApjZXWsXXkMa7CSCzZR5g8JrFTp+2EFyn3g15n2ZP22LMsOBxp56j9Opy9gVe3&#10;lHaXH4fPkvV3/uI7nPdbY+7vlu0zqERL+juGK76gQyNMp3BmG9VgQB5JBopHUNdwLfYkWpSgm1r/&#10;h29+AQAA//8DAFBLAQItABQABgAIAAAAIQC2gziS/gAAAOEBAAATAAAAAAAAAAAAAAAAAAAAAABb&#10;Q29udGVudF9UeXBlc10ueG1sUEsBAi0AFAAGAAgAAAAhADj9If/WAAAAlAEAAAsAAAAAAAAAAAAA&#10;AAAALwEAAF9yZWxzLy5yZWxzUEsBAi0AFAAGAAgAAAAhAHbE7w12AgAAQwUAAA4AAAAAAAAAAAAA&#10;AAAALgIAAGRycy9lMm9Eb2MueG1sUEsBAi0AFAAGAAgAAAAhAIrNkL3XAAAABAEAAA8AAAAAAAAA&#10;AAAAAAAA0AQAAGRycy9kb3ducmV2LnhtbFBLBQYAAAAABAAEAPMAAADUBQAAAAA=&#10;" fillcolor="#4f81bd [3204]" strokecolor="#243f60 [1604]" strokeweight="2pt"/>
            </w:pict>
          </mc:Fallback>
        </mc:AlternateContent>
      </w:r>
      <w:r>
        <w:rPr>
          <w:lang w:val="bg-BG"/>
        </w:rPr>
        <w:t xml:space="preserve">    Лихвен процент=лихва в края на периода – лихва в налото на периода=</w:t>
      </w:r>
      <w:r w:rsidRPr="002317E5">
        <w:rPr>
          <w:u w:val="single"/>
          <w:lang w:val="bg-BG"/>
        </w:rPr>
        <w:t>х процентни пункта</w:t>
      </w:r>
    </w:p>
    <w:p w:rsidR="009645A7" w:rsidRDefault="009645A7" w:rsidP="0018252D">
      <w:pPr>
        <w:rPr>
          <w:lang w:val="bg-BG"/>
        </w:rPr>
      </w:pPr>
    </w:p>
    <w:p w:rsidR="009645A7" w:rsidRDefault="009645A7" w:rsidP="0018252D">
      <w:pPr>
        <w:rPr>
          <w:lang w:val="bg-BG"/>
        </w:rPr>
      </w:pPr>
      <w:r w:rsidRPr="00DB4D46">
        <w:rPr>
          <w:b/>
          <w:lang w:val="bg-BG"/>
        </w:rPr>
        <w:t xml:space="preserve">Индекс Леониа </w:t>
      </w:r>
      <w:r>
        <w:rPr>
          <w:lang w:val="bg-BG"/>
        </w:rPr>
        <w:t>– справочен индекс за сключените и изпълнени сделки с овърнайт депозити в български лева. Въз основа на него се определя основния лихвен процент. В ЕС той се нарича Еониа.</w:t>
      </w:r>
    </w:p>
    <w:p w:rsidR="009645A7" w:rsidRPr="002317E5" w:rsidRDefault="009645A7" w:rsidP="0018252D">
      <w:pPr>
        <w:rPr>
          <w:b/>
          <w:lang w:val="bg-BG"/>
        </w:rPr>
      </w:pPr>
      <w:r w:rsidRPr="002317E5">
        <w:rPr>
          <w:b/>
          <w:lang w:val="bg-BG"/>
        </w:rPr>
        <w:t>Лихвеният процент влияе на няколко променливи:</w:t>
      </w:r>
    </w:p>
    <w:p w:rsidR="009645A7" w:rsidRDefault="00751003" w:rsidP="009645A7">
      <w:pPr>
        <w:pStyle w:val="a4"/>
        <w:numPr>
          <w:ilvl w:val="0"/>
          <w:numId w:val="9"/>
        </w:numPr>
        <w:rPr>
          <w:lang w:val="bg-BG"/>
        </w:rPr>
      </w:pPr>
      <w:r>
        <w:rPr>
          <w:lang w:val="bg-BG"/>
        </w:rPr>
        <w:t>И</w:t>
      </w:r>
      <w:r w:rsidR="009645A7">
        <w:rPr>
          <w:lang w:val="bg-BG"/>
        </w:rPr>
        <w:t>нвестициите</w:t>
      </w:r>
      <w:r>
        <w:rPr>
          <w:lang w:val="bg-BG"/>
        </w:rPr>
        <w:t xml:space="preserve"> – при нарастване на лихвения процент инвеститорите са склонни да заемат по-малко финансови ресурси за инвестирането в даден проект. Следователно инвестициите намаляват.</w:t>
      </w:r>
    </w:p>
    <w:p w:rsidR="00751003" w:rsidRDefault="00751003" w:rsidP="009645A7">
      <w:pPr>
        <w:pStyle w:val="a4"/>
        <w:numPr>
          <w:ilvl w:val="0"/>
          <w:numId w:val="9"/>
        </w:numPr>
        <w:rPr>
          <w:lang w:val="bg-BG"/>
        </w:rPr>
      </w:pPr>
      <w:r>
        <w:rPr>
          <w:lang w:val="bg-BG"/>
        </w:rPr>
        <w:t xml:space="preserve">Спестяванията – при нарастващ лихвен процент спетяванията на отделния индивид нарастват, но трябва да се отчете т.нар. парадокс на спестовността, изразяващ </w:t>
      </w:r>
      <w:r>
        <w:rPr>
          <w:lang w:val="bg-BG"/>
        </w:rPr>
        <w:lastRenderedPageBreak/>
        <w:t>противоречието между индивидуалните интереси и интересите на обществото като цяло</w:t>
      </w:r>
      <w:r w:rsidR="00F474E3">
        <w:rPr>
          <w:lang w:val="bg-BG"/>
        </w:rPr>
        <w:t>. Инвестициите се увеличават.</w:t>
      </w:r>
    </w:p>
    <w:p w:rsidR="00751003" w:rsidRDefault="00751003" w:rsidP="009645A7">
      <w:pPr>
        <w:pStyle w:val="a4"/>
        <w:numPr>
          <w:ilvl w:val="0"/>
          <w:numId w:val="9"/>
        </w:numPr>
        <w:rPr>
          <w:lang w:val="bg-BG"/>
        </w:rPr>
      </w:pPr>
      <w:r>
        <w:rPr>
          <w:lang w:val="bg-BG"/>
        </w:rPr>
        <w:t xml:space="preserve">Нетен експорт (външно-търговско салдо) – при нарастване на лихвените проценти атрактивността на депозитите в национална валута нараства, така бълг. </w:t>
      </w:r>
      <w:r w:rsidR="00F474E3">
        <w:rPr>
          <w:lang w:val="bg-BG"/>
        </w:rPr>
        <w:t>л</w:t>
      </w:r>
      <w:r>
        <w:rPr>
          <w:lang w:val="bg-BG"/>
        </w:rPr>
        <w:t>ев става по-ценен и валутния курс намалява (от 1,6 на 1,4 лв. за 1 долар)</w:t>
      </w:r>
      <w:r w:rsidR="00F474E3">
        <w:rPr>
          <w:lang w:val="bg-BG"/>
        </w:rPr>
        <w:t>, инвестициите се увеличават, износът намалява</w:t>
      </w:r>
    </w:p>
    <w:p w:rsidR="00F474E3" w:rsidRPr="00DB4D46" w:rsidRDefault="00F474E3" w:rsidP="00F474E3">
      <w:pPr>
        <w:rPr>
          <w:b/>
          <w:lang w:val="bg-BG"/>
        </w:rPr>
      </w:pPr>
      <w:r w:rsidRPr="00DB4D46">
        <w:rPr>
          <w:b/>
          <w:lang w:val="bg-BG"/>
        </w:rPr>
        <w:t>Измерване на лихвените проценти</w:t>
      </w:r>
    </w:p>
    <w:p w:rsidR="00F474E3" w:rsidRDefault="00F474E3" w:rsidP="00F474E3">
      <w:pPr>
        <w:pStyle w:val="a4"/>
        <w:numPr>
          <w:ilvl w:val="0"/>
          <w:numId w:val="10"/>
        </w:numPr>
        <w:rPr>
          <w:lang w:val="bg-BG"/>
        </w:rPr>
      </w:pPr>
      <w:r>
        <w:rPr>
          <w:lang w:val="bg-BG"/>
        </w:rPr>
        <w:t>Прост заем – при него заемодателят предоставя определено количество пари в началото на периода като в края на периода той получава главница плюс лихва.</w:t>
      </w:r>
    </w:p>
    <w:p w:rsidR="00F474E3" w:rsidRDefault="00F474E3" w:rsidP="00F474E3">
      <w:pPr>
        <w:pStyle w:val="a4"/>
        <w:numPr>
          <w:ilvl w:val="0"/>
          <w:numId w:val="10"/>
        </w:numPr>
        <w:rPr>
          <w:lang w:val="bg-BG"/>
        </w:rPr>
      </w:pPr>
      <w:r>
        <w:rPr>
          <w:lang w:val="bg-BG"/>
        </w:rPr>
        <w:t>Анюитетен заем – предоставя се определена сума за заем в първоаначалния момент, която се погасява за срока на заема чрез равни анюитетни погасителни вноски, включващи части от глваницата и лихвата.</w:t>
      </w:r>
    </w:p>
    <w:p w:rsidR="00F474E3" w:rsidRDefault="00F474E3" w:rsidP="00F474E3">
      <w:pPr>
        <w:pStyle w:val="a4"/>
        <w:numPr>
          <w:ilvl w:val="0"/>
          <w:numId w:val="10"/>
        </w:numPr>
        <w:rPr>
          <w:lang w:val="bg-BG"/>
        </w:rPr>
      </w:pPr>
      <w:r>
        <w:rPr>
          <w:lang w:val="bg-BG"/>
        </w:rPr>
        <w:t>Купонова облигация – носи на собственика си фиксирано плащане (купоново) всяка година до датата на падежа, когато се плаща определена крайна сума (номинал). Купоновото плащане се определя като се умножи купоновия лихвен процент</w:t>
      </w:r>
      <w:r w:rsidR="00DA6219">
        <w:rPr>
          <w:lang w:val="bg-BG"/>
        </w:rPr>
        <w:t xml:space="preserve"> (</w:t>
      </w:r>
      <w:r w:rsidR="00DA6219">
        <w:t>c)</w:t>
      </w:r>
      <w:r>
        <w:rPr>
          <w:lang w:val="bg-BG"/>
        </w:rPr>
        <w:t xml:space="preserve"> по номиналната стойност</w:t>
      </w:r>
      <w:r w:rsidR="00DA6219">
        <w:t xml:space="preserve"> (N)</w:t>
      </w:r>
      <w:r>
        <w:rPr>
          <w:lang w:val="bg-BG"/>
        </w:rPr>
        <w:t>.</w:t>
      </w:r>
    </w:p>
    <w:p w:rsidR="00DA6219" w:rsidRDefault="00DA6219" w:rsidP="00F474E3">
      <w:pPr>
        <w:pStyle w:val="a4"/>
        <w:numPr>
          <w:ilvl w:val="0"/>
          <w:numId w:val="10"/>
        </w:numPr>
        <w:rPr>
          <w:lang w:val="bg-BG"/>
        </w:rPr>
      </w:pPr>
      <w:r>
        <w:rPr>
          <w:lang w:val="bg-BG"/>
        </w:rPr>
        <w:t>Сконтова облигация (облигация с нулев купон)</w:t>
      </w:r>
      <w:r>
        <w:t xml:space="preserve"> – </w:t>
      </w:r>
      <w:r>
        <w:rPr>
          <w:lang w:val="bg-BG"/>
        </w:rPr>
        <w:t>на падежа се изплаща номиналът, тя не носи купонови плащания. Тя носи доход под формата на сконто – разлика между номинал и покупна цена.</w:t>
      </w:r>
    </w:p>
    <w:p w:rsidR="00DB4D46" w:rsidRPr="00DB4D46" w:rsidRDefault="00DB4D46" w:rsidP="00E4115C">
      <w:pPr>
        <w:rPr>
          <w:rFonts w:eastAsiaTheme="minorEastAsia"/>
          <w:i/>
        </w:rPr>
      </w:pPr>
      <m:oMathPara>
        <m:oMathParaPr>
          <m:jc m:val="left"/>
        </m:oMathParaPr>
        <m:oMath>
          <m:r>
            <w:rPr>
              <w:rFonts w:ascii="Cambria Math" w:hAnsi="Cambria Math"/>
              <w:lang w:val="bg-BG"/>
            </w:rPr>
            <m:t>FV=PV×</m:t>
          </m:r>
          <m:sSup>
            <m:sSupPr>
              <m:ctrlPr>
                <w:rPr>
                  <w:rFonts w:ascii="Cambria Math" w:hAnsi="Cambria Math"/>
                  <w:i/>
                  <w:lang w:val="bg-BG"/>
                </w:rPr>
              </m:ctrlPr>
            </m:sSupPr>
            <m:e>
              <m:r>
                <w:rPr>
                  <w:rFonts w:ascii="Cambria Math" w:hAnsi="Cambria Math"/>
                  <w:lang w:val="bg-BG"/>
                </w:rPr>
                <m:t>(1+i)</m:t>
              </m:r>
            </m:e>
            <m:sup>
              <m:r>
                <w:rPr>
                  <w:rFonts w:ascii="Cambria Math" w:hAnsi="Cambria Math"/>
                  <w:lang w:val="bg-BG"/>
                </w:rPr>
                <m:t>n</m:t>
              </m:r>
            </m:sup>
          </m:sSup>
        </m:oMath>
      </m:oMathPara>
    </w:p>
    <w:p w:rsidR="00DB4D46" w:rsidRDefault="00DB4D46" w:rsidP="00E4115C"/>
    <w:p w:rsidR="00E4115C" w:rsidRPr="00DB4D46" w:rsidRDefault="00E4115C" w:rsidP="00E4115C">
      <w:pPr>
        <w:rPr>
          <w:b/>
          <w:lang w:val="bg-BG"/>
        </w:rPr>
      </w:pPr>
      <w:r w:rsidRPr="00DB4D46">
        <w:rPr>
          <w:b/>
          <w:lang w:val="bg-BG"/>
        </w:rPr>
        <w:t>Прост заем:</w:t>
      </w:r>
    </w:p>
    <w:p w:rsidR="00E4115C" w:rsidRDefault="00E4115C" w:rsidP="00E4115C">
      <w:pPr>
        <w:rPr>
          <w:lang w:val="bg-BG"/>
        </w:rPr>
      </w:pPr>
      <w:r>
        <w:t xml:space="preserve">PV – </w:t>
      </w:r>
      <w:r>
        <w:rPr>
          <w:lang w:val="bg-BG"/>
        </w:rPr>
        <w:t>първоначална сума</w:t>
      </w:r>
    </w:p>
    <w:p w:rsidR="00E4115C" w:rsidRDefault="00E4115C" w:rsidP="00E4115C">
      <w:proofErr w:type="spellStart"/>
      <w:r>
        <w:t>i</w:t>
      </w:r>
      <w:proofErr w:type="spellEnd"/>
      <w:r>
        <w:t xml:space="preserve"> – </w:t>
      </w:r>
      <w:proofErr w:type="gramStart"/>
      <w:r>
        <w:rPr>
          <w:lang w:val="bg-BG"/>
        </w:rPr>
        <w:t>лихвен</w:t>
      </w:r>
      <w:proofErr w:type="gramEnd"/>
      <w:r>
        <w:rPr>
          <w:lang w:val="bg-BG"/>
        </w:rPr>
        <w:t xml:space="preserve"> процент</w:t>
      </w:r>
    </w:p>
    <w:p w:rsidR="00DB4D46" w:rsidRPr="00DB4D46" w:rsidRDefault="00DB4D46" w:rsidP="00E4115C">
      <w:pPr>
        <w:rPr>
          <w:rFonts w:eastAsiaTheme="minorEastAsia"/>
        </w:rPr>
      </w:pPr>
      <m:oMathPara>
        <m:oMathParaPr>
          <m:jc m:val="left"/>
        </m:oMathParaPr>
        <m:oMath>
          <m:r>
            <w:rPr>
              <w:rFonts w:ascii="Cambria Math" w:hAnsi="Cambria Math"/>
              <w:lang w:val="bg-BG"/>
            </w:rPr>
            <m:t>FV=PV×</m:t>
          </m:r>
          <m:sSup>
            <m:sSupPr>
              <m:ctrlPr>
                <w:rPr>
                  <w:rFonts w:ascii="Cambria Math" w:hAnsi="Cambria Math"/>
                  <w:i/>
                  <w:lang w:val="bg-BG"/>
                </w:rPr>
              </m:ctrlPr>
            </m:sSupPr>
            <m:e>
              <m:r>
                <w:rPr>
                  <w:rFonts w:ascii="Cambria Math" w:hAnsi="Cambria Math"/>
                  <w:lang w:val="bg-BG"/>
                </w:rPr>
                <m:t>(1+i)</m:t>
              </m:r>
            </m:e>
            <m:sup/>
          </m:sSup>
        </m:oMath>
      </m:oMathPara>
    </w:p>
    <w:p w:rsidR="00DB4D46" w:rsidRPr="00DB4D46" w:rsidRDefault="00DB4D46" w:rsidP="00E4115C">
      <m:oMathPara>
        <m:oMathParaPr>
          <m:jc m:val="left"/>
        </m:oMathParaPr>
        <m:oMath>
          <m:r>
            <w:rPr>
              <w:rFonts w:ascii="Cambria Math" w:hAnsi="Cambria Math"/>
            </w:rPr>
            <m:t>i=</m:t>
          </m:r>
          <m:f>
            <m:fPr>
              <m:ctrlPr>
                <w:rPr>
                  <w:rFonts w:ascii="Cambria Math" w:hAnsi="Cambria Math"/>
                  <w:i/>
                </w:rPr>
              </m:ctrlPr>
            </m:fPr>
            <m:num>
              <m:r>
                <w:rPr>
                  <w:rFonts w:ascii="Cambria Math" w:hAnsi="Cambria Math"/>
                </w:rPr>
                <m:t>FV-PV</m:t>
              </m:r>
            </m:num>
            <m:den>
              <m:r>
                <w:rPr>
                  <w:rFonts w:ascii="Cambria Math" w:hAnsi="Cambria Math"/>
                </w:rPr>
                <m:t>PV</m:t>
              </m:r>
            </m:den>
          </m:f>
        </m:oMath>
      </m:oMathPara>
    </w:p>
    <w:p w:rsidR="00E4115C" w:rsidRDefault="00E4115C" w:rsidP="00E4115C">
      <w:pPr>
        <w:rPr>
          <w:lang w:val="bg-BG"/>
        </w:rPr>
      </w:pPr>
      <w:r>
        <w:rPr>
          <w:lang w:val="bg-BG"/>
        </w:rPr>
        <w:t>За измерването на доходността по финансовите инструменти най-често използваната дохо</w:t>
      </w:r>
      <w:r w:rsidR="009D78AD">
        <w:rPr>
          <w:lang w:val="bg-BG"/>
        </w:rPr>
        <w:t>дност е доходността до падежа. Т</w:t>
      </w:r>
      <w:r>
        <w:rPr>
          <w:lang w:val="bg-BG"/>
        </w:rPr>
        <w:t>ова е онзи лихвен процент, който изравнява съвременната стойност (настоящата стойност) на плащанията по един финансов инструмент</w:t>
      </w:r>
      <w:r w:rsidR="009D78AD">
        <w:rPr>
          <w:lang w:val="bg-BG"/>
        </w:rPr>
        <w:t xml:space="preserve"> с неговата цена днес. При простия заем доходността до падежа е равна на простия лихвен процент. </w:t>
      </w:r>
    </w:p>
    <w:p w:rsidR="00DB4D46" w:rsidRDefault="00DB4D46" w:rsidP="00E4115C"/>
    <w:p w:rsidR="009D78AD" w:rsidRPr="00DB4D46" w:rsidRDefault="009D78AD" w:rsidP="00E4115C">
      <w:pPr>
        <w:rPr>
          <w:b/>
          <w:lang w:val="bg-BG"/>
        </w:rPr>
      </w:pPr>
      <w:r w:rsidRPr="00DB4D46">
        <w:rPr>
          <w:b/>
          <w:lang w:val="bg-BG"/>
        </w:rPr>
        <w:t>Анюитетен заем:</w:t>
      </w:r>
    </w:p>
    <w:p w:rsidR="009D78AD" w:rsidRDefault="009D78AD" w:rsidP="00E4115C">
      <w:pPr>
        <w:rPr>
          <w:lang w:val="bg-BG"/>
        </w:rPr>
      </w:pPr>
      <w:r>
        <w:lastRenderedPageBreak/>
        <w:t xml:space="preserve">AP – </w:t>
      </w:r>
      <w:r>
        <w:rPr>
          <w:lang w:val="bg-BG"/>
        </w:rPr>
        <w:t>първоначална сума</w:t>
      </w:r>
    </w:p>
    <w:p w:rsidR="009D78AD" w:rsidRPr="002317E5" w:rsidRDefault="00DB4D46" w:rsidP="00E4115C">
      <m:oMathPara>
        <m:oMathParaPr>
          <m:jc m:val="left"/>
        </m:oMathParaPr>
        <m:oMath>
          <m:r>
            <w:rPr>
              <w:rFonts w:ascii="Cambria Math" w:hAnsi="Cambria Math"/>
            </w:rPr>
            <m:t>AP=</m:t>
          </m:r>
          <m:f>
            <m:fPr>
              <m:ctrlPr>
                <w:rPr>
                  <w:rFonts w:ascii="Cambria Math" w:hAnsi="Cambria Math"/>
                  <w:i/>
                </w:rPr>
              </m:ctrlPr>
            </m:fPr>
            <m:num>
              <m:r>
                <w:rPr>
                  <w:rFonts w:ascii="Cambria Math" w:hAnsi="Cambria Math"/>
                </w:rPr>
                <m:t>C</m:t>
              </m:r>
            </m:num>
            <m:den>
              <m:r>
                <w:rPr>
                  <w:rFonts w:ascii="Cambria Math" w:hAnsi="Cambria Math"/>
                </w:rPr>
                <m:t>i</m:t>
              </m:r>
            </m:den>
          </m:f>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den>
          </m:f>
          <m:r>
            <w:rPr>
              <w:rFonts w:ascii="Cambria Math" w:hAnsi="Cambria Math"/>
            </w:rPr>
            <m:t>)</m:t>
          </m:r>
        </m:oMath>
      </m:oMathPara>
    </w:p>
    <w:p w:rsidR="002317E5" w:rsidRPr="002317E5" w:rsidRDefault="0022691A" w:rsidP="00E4115C">
      <m:oMath>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den>
            </m:f>
          </m:e>
        </m:d>
      </m:oMath>
      <w:r w:rsidR="002317E5">
        <w:rPr>
          <w:rFonts w:eastAsiaTheme="minorEastAsia"/>
        </w:rPr>
        <w:t xml:space="preserve"> - </w:t>
      </w:r>
      <w:r w:rsidR="002317E5">
        <w:t>AF (</w:t>
      </w:r>
      <w:r w:rsidR="002317E5">
        <w:rPr>
          <w:lang w:val="bg-BG"/>
        </w:rPr>
        <w:t>анюитетен фактор)</w:t>
      </w:r>
    </w:p>
    <w:p w:rsidR="002317E5" w:rsidRPr="002317E5" w:rsidRDefault="002317E5" w:rsidP="00E4115C">
      <w:pPr>
        <w:rPr>
          <w:lang w:val="bg-BG"/>
        </w:rPr>
      </w:pPr>
      <m:oMathPara>
        <m:oMathParaPr>
          <m:jc m:val="left"/>
        </m:oMathParaPr>
        <m:oMath>
          <m:r>
            <w:rPr>
              <w:rFonts w:ascii="Cambria Math" w:hAnsi="Cambria Math"/>
              <w:lang w:val="bg-BG"/>
            </w:rPr>
            <m:t>AP=C×AF</m:t>
          </m:r>
        </m:oMath>
      </m:oMathPara>
    </w:p>
    <w:p w:rsidR="00B7569B" w:rsidRDefault="00B7569B" w:rsidP="00E4115C"/>
    <w:p w:rsidR="009D78AD" w:rsidRDefault="009D78AD" w:rsidP="00E4115C">
      <w:pPr>
        <w:rPr>
          <w:lang w:val="bg-BG"/>
        </w:rPr>
      </w:pPr>
      <w:r w:rsidRPr="00B7569B">
        <w:rPr>
          <w:b/>
          <w:lang w:val="bg-BG"/>
        </w:rPr>
        <w:t>Задача 3:</w:t>
      </w:r>
      <w:r>
        <w:rPr>
          <w:lang w:val="bg-BG"/>
        </w:rPr>
        <w:t xml:space="preserve"> вземате на кредит 10 000 лв. за 5 г. при 10% годишен лихвен процент. Намерете годишната погасителна вноска по заема.</w:t>
      </w:r>
    </w:p>
    <w:p w:rsidR="00E75FC8" w:rsidRDefault="00E75FC8" w:rsidP="00E4115C">
      <w:r>
        <w:t>AP=10 000</w:t>
      </w:r>
    </w:p>
    <w:p w:rsidR="00E75FC8" w:rsidRDefault="00E75FC8" w:rsidP="00E4115C">
      <w:proofErr w:type="spellStart"/>
      <w:r>
        <w:t>i</w:t>
      </w:r>
      <w:proofErr w:type="spellEnd"/>
      <w:r>
        <w:t>=10%</w:t>
      </w:r>
    </w:p>
    <w:p w:rsidR="00E75FC8" w:rsidRPr="002317E5" w:rsidRDefault="002317E5" w:rsidP="00E4115C">
      <w:pPr>
        <w:rPr>
          <w:rFonts w:ascii="Cambria Math" w:hAnsi="Cambria Math"/>
          <w:oMath/>
        </w:rPr>
      </w:pPr>
      <m:oMathPara>
        <m:oMathParaPr>
          <m:jc m:val="left"/>
        </m:oMathParaPr>
        <m:oMath>
          <m:r>
            <w:rPr>
              <w:rFonts w:ascii="Cambria Math" w:hAnsi="Cambria Math"/>
            </w:rPr>
            <m:t>C=</m:t>
          </m:r>
          <m:f>
            <m:fPr>
              <m:ctrlPr>
                <w:rPr>
                  <w:rFonts w:ascii="Cambria Math" w:hAnsi="Cambria Math"/>
                  <w:i/>
                </w:rPr>
              </m:ctrlPr>
            </m:fPr>
            <m:num>
              <m:r>
                <w:rPr>
                  <w:rFonts w:ascii="Cambria Math" w:hAnsi="Cambria Math"/>
                </w:rPr>
                <m:t>AP</m:t>
              </m:r>
            </m:num>
            <m:den>
              <m:r>
                <w:rPr>
                  <w:rFonts w:ascii="Cambria Math" w:hAnsi="Cambria Math"/>
                </w:rPr>
                <m:t>AF</m:t>
              </m:r>
            </m:den>
          </m:f>
        </m:oMath>
      </m:oMathPara>
    </w:p>
    <w:p w:rsidR="00E75FC8" w:rsidRDefault="00E75FC8" w:rsidP="00E4115C">
      <w:pPr>
        <w:rPr>
          <w:lang w:val="bg-BG"/>
        </w:rPr>
      </w:pPr>
      <w:r>
        <w:t>AF=3</w:t>
      </w:r>
      <w:proofErr w:type="gramStart"/>
      <w:r>
        <w:t>,7908</w:t>
      </w:r>
      <w:proofErr w:type="gramEnd"/>
      <w:r>
        <w:t xml:space="preserve"> (</w:t>
      </w:r>
      <w:r>
        <w:rPr>
          <w:lang w:val="bg-BG"/>
        </w:rPr>
        <w:t>от таблицата с анюитетните фактори)</w:t>
      </w:r>
    </w:p>
    <w:p w:rsidR="002317E5" w:rsidRPr="002317E5" w:rsidRDefault="002317E5" w:rsidP="00E4115C">
      <m:oMathPara>
        <m:oMathParaPr>
          <m:jc m:val="left"/>
        </m:oMathParaPr>
        <m:oMath>
          <m:r>
            <w:rPr>
              <w:rFonts w:ascii="Cambria Math" w:hAnsi="Cambria Math"/>
            </w:rPr>
            <m:t>C=</m:t>
          </m:r>
          <m:f>
            <m:fPr>
              <m:ctrlPr>
                <w:rPr>
                  <w:rFonts w:ascii="Cambria Math" w:hAnsi="Cambria Math"/>
                  <w:i/>
                </w:rPr>
              </m:ctrlPr>
            </m:fPr>
            <m:num>
              <m:r>
                <w:rPr>
                  <w:rFonts w:ascii="Cambria Math" w:hAnsi="Cambria Math"/>
                </w:rPr>
                <m:t>10000</m:t>
              </m:r>
            </m:num>
            <m:den>
              <m:r>
                <w:rPr>
                  <w:rFonts w:ascii="Cambria Math" w:hAnsi="Cambria Math"/>
                </w:rPr>
                <m:t>3,7908</m:t>
              </m:r>
            </m:den>
          </m:f>
          <m:r>
            <w:rPr>
              <w:rFonts w:ascii="Cambria Math" w:hAnsi="Cambria Math"/>
            </w:rPr>
            <m:t>=2637,97</m:t>
          </m:r>
        </m:oMath>
      </m:oMathPara>
    </w:p>
    <w:p w:rsidR="00E75FC8" w:rsidRDefault="00E75FC8" w:rsidP="00E4115C"/>
    <w:p w:rsidR="00E75FC8" w:rsidRDefault="00E75FC8" w:rsidP="00E4115C">
      <w:pPr>
        <w:rPr>
          <w:lang w:val="bg-BG"/>
        </w:rPr>
      </w:pPr>
      <w:r>
        <w:t xml:space="preserve">10% - </w:t>
      </w:r>
      <w:r>
        <w:rPr>
          <w:lang w:val="bg-BG"/>
        </w:rPr>
        <w:t>годишен лихвен процент</w:t>
      </w:r>
    </w:p>
    <w:p w:rsidR="00E75FC8" w:rsidRDefault="00E75FC8" w:rsidP="00E4115C">
      <w:pPr>
        <w:rPr>
          <w:lang w:val="bg-BG"/>
        </w:rPr>
      </w:pPr>
      <w:r>
        <w:rPr>
          <w:lang w:val="bg-BG"/>
        </w:rPr>
        <w:t>10%/12 месеца=0,83% на месец</w:t>
      </w:r>
    </w:p>
    <w:p w:rsidR="002317E5" w:rsidRPr="002317E5" w:rsidRDefault="002317E5" w:rsidP="00E4115C">
      <m:oMathPara>
        <m:oMathParaPr>
          <m:jc m:val="left"/>
        </m:oMathParaPr>
        <m:oMath>
          <m:r>
            <w:rPr>
              <w:rFonts w:ascii="Cambria Math" w:hAnsi="Cambria Math"/>
            </w:rPr>
            <m:t>AF=</m:t>
          </m:r>
          <m:f>
            <m:fPr>
              <m:ctrlPr>
                <w:rPr>
                  <w:rFonts w:ascii="Cambria Math" w:hAnsi="Cambria Math"/>
                  <w:i/>
                </w:rPr>
              </m:ctrlPr>
            </m:fPr>
            <m:num>
              <m:r>
                <w:rPr>
                  <w:rFonts w:ascii="Cambria Math" w:hAnsi="Cambria Math"/>
                </w:rPr>
                <m:t>1</m:t>
              </m:r>
            </m:num>
            <m:den>
              <m:r>
                <w:rPr>
                  <w:rFonts w:ascii="Cambria Math" w:hAnsi="Cambria Math"/>
                </w:rPr>
                <m:t>0,0083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1+0,0083</m:t>
                          </m:r>
                        </m:e>
                      </m:d>
                    </m:e>
                    <m:sup>
                      <m:r>
                        <w:rPr>
                          <w:rFonts w:ascii="Cambria Math" w:hAnsi="Cambria Math"/>
                        </w:rPr>
                        <m:t>5×12</m:t>
                      </m:r>
                    </m:sup>
                  </m:sSup>
                </m:den>
              </m:f>
              <m:ctrlPr>
                <w:rPr>
                  <w:rFonts w:ascii="Cambria Math" w:eastAsiaTheme="minorEastAsia" w:hAnsi="Cambria Math"/>
                  <w:i/>
                </w:rPr>
              </m:ctrlPr>
            </m:e>
          </m:d>
          <m:r>
            <w:rPr>
              <w:rFonts w:ascii="Cambria Math" w:eastAsiaTheme="minorEastAsia" w:hAnsi="Cambria Math"/>
            </w:rPr>
            <m:t>=47,1</m:t>
          </m:r>
        </m:oMath>
      </m:oMathPara>
    </w:p>
    <w:p w:rsidR="00E75FC8" w:rsidRPr="002317E5" w:rsidRDefault="002317E5" w:rsidP="00E4115C">
      <w:pPr>
        <w:rPr>
          <w:rFonts w:ascii="Cambria Math" w:hAnsi="Cambria Math"/>
          <w:lang w:val="bg-BG"/>
          <w:oMath/>
        </w:rPr>
      </w:pPr>
      <m:oMathPara>
        <m:oMathParaPr>
          <m:jc m:val="left"/>
        </m:oMathParaPr>
        <m:oMath>
          <m:r>
            <w:rPr>
              <w:rFonts w:ascii="Cambria Math" w:hAnsi="Cambria Math"/>
            </w:rPr>
            <m:t>C=</m:t>
          </m:r>
          <m:f>
            <m:fPr>
              <m:ctrlPr>
                <w:rPr>
                  <w:rFonts w:ascii="Cambria Math" w:hAnsi="Cambria Math"/>
                  <w:i/>
                </w:rPr>
              </m:ctrlPr>
            </m:fPr>
            <m:num>
              <m:r>
                <w:rPr>
                  <w:rFonts w:ascii="Cambria Math" w:hAnsi="Cambria Math"/>
                </w:rPr>
                <m:t>10000</m:t>
              </m:r>
            </m:num>
            <m:den>
              <m:r>
                <w:rPr>
                  <w:rFonts w:ascii="Cambria Math" w:hAnsi="Cambria Math"/>
                </w:rPr>
                <m:t>47,1</m:t>
              </m:r>
            </m:den>
          </m:f>
          <m:r>
            <w:rPr>
              <w:rFonts w:ascii="Cambria Math" w:hAnsi="Cambria Math"/>
            </w:rPr>
            <m:t>=212,03</m:t>
          </m:r>
        </m:oMath>
      </m:oMathPara>
    </w:p>
    <w:p w:rsidR="00AF17AC" w:rsidRPr="00AF17AC" w:rsidRDefault="00AF17AC" w:rsidP="00E4115C"/>
    <w:p w:rsidR="00E75FC8" w:rsidRDefault="00E75FC8" w:rsidP="00E4115C">
      <w:pPr>
        <w:rPr>
          <w:lang w:val="bg-BG"/>
        </w:rPr>
      </w:pPr>
      <w:r>
        <w:rPr>
          <w:lang w:val="bg-BG"/>
        </w:rPr>
        <w:t>Специфичен анюитетен заем е перпетюитета. Това е безсрочен дългов инструмент или облигация, която</w:t>
      </w:r>
      <w:r w:rsidR="00F27AA7">
        <w:rPr>
          <w:lang w:val="bg-BG"/>
        </w:rPr>
        <w:t xml:space="preserve"> носи купоново плащане вечно.</w:t>
      </w:r>
    </w:p>
    <w:p w:rsidR="00F27AA7" w:rsidRPr="00F27AA7" w:rsidRDefault="00F27AA7" w:rsidP="00E4115C">
      <w:pPr>
        <w:rPr>
          <w:lang w:val="bg-BG"/>
        </w:rPr>
      </w:pPr>
      <w:r>
        <w:rPr>
          <w:noProof/>
          <w:lang w:val="bg-BG" w:eastAsia="bg-BG"/>
        </w:rPr>
        <mc:AlternateContent>
          <mc:Choice Requires="wps">
            <w:drawing>
              <wp:anchor distT="0" distB="0" distL="114300" distR="114300" simplePos="0" relativeHeight="251661312" behindDoc="0" locked="0" layoutInCell="1" allowOverlap="1">
                <wp:simplePos x="0" y="0"/>
                <wp:positionH relativeFrom="column">
                  <wp:posOffset>123825</wp:posOffset>
                </wp:positionH>
                <wp:positionV relativeFrom="paragraph">
                  <wp:posOffset>75565</wp:posOffset>
                </wp:positionV>
                <wp:extent cx="24765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9.75pt;margin-top:5.95pt;width:19.5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Qt4gEAAC8EAAAOAAAAZHJzL2Uyb0RvYy54bWysU9uO0zAQfUfiHyy/07QVXVDVdIW6LC8I&#10;KhY+wOvYjSXbY41Nk/w9YydNuWmlRbw4GXvOnDnH491t7yw7K4wGfM1XiyVnyktojD/V/NvX+1dv&#10;OYtJ+EZY8Krmg4r8dv/yxa4LW7WGFmyjkFERH7ddqHmbUthWVZStciIuIChPhxrQiUQhnqoGRUfV&#10;na3Wy+VN1QE2AUGqGGn3bjzk+1JfayXTZ62jSszWnHpLZcWyPua12u/E9oQitEZObYh/6MIJ44l0&#10;LnUnkmDf0fxRyhmJEEGnhQRXgdZGqqKB1KyWv6l5aEVQRQuZE8NsU/x/ZeWn8xGZaWq+4cwLR1f0&#10;kFCYU5vYO0To2AG8JxsB2Sa71YW4JdDBH3GKYjhilt5rdPlLolhfHB5mh1WfmKTN9es3Nxu6B3k5&#10;qq64gDF9UOBY/ql5nNqY+VfFYHH+GBMxE/ACyKTW5zWCNc29sbYEeYbUwSI7C7r91K9y/4T7JSsJ&#10;Y9/7hqUhkHaRJU9puWSV5Y4Cy18arBrpvihNtpGksa0ysFcyIaXy6UJoPWVnmKbWZuCy6HkSOOVn&#10;qCrD/BzwjCjM4NMMdsYD/o396pEe8y8OjLqzBY/QDOXqizU0lcXS6QXlsf85LvDrO9//AAAA//8D&#10;AFBLAwQUAAYACAAAACEAHeQ1K9kAAAAHAQAADwAAAGRycy9kb3ducmV2LnhtbEyOQUvDQBCF74L/&#10;YRnBm91UqLQxm1IEDz14aBW1t8nuNAnNzobsNo3/3hEPeho+3uPNV6wn36mRhtgGNjCfZaCIbXAt&#10;1wbeXp/vlqBiQnbYBSYDXxRhXV5fFZi7cOEdjftUKxnhmKOBJqU+1zrahjzGWeiJJTuGwWMSHGrt&#10;BrzIuO/0fZY9aI8ty4cGe3pqyJ72Z2/g5WPbv9tqd3Cf03bMDmiPI0djbm+mzSOoRFP6K8OPvqhD&#10;KU5VOLOLqhNeLaQpd74CJfliKVz9si4L/d+//AYAAP//AwBQSwECLQAUAAYACAAAACEAtoM4kv4A&#10;AADhAQAAEwAAAAAAAAAAAAAAAAAAAAAAW0NvbnRlbnRfVHlwZXNdLnhtbFBLAQItABQABgAIAAAA&#10;IQA4/SH/1gAAAJQBAAALAAAAAAAAAAAAAAAAAC8BAABfcmVscy8ucmVsc1BLAQItABQABgAIAAAA&#10;IQBpKwQt4gEAAC8EAAAOAAAAAAAAAAAAAAAAAC4CAABkcnMvZTJvRG9jLnhtbFBLAQItABQABgAI&#10;AAAAIQAd5DUr2QAAAAcBAAAPAAAAAAAAAAAAAAAAADwEAABkcnMvZG93bnJldi54bWxQSwUGAAAA&#10;AAQABADzAAAAQgUAAAAA&#10;" strokecolor="black [3213]">
                <v:stroke endarrow="open"/>
              </v:shape>
            </w:pict>
          </mc:Fallback>
        </mc:AlternateContent>
      </w:r>
      <w:r>
        <w:t>N</w:t>
      </w:r>
      <w:r>
        <w:tab/>
      </w:r>
      <w:r w:rsidR="00AF17AC" w:rsidRPr="00AF17AC">
        <w:rPr>
          <w:lang w:val="bg-BG"/>
        </w:rPr>
        <w:t>∞</w:t>
      </w:r>
    </w:p>
    <w:p w:rsidR="00F27AA7" w:rsidRPr="00AF17AC" w:rsidRDefault="00AF17AC" w:rsidP="00E4115C">
      <w:pPr>
        <w:rPr>
          <w:rFonts w:ascii="Cambria Math" w:hAnsi="Cambria Math"/>
          <w:oMath/>
        </w:rPr>
      </w:pPr>
      <m:oMathPara>
        <m:oMathParaPr>
          <m:jc m:val="left"/>
        </m:oMathParaPr>
        <m:oMath>
          <m:r>
            <w:rPr>
              <w:rFonts w:ascii="Cambria Math" w:hAnsi="Cambria Math"/>
            </w:rPr>
            <m:t>i=</m:t>
          </m:r>
          <m:f>
            <m:fPr>
              <m:ctrlPr>
                <w:rPr>
                  <w:rFonts w:ascii="Cambria Math" w:hAnsi="Cambria Math"/>
                  <w:i/>
                </w:rPr>
              </m:ctrlPr>
            </m:fPr>
            <m:num>
              <m:r>
                <w:rPr>
                  <w:rFonts w:ascii="Cambria Math" w:hAnsi="Cambria Math"/>
                </w:rPr>
                <m:t>C</m:t>
              </m:r>
            </m:num>
            <m:den>
              <m:r>
                <w:rPr>
                  <w:rFonts w:ascii="Cambria Math" w:hAnsi="Cambria Math"/>
                </w:rPr>
                <m:t>AP</m:t>
              </m:r>
            </m:den>
          </m:f>
        </m:oMath>
      </m:oMathPara>
    </w:p>
    <w:p w:rsidR="00AF17AC" w:rsidRPr="00AF17AC" w:rsidRDefault="00AF17AC" w:rsidP="00E4115C"/>
    <w:p w:rsidR="00F27AA7" w:rsidRPr="00AF17AC" w:rsidRDefault="00F27AA7" w:rsidP="00E4115C">
      <w:pPr>
        <w:rPr>
          <w:b/>
          <w:lang w:val="bg-BG"/>
        </w:rPr>
      </w:pPr>
      <w:r w:rsidRPr="00AF17AC">
        <w:rPr>
          <w:b/>
          <w:lang w:val="bg-BG"/>
        </w:rPr>
        <w:lastRenderedPageBreak/>
        <w:t>Купонова облигация</w:t>
      </w:r>
    </w:p>
    <w:p w:rsidR="00AF17AC" w:rsidRPr="00AF17AC" w:rsidRDefault="00AF17AC" w:rsidP="00E4115C">
      <m:oMathPara>
        <m:oMathParaPr>
          <m:jc m:val="left"/>
        </m:oMathParaPr>
        <m:oMath>
          <m:r>
            <w:rPr>
              <w:rFonts w:ascii="Cambria Math" w:hAnsi="Cambria Math"/>
            </w:rPr>
            <m:t>P=</m:t>
          </m:r>
          <m:f>
            <m:fPr>
              <m:ctrlPr>
                <w:rPr>
                  <w:rFonts w:ascii="Cambria Math" w:hAnsi="Cambria Math"/>
                  <w:i/>
                </w:rPr>
              </m:ctrlPr>
            </m:fPr>
            <m:num>
              <m:r>
                <w:rPr>
                  <w:rFonts w:ascii="Cambria Math" w:hAnsi="Cambria Math"/>
                </w:rPr>
                <m:t>C</m:t>
              </m:r>
            </m:num>
            <m:den>
              <m:r>
                <w:rPr>
                  <w:rFonts w:ascii="Cambria Math" w:hAnsi="Cambria Math"/>
                </w:rPr>
                <m:t>1+i</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(1+i)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C+N</m:t>
              </m:r>
            </m:num>
            <m:den>
              <m:sSup>
                <m:sSupPr>
                  <m:ctrlPr>
                    <w:rPr>
                      <w:rFonts w:ascii="Cambria Math" w:hAnsi="Cambria Math"/>
                      <w:i/>
                    </w:rPr>
                  </m:ctrlPr>
                </m:sSupPr>
                <m:e>
                  <m:r>
                    <w:rPr>
                      <w:rFonts w:ascii="Cambria Math" w:hAnsi="Cambria Math"/>
                    </w:rPr>
                    <m:t>(1+i)</m:t>
                  </m:r>
                </m:e>
                <m:sup>
                  <m:r>
                    <w:rPr>
                      <w:rFonts w:ascii="Cambria Math" w:hAnsi="Cambria Math"/>
                    </w:rPr>
                    <m:t>n</m:t>
                  </m:r>
                </m:sup>
              </m:sSup>
            </m:den>
          </m:f>
        </m:oMath>
      </m:oMathPara>
    </w:p>
    <w:p w:rsidR="00AF17AC" w:rsidRDefault="00AF17AC" w:rsidP="00E4115C"/>
    <w:p w:rsidR="00F27AA7" w:rsidRDefault="00F27AA7" w:rsidP="00E4115C">
      <w:r>
        <w:rPr>
          <w:lang w:val="bg-BG"/>
        </w:rPr>
        <w:t>Задача 4: намерете пазарната цена на 3-год. облигация с годишен купонов лихвен процент 12%, номинал 1 000 лв. и пазарен лихвен процент 10% / 12% / 14%.</w:t>
      </w:r>
    </w:p>
    <w:p w:rsidR="00BE73DE" w:rsidRDefault="00BE73DE" w:rsidP="00E4115C">
      <w:r>
        <w:t>I)</w:t>
      </w:r>
    </w:p>
    <w:p w:rsidR="003463D5" w:rsidRDefault="003463D5" w:rsidP="00E4115C">
      <w:proofErr w:type="spellStart"/>
      <w:r>
        <w:t>i</w:t>
      </w:r>
      <w:proofErr w:type="spellEnd"/>
      <w:r>
        <w:t>=10%</w:t>
      </w:r>
    </w:p>
    <w:p w:rsidR="00F27AA7" w:rsidRPr="00AF17AC" w:rsidRDefault="00AF17AC" w:rsidP="00E4115C">
      <w:pPr>
        <w:rPr>
          <w:rFonts w:ascii="Cambria Math" w:hAnsi="Cambria Math"/>
          <w:lang w:val="bg-BG"/>
          <w:oMath/>
        </w:rPr>
      </w:pPr>
      <m:oMathPara>
        <m:oMathParaPr>
          <m:jc m:val="left"/>
        </m:oMathParaPr>
        <m:oMath>
          <m:r>
            <w:rPr>
              <w:rFonts w:ascii="Cambria Math" w:hAnsi="Cambria Math"/>
            </w:rPr>
            <m:t xml:space="preserve">P=c×N=0,12×1 000=120 </m:t>
          </m:r>
          <m:r>
            <w:rPr>
              <w:rFonts w:ascii="Cambria Math" w:hAnsi="Cambria Math"/>
              <w:lang w:val="bg-BG"/>
            </w:rPr>
            <m:t>лв.</m:t>
          </m:r>
        </m:oMath>
      </m:oMathPara>
    </w:p>
    <w:p w:rsidR="00AF17AC" w:rsidRPr="00AF17AC" w:rsidRDefault="00AF17AC" w:rsidP="00E4115C">
      <m:oMathPara>
        <m:oMathParaPr>
          <m:jc m:val="left"/>
        </m:oMathParaPr>
        <m:oMath>
          <m:r>
            <w:rPr>
              <w:rFonts w:ascii="Cambria Math" w:hAnsi="Cambria Math"/>
            </w:rPr>
            <m:t>P=</m:t>
          </m:r>
          <m:f>
            <m:fPr>
              <m:ctrlPr>
                <w:rPr>
                  <w:rFonts w:ascii="Cambria Math" w:hAnsi="Cambria Math"/>
                  <w:i/>
                </w:rPr>
              </m:ctrlPr>
            </m:fPr>
            <m:num>
              <m:r>
                <w:rPr>
                  <w:rFonts w:ascii="Cambria Math" w:hAnsi="Cambria Math"/>
                </w:rPr>
                <m:t>120</m:t>
              </m:r>
            </m:num>
            <m:den>
              <m:r>
                <w:rPr>
                  <w:rFonts w:ascii="Cambria Math" w:hAnsi="Cambria Math"/>
                </w:rPr>
                <m:t>1+0,1</m:t>
              </m:r>
            </m:den>
          </m:f>
          <m:r>
            <w:rPr>
              <w:rFonts w:ascii="Cambria Math" w:hAnsi="Cambria Math"/>
            </w:rPr>
            <m:t>+</m:t>
          </m:r>
          <m:f>
            <m:fPr>
              <m:ctrlPr>
                <w:rPr>
                  <w:rFonts w:ascii="Cambria Math" w:hAnsi="Cambria Math"/>
                  <w:i/>
                </w:rPr>
              </m:ctrlPr>
            </m:fPr>
            <m:num>
              <m:r>
                <w:rPr>
                  <w:rFonts w:ascii="Cambria Math" w:hAnsi="Cambria Math"/>
                </w:rPr>
                <m:t>120</m:t>
              </m:r>
            </m:num>
            <m:den>
              <m:sSup>
                <m:sSupPr>
                  <m:ctrlPr>
                    <w:rPr>
                      <w:rFonts w:ascii="Cambria Math" w:hAnsi="Cambria Math"/>
                      <w:i/>
                    </w:rPr>
                  </m:ctrlPr>
                </m:sSupPr>
                <m:e>
                  <m:r>
                    <w:rPr>
                      <w:rFonts w:ascii="Cambria Math" w:hAnsi="Cambria Math"/>
                    </w:rPr>
                    <m:t>(1+0,1)</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120+1000</m:t>
              </m:r>
            </m:num>
            <m:den>
              <m:sSup>
                <m:sSupPr>
                  <m:ctrlPr>
                    <w:rPr>
                      <w:rFonts w:ascii="Cambria Math" w:hAnsi="Cambria Math"/>
                      <w:i/>
                    </w:rPr>
                  </m:ctrlPr>
                </m:sSupPr>
                <m:e>
                  <m:r>
                    <w:rPr>
                      <w:rFonts w:ascii="Cambria Math" w:hAnsi="Cambria Math"/>
                    </w:rPr>
                    <m:t>(1+0,1)</m:t>
                  </m:r>
                </m:e>
                <m:sup>
                  <m:r>
                    <w:rPr>
                      <w:rFonts w:ascii="Cambria Math" w:hAnsi="Cambria Math"/>
                    </w:rPr>
                    <m:t>3</m:t>
                  </m:r>
                </m:sup>
              </m:sSup>
            </m:den>
          </m:f>
          <m:r>
            <w:rPr>
              <w:rFonts w:ascii="Cambria Math" w:hAnsi="Cambria Math"/>
            </w:rPr>
            <m:t>=1049,7</m:t>
          </m:r>
        </m:oMath>
      </m:oMathPara>
    </w:p>
    <w:p w:rsidR="003463D5" w:rsidRDefault="00BE73DE" w:rsidP="00E4115C">
      <w:r>
        <w:t>II)</w:t>
      </w:r>
    </w:p>
    <w:p w:rsidR="003463D5" w:rsidRDefault="003463D5" w:rsidP="00E4115C">
      <w:proofErr w:type="spellStart"/>
      <w:r>
        <w:t>i</w:t>
      </w:r>
      <w:proofErr w:type="spellEnd"/>
      <w:r>
        <w:t>=12%</w:t>
      </w:r>
    </w:p>
    <w:p w:rsidR="003463D5" w:rsidRDefault="003463D5" w:rsidP="00E4115C">
      <w:r>
        <w:t>P=1000</w:t>
      </w:r>
    </w:p>
    <w:p w:rsidR="003463D5" w:rsidRDefault="00BE73DE" w:rsidP="00E4115C">
      <w:r>
        <w:t>III)</w:t>
      </w:r>
    </w:p>
    <w:p w:rsidR="003463D5" w:rsidRDefault="003463D5" w:rsidP="00E4115C">
      <w:proofErr w:type="spellStart"/>
      <w:r>
        <w:t>i</w:t>
      </w:r>
      <w:proofErr w:type="spellEnd"/>
      <w:r>
        <w:t>=14%</w:t>
      </w:r>
    </w:p>
    <w:p w:rsidR="003463D5" w:rsidRPr="003463D5" w:rsidRDefault="003463D5" w:rsidP="00E4115C">
      <w:r>
        <w:t>P=953</w:t>
      </w:r>
      <w:proofErr w:type="gramStart"/>
      <w:r>
        <w:t>,7</w:t>
      </w:r>
      <w:proofErr w:type="gramEnd"/>
    </w:p>
    <w:p w:rsidR="00AF17AC" w:rsidRDefault="00AF17AC" w:rsidP="00E4115C"/>
    <w:p w:rsidR="00F27AA7" w:rsidRPr="00AF17AC" w:rsidRDefault="003463D5" w:rsidP="00E4115C">
      <w:pPr>
        <w:rPr>
          <w:b/>
          <w:lang w:val="bg-BG"/>
        </w:rPr>
      </w:pPr>
      <w:r w:rsidRPr="00AF17AC">
        <w:rPr>
          <w:b/>
          <w:lang w:val="bg-BG"/>
        </w:rPr>
        <w:t>Изводи:</w:t>
      </w:r>
    </w:p>
    <w:p w:rsidR="003463D5" w:rsidRDefault="003463D5" w:rsidP="003463D5">
      <w:pPr>
        <w:pStyle w:val="a4"/>
        <w:numPr>
          <w:ilvl w:val="0"/>
          <w:numId w:val="11"/>
        </w:numPr>
        <w:rPr>
          <w:lang w:val="bg-BG"/>
        </w:rPr>
      </w:pPr>
      <w:r>
        <w:rPr>
          <w:lang w:val="bg-BG"/>
        </w:rPr>
        <w:t>Когато купоновият лихвен процент е равен на пазарния лихвен процент, тогава пазарната цена на облигацията е равна на номинала и облигацията се продава по номинал.</w:t>
      </w:r>
    </w:p>
    <w:p w:rsidR="003463D5" w:rsidRDefault="003463D5" w:rsidP="003463D5">
      <w:pPr>
        <w:pStyle w:val="a4"/>
        <w:numPr>
          <w:ilvl w:val="0"/>
          <w:numId w:val="11"/>
        </w:numPr>
        <w:rPr>
          <w:lang w:val="bg-BG"/>
        </w:rPr>
      </w:pPr>
      <w:r>
        <w:rPr>
          <w:lang w:val="bg-BG"/>
        </w:rPr>
        <w:t>Когато пазарният лихвен процент е под купоновия лихвен процент, пазарната цена е над номинала и облигацията се продава с премия.</w:t>
      </w:r>
    </w:p>
    <w:p w:rsidR="003463D5" w:rsidRDefault="003463D5" w:rsidP="003463D5">
      <w:pPr>
        <w:pStyle w:val="a4"/>
        <w:numPr>
          <w:ilvl w:val="0"/>
          <w:numId w:val="11"/>
        </w:numPr>
        <w:rPr>
          <w:lang w:val="bg-BG"/>
        </w:rPr>
      </w:pPr>
      <w:r>
        <w:rPr>
          <w:lang w:val="bg-BG"/>
        </w:rPr>
        <w:t>Когато пазарният лихвен процент е над купоновия лихвен процент, пазарната цена е под номинала и облигацията се продава с отбив.</w:t>
      </w:r>
    </w:p>
    <w:p w:rsidR="003463D5" w:rsidRDefault="003463D5" w:rsidP="003463D5">
      <w:pPr>
        <w:pStyle w:val="a4"/>
        <w:numPr>
          <w:ilvl w:val="0"/>
          <w:numId w:val="11"/>
        </w:numPr>
        <w:rPr>
          <w:lang w:val="bg-BG"/>
        </w:rPr>
      </w:pPr>
      <w:r>
        <w:rPr>
          <w:lang w:val="bg-BG"/>
        </w:rPr>
        <w:t>Текущите цени на облигациите и лихвените проценти са в обратна зависимост.</w:t>
      </w:r>
    </w:p>
    <w:p w:rsidR="003463D5" w:rsidRDefault="003463D5" w:rsidP="003463D5">
      <w:pPr>
        <w:rPr>
          <w:lang w:val="bg-BG"/>
        </w:rPr>
      </w:pPr>
    </w:p>
    <w:p w:rsidR="003463D5" w:rsidRPr="00AF17AC" w:rsidRDefault="003463D5" w:rsidP="003463D5">
      <w:pPr>
        <w:rPr>
          <w:b/>
          <w:lang w:val="bg-BG"/>
        </w:rPr>
      </w:pPr>
      <w:r w:rsidRPr="00AF17AC">
        <w:rPr>
          <w:b/>
          <w:lang w:val="bg-BG"/>
        </w:rPr>
        <w:t>Сконтова облигация</w:t>
      </w:r>
    </w:p>
    <w:p w:rsidR="003463D5" w:rsidRPr="00354A7C" w:rsidRDefault="00354A7C" w:rsidP="003463D5">
      <w:pPr>
        <w:rPr>
          <w:rFonts w:ascii="Cambria Math" w:hAnsi="Cambria Math"/>
          <w:oMath/>
        </w:rPr>
      </w:pPr>
      <m:oMathPara>
        <m:oMathParaPr>
          <m:jc m:val="left"/>
        </m:oMathParaPr>
        <m:oMath>
          <m:r>
            <w:rPr>
              <w:rFonts w:ascii="Cambria Math" w:hAnsi="Cambria Math"/>
            </w:rPr>
            <m:t>P=</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(1+i)</m:t>
                  </m:r>
                </m:e>
                <m:sup>
                  <m:r>
                    <w:rPr>
                      <w:rFonts w:ascii="Cambria Math" w:hAnsi="Cambria Math"/>
                    </w:rPr>
                    <m:t>n</m:t>
                  </m:r>
                </m:sup>
              </m:sSup>
            </m:den>
          </m:f>
        </m:oMath>
      </m:oMathPara>
    </w:p>
    <w:p w:rsidR="003463D5" w:rsidRDefault="003463D5" w:rsidP="00617333">
      <w:pPr>
        <w:rPr>
          <w:lang w:val="bg-BG"/>
        </w:rPr>
      </w:pPr>
      <w:r>
        <w:lastRenderedPageBreak/>
        <w:t xml:space="preserve">N </w:t>
      </w:r>
      <w:r w:rsidR="00617333">
        <w:t>–</w:t>
      </w:r>
      <w:r>
        <w:t xml:space="preserve"> </w:t>
      </w:r>
      <w:proofErr w:type="gramStart"/>
      <w:r w:rsidRPr="00617333">
        <w:rPr>
          <w:lang w:val="bg-BG"/>
        </w:rPr>
        <w:t>номинал</w:t>
      </w:r>
      <w:proofErr w:type="gramEnd"/>
    </w:p>
    <w:p w:rsidR="00354A7C" w:rsidRDefault="00354A7C" w:rsidP="00617333"/>
    <w:p w:rsidR="00617333" w:rsidRDefault="00617333" w:rsidP="00617333">
      <w:pPr>
        <w:rPr>
          <w:lang w:val="bg-BG"/>
        </w:rPr>
      </w:pPr>
      <w:r>
        <w:rPr>
          <w:lang w:val="bg-BG"/>
        </w:rPr>
        <w:t>Задача 5: намерете цената на едногодишен сконтов съкровищен бон, който има номинална стойност 1000 лв. при обещана доходност 10%.</w:t>
      </w:r>
    </w:p>
    <w:p w:rsidR="00617333" w:rsidRDefault="00617333" w:rsidP="00617333">
      <w:r>
        <w:t>N=1000</w:t>
      </w:r>
    </w:p>
    <w:p w:rsidR="00617333" w:rsidRDefault="00617333" w:rsidP="00617333">
      <w:proofErr w:type="spellStart"/>
      <w:r>
        <w:t>i</w:t>
      </w:r>
      <w:proofErr w:type="spellEnd"/>
      <w:r>
        <w:t>=10%</w:t>
      </w:r>
    </w:p>
    <w:p w:rsidR="00617333" w:rsidRDefault="00617333" w:rsidP="00617333">
      <w:r>
        <w:t>n=1</w:t>
      </w:r>
    </w:p>
    <w:p w:rsidR="00354A7C" w:rsidRPr="00354A7C" w:rsidRDefault="00354A7C" w:rsidP="00617333">
      <m:oMathPara>
        <m:oMathParaPr>
          <m:jc m:val="left"/>
        </m:oMathParaPr>
        <m:oMath>
          <m:r>
            <w:rPr>
              <w:rFonts w:ascii="Cambria Math" w:hAnsi="Cambria Math"/>
            </w:rPr>
            <m:t>P=</m:t>
          </m:r>
          <m:f>
            <m:fPr>
              <m:ctrlPr>
                <w:rPr>
                  <w:rFonts w:ascii="Cambria Math" w:hAnsi="Cambria Math"/>
                  <w:i/>
                </w:rPr>
              </m:ctrlPr>
            </m:fPr>
            <m:num>
              <m:r>
                <w:rPr>
                  <w:rFonts w:ascii="Cambria Math" w:hAnsi="Cambria Math"/>
                </w:rPr>
                <m:t>1000</m:t>
              </m:r>
            </m:num>
            <m:den>
              <m:sSup>
                <m:sSupPr>
                  <m:ctrlPr>
                    <w:rPr>
                      <w:rFonts w:ascii="Cambria Math" w:hAnsi="Cambria Math"/>
                      <w:i/>
                    </w:rPr>
                  </m:ctrlPr>
                </m:sSupPr>
                <m:e>
                  <m:r>
                    <w:rPr>
                      <w:rFonts w:ascii="Cambria Math" w:hAnsi="Cambria Math"/>
                    </w:rPr>
                    <m:t>(1+0,1)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1,1</m:t>
              </m:r>
            </m:den>
          </m:f>
          <m:r>
            <w:rPr>
              <w:rFonts w:ascii="Cambria Math" w:hAnsi="Cambria Math"/>
            </w:rPr>
            <m:t>=909</m:t>
          </m:r>
          <m:r>
            <w:rPr>
              <w:rFonts w:ascii="Cambria Math" w:hAnsi="Cambria Math"/>
            </w:rPr>
            <m:t>,</m:t>
          </m:r>
          <m:r>
            <w:rPr>
              <w:rFonts w:ascii="Cambria Math" w:hAnsi="Cambria Math"/>
            </w:rPr>
            <m:t>09</m:t>
          </m:r>
        </m:oMath>
      </m:oMathPara>
    </w:p>
    <w:p w:rsidR="00617333" w:rsidRDefault="00617333" w:rsidP="00617333"/>
    <w:p w:rsidR="00617333" w:rsidRDefault="00617333" w:rsidP="00617333">
      <w:pPr>
        <w:rPr>
          <w:lang w:val="bg-BG"/>
        </w:rPr>
      </w:pPr>
      <w:r>
        <w:rPr>
          <w:lang w:val="bg-BG"/>
        </w:rPr>
        <w:t>Тримесечна сконтова ценна книга дава доходност 3%, а шестмесечна дава доходност 4%. Коя книга е по-доходна?</w:t>
      </w:r>
    </w:p>
    <w:p w:rsidR="00617333" w:rsidRPr="00617333" w:rsidRDefault="00617333" w:rsidP="00617333">
      <w:r>
        <w:t>P=1000</w:t>
      </w:r>
    </w:p>
    <w:p w:rsidR="00617333" w:rsidRPr="00617333" w:rsidRDefault="00617333" w:rsidP="00617333">
      <w:pPr>
        <w:pStyle w:val="a4"/>
        <w:numPr>
          <w:ilvl w:val="0"/>
          <w:numId w:val="13"/>
        </w:numPr>
        <w:rPr>
          <w:lang w:val="bg-BG"/>
        </w:rPr>
      </w:pPr>
      <w:r w:rsidRPr="00617333">
        <w:rPr>
          <w:lang w:val="bg-BG"/>
        </w:rPr>
        <w:t>ПИБ – депозит при 9% годишен лихвен процент (месечно олихвяване)</w:t>
      </w:r>
    </w:p>
    <w:p w:rsidR="00617333" w:rsidRDefault="00617333" w:rsidP="00617333">
      <w:pPr>
        <w:pStyle w:val="a4"/>
        <w:numPr>
          <w:ilvl w:val="0"/>
          <w:numId w:val="13"/>
        </w:numPr>
      </w:pPr>
      <w:r w:rsidRPr="00617333">
        <w:rPr>
          <w:lang w:val="bg-BG"/>
        </w:rPr>
        <w:t>ОББ – депозит при 7,9% годишен лихвен процент (седмично олихвяване)</w:t>
      </w:r>
    </w:p>
    <w:p w:rsidR="003114E2" w:rsidRDefault="003114E2" w:rsidP="003114E2"/>
    <w:p w:rsidR="00617333" w:rsidRDefault="00617333" w:rsidP="00617333">
      <w:pPr>
        <w:pStyle w:val="a4"/>
        <w:numPr>
          <w:ilvl w:val="0"/>
          <w:numId w:val="14"/>
        </w:numPr>
      </w:pPr>
      <w:r>
        <w:t>9%/12</w:t>
      </w:r>
      <w:r w:rsidR="003114E2">
        <w:t xml:space="preserve"> </w:t>
      </w:r>
      <w:r w:rsidR="003114E2">
        <w:rPr>
          <w:lang w:val="bg-BG"/>
        </w:rPr>
        <w:t>месеца</w:t>
      </w:r>
      <w:r>
        <w:t>=0,75%</w:t>
      </w:r>
    </w:p>
    <w:p w:rsidR="00617333" w:rsidRDefault="00617333" w:rsidP="00617333">
      <w:r>
        <w:t>1000</w:t>
      </w:r>
      <w:proofErr w:type="gramStart"/>
      <w:r w:rsidR="00354A7C">
        <w:t>.</w:t>
      </w:r>
      <w:r>
        <w:t>(</w:t>
      </w:r>
      <w:proofErr w:type="gramEnd"/>
      <w:r>
        <w:t>1+0,0075)</w:t>
      </w:r>
      <w:r w:rsidRPr="00617333">
        <w:rPr>
          <w:vertAlign w:val="superscript"/>
        </w:rPr>
        <w:t>12</w:t>
      </w:r>
      <w:r>
        <w:t>=1093,8</w:t>
      </w:r>
    </w:p>
    <w:p w:rsidR="00617333" w:rsidRDefault="00617333" w:rsidP="00617333">
      <w:pPr>
        <w:rPr>
          <w:lang w:val="bg-BG"/>
        </w:rPr>
      </w:pPr>
      <w:r>
        <w:rPr>
          <w:lang w:val="bg-BG"/>
        </w:rPr>
        <w:t>Ефективната годишна доходност е лихвата, натрупана в края на годината, изразена като процент от главницата.</w:t>
      </w:r>
    </w:p>
    <w:p w:rsidR="00354A7C" w:rsidRPr="00354A7C" w:rsidRDefault="00354A7C" w:rsidP="00617333">
      <m:oMathPara>
        <m:oMathParaPr>
          <m:jc m:val="left"/>
        </m:oMathParaPr>
        <m:oMath>
          <m:r>
            <m:rPr>
              <m:sty m:val="p"/>
            </m:rPr>
            <w:rPr>
              <w:rFonts w:ascii="Cambria Math" w:hAnsi="Cambria Math"/>
            </w:rPr>
            <m:t>i</m:t>
          </m:r>
          <m:r>
            <m:rPr>
              <m:nor/>
            </m:rPr>
            <w:rPr>
              <w:rFonts w:ascii="Cambria Math" w:hAnsi="Cambria Math"/>
              <w:vertAlign w:val="subscript"/>
            </w:rPr>
            <m:t xml:space="preserve">ef </m:t>
          </m:r>
          <m:r>
            <m:rPr>
              <m:nor/>
            </m:rPr>
            <w:rPr>
              <w:rFonts w:ascii="Cambria Math" w:hAnsi="Cambria Math"/>
            </w:rPr>
            <m:t>=</m:t>
          </m:r>
          <m:f>
            <m:fPr>
              <m:ctrlPr>
                <w:rPr>
                  <w:rFonts w:ascii="Cambria Math" w:hAnsi="Cambria Math"/>
                  <w:i/>
                </w:rPr>
              </m:ctrlPr>
            </m:fPr>
            <m:num>
              <m:r>
                <w:rPr>
                  <w:rFonts w:ascii="Cambria Math" w:hAnsi="Cambria Math"/>
                </w:rPr>
                <m:t>1093,8-1000</m:t>
              </m:r>
            </m:num>
            <m:den>
              <m:r>
                <w:rPr>
                  <w:rFonts w:ascii="Cambria Math" w:hAnsi="Cambria Math"/>
                </w:rPr>
                <m:t>1000</m:t>
              </m:r>
            </m:den>
          </m:f>
          <m:r>
            <w:rPr>
              <w:rFonts w:ascii="Cambria Math" w:hAnsi="Cambria Math"/>
            </w:rPr>
            <m:t>=0,0938→9,38%</m:t>
          </m:r>
        </m:oMath>
      </m:oMathPara>
    </w:p>
    <w:p w:rsidR="003114E2" w:rsidRDefault="003114E2" w:rsidP="003114E2">
      <w:pPr>
        <w:pStyle w:val="a4"/>
        <w:numPr>
          <w:ilvl w:val="0"/>
          <w:numId w:val="14"/>
        </w:numPr>
      </w:pPr>
      <w:r>
        <w:t>7,9%/52</w:t>
      </w:r>
      <w:r>
        <w:rPr>
          <w:lang w:val="bg-BG"/>
        </w:rPr>
        <w:t xml:space="preserve"> седмици</w:t>
      </w:r>
      <w:r>
        <w:t>=0,1519%</w:t>
      </w:r>
    </w:p>
    <w:p w:rsidR="003114E2" w:rsidRDefault="003114E2" w:rsidP="003114E2">
      <w:r>
        <w:t>1000</w:t>
      </w:r>
      <w:proofErr w:type="gramStart"/>
      <w:r w:rsidR="00354A7C">
        <w:t>.</w:t>
      </w:r>
      <w:r>
        <w:t>(</w:t>
      </w:r>
      <w:proofErr w:type="gramEnd"/>
      <w:r>
        <w:t>1+0,001519)</w:t>
      </w:r>
      <w:r w:rsidRPr="003114E2">
        <w:rPr>
          <w:vertAlign w:val="superscript"/>
        </w:rPr>
        <w:t>52</w:t>
      </w:r>
      <w:r>
        <w:t>=1082</w:t>
      </w:r>
    </w:p>
    <w:p w:rsidR="003114E2" w:rsidRPr="00354A7C" w:rsidRDefault="00354A7C" w:rsidP="003114E2">
      <w:pPr>
        <w:rPr>
          <w:rFonts w:eastAsiaTheme="minorEastAsia"/>
        </w:rPr>
      </w:pPr>
      <m:oMathPara>
        <m:oMathParaPr>
          <m:jc m:val="left"/>
        </m:oMathParaPr>
        <m:oMath>
          <m:r>
            <m:rPr>
              <m:sty m:val="p"/>
            </m:rPr>
            <w:rPr>
              <w:rFonts w:ascii="Cambria Math" w:hAnsi="Cambria Math"/>
            </w:rPr>
            <m:t>i</m:t>
          </m:r>
          <m:r>
            <m:rPr>
              <m:nor/>
            </m:rPr>
            <w:rPr>
              <w:rFonts w:ascii="Cambria Math" w:hAnsi="Cambria Math"/>
              <w:vertAlign w:val="subscript"/>
            </w:rPr>
            <m:t xml:space="preserve">ef </m:t>
          </m:r>
          <m:r>
            <m:rPr>
              <m:nor/>
            </m:rPr>
            <w:rPr>
              <w:rFonts w:ascii="Cambria Math" w:hAnsi="Cambria Math"/>
            </w:rPr>
            <m:t>=</m:t>
          </m:r>
          <m:f>
            <m:fPr>
              <m:ctrlPr>
                <w:rPr>
                  <w:rFonts w:ascii="Cambria Math" w:hAnsi="Cambria Math"/>
                  <w:i/>
                </w:rPr>
              </m:ctrlPr>
            </m:fPr>
            <m:num>
              <m:r>
                <w:rPr>
                  <w:rFonts w:ascii="Cambria Math" w:hAnsi="Cambria Math"/>
                </w:rPr>
                <m:t>1082-1000</m:t>
              </m:r>
            </m:num>
            <m:den>
              <m:r>
                <w:rPr>
                  <w:rFonts w:ascii="Cambria Math" w:hAnsi="Cambria Math"/>
                </w:rPr>
                <m:t>1000</m:t>
              </m:r>
            </m:den>
          </m:f>
          <m:r>
            <w:rPr>
              <w:rFonts w:ascii="Cambria Math" w:hAnsi="Cambria Math"/>
            </w:rPr>
            <m:t>=0,082→8,2%</m:t>
          </m:r>
        </m:oMath>
      </m:oMathPara>
    </w:p>
    <w:p w:rsidR="00354A7C" w:rsidRPr="00354A7C" w:rsidRDefault="00354A7C" w:rsidP="003114E2">
      <w:pPr>
        <w:rPr>
          <w:lang w:val="bg-BG"/>
        </w:rPr>
      </w:pPr>
    </w:p>
    <w:p w:rsidR="00ED2155" w:rsidRPr="00ED2155" w:rsidRDefault="00ED2155" w:rsidP="003114E2">
      <m:oMathPara>
        <m:oMathParaPr>
          <m:jc m:val="left"/>
        </m:oMathParaPr>
        <m:oMath>
          <m:r>
            <w:rPr>
              <w:rFonts w:ascii="Cambria Math" w:hAnsi="Cambria Math"/>
              <w:sz w:val="24"/>
            </w:rPr>
            <m:t>i</m:t>
          </m:r>
          <m:r>
            <m:rPr>
              <m:nor/>
            </m:rPr>
            <w:rPr>
              <w:rFonts w:ascii="Cambria Math" w:hAnsi="Cambria Math"/>
              <w:i/>
              <w:sz w:val="24"/>
              <w:vertAlign w:val="subscript"/>
            </w:rPr>
            <m:t>ef</m:t>
          </m:r>
          <m:r>
            <w:rPr>
              <w:rFonts w:ascii="Cambria Math" w:hAnsi="Cambria Math"/>
              <w:sz w:val="24"/>
            </w:rPr>
            <m:t>=</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1+0,079</m:t>
                  </m:r>
                </m:num>
                <m:den>
                  <m:r>
                    <w:rPr>
                      <w:rFonts w:ascii="Cambria Math" w:hAnsi="Cambria Math"/>
                      <w:sz w:val="24"/>
                    </w:rPr>
                    <m:t>12</m:t>
                  </m:r>
                </m:den>
              </m:f>
              <m:r>
                <w:rPr>
                  <w:rFonts w:ascii="Cambria Math" w:hAnsi="Cambria Math"/>
                  <w:sz w:val="24"/>
                </w:rPr>
                <m:t>)</m:t>
              </m:r>
            </m:e>
            <m:sup>
              <m:r>
                <w:rPr>
                  <w:rFonts w:ascii="Cambria Math" w:hAnsi="Cambria Math"/>
                  <w:sz w:val="24"/>
                </w:rPr>
                <m:t>12</m:t>
              </m:r>
            </m:sup>
          </m:sSup>
          <m:r>
            <w:rPr>
              <w:rFonts w:ascii="Cambria Math" w:hAnsi="Cambria Math"/>
              <w:sz w:val="24"/>
            </w:rPr>
            <m:t>-1=0,0938→9,38%</m:t>
          </m:r>
        </m:oMath>
      </m:oMathPara>
    </w:p>
    <w:p w:rsidR="003114E2" w:rsidRDefault="003114E2" w:rsidP="003114E2"/>
    <w:p w:rsidR="003114E2" w:rsidRPr="00354A7C" w:rsidRDefault="003114E2" w:rsidP="003114E2">
      <w:pPr>
        <w:rPr>
          <w:b/>
          <w:lang w:val="bg-BG"/>
        </w:rPr>
      </w:pPr>
      <w:r w:rsidRPr="00354A7C">
        <w:rPr>
          <w:b/>
          <w:lang w:val="bg-BG"/>
        </w:rPr>
        <w:t>Съкровищни облигации</w:t>
      </w:r>
    </w:p>
    <w:p w:rsidR="003114E2" w:rsidRDefault="003114E2" w:rsidP="003114E2">
      <w:pPr>
        <w:rPr>
          <w:lang w:val="bg-BG"/>
        </w:rPr>
      </w:pPr>
      <w:r>
        <w:rPr>
          <w:lang w:val="bg-BG"/>
        </w:rPr>
        <w:t>Разполагате с 3-месечна съкровищна облигация, имаща номинал 1000 лв., която се продава по цена 971 лв. и 6-месечна съкровищна облигация с номинал 1000 лв. и се продава по 942 лв. В коя облигация ще инвестирате?</w:t>
      </w:r>
    </w:p>
    <w:p w:rsidR="00ED2155" w:rsidRPr="00ED2155" w:rsidRDefault="00ED2155" w:rsidP="003114E2">
      <m:oMathPara>
        <m:oMathParaPr>
          <m:jc m:val="left"/>
        </m:oMathParaPr>
        <m:oMath>
          <m:r>
            <w:rPr>
              <w:rFonts w:ascii="Cambria Math" w:hAnsi="Cambria Math"/>
            </w:rPr>
            <m:t>P=</m:t>
          </m:r>
          <m:f>
            <m:fPr>
              <m:ctrlPr>
                <w:rPr>
                  <w:rFonts w:ascii="Cambria Math" w:hAnsi="Cambria Math"/>
                  <w:i/>
                </w:rPr>
              </m:ctrlPr>
            </m:fPr>
            <m:num>
              <m:r>
                <w:rPr>
                  <w:rFonts w:ascii="Cambria Math" w:hAnsi="Cambria Math"/>
                </w:rPr>
                <m:t>N</m:t>
              </m:r>
            </m:num>
            <m:den>
              <m:r>
                <w:rPr>
                  <w:rFonts w:ascii="Cambria Math" w:hAnsi="Cambria Math"/>
                </w:rPr>
                <m:t>1+i</m:t>
              </m:r>
            </m:den>
          </m:f>
        </m:oMath>
      </m:oMathPara>
    </w:p>
    <w:p w:rsidR="00ED2155" w:rsidRPr="00ED2155" w:rsidRDefault="00ED2155" w:rsidP="003114E2">
      <m:oMathPara>
        <m:oMathParaPr>
          <m:jc m:val="left"/>
        </m:oMathParaPr>
        <m:oMath>
          <m:r>
            <w:rPr>
              <w:rFonts w:ascii="Cambria Math" w:hAnsi="Cambria Math"/>
            </w:rPr>
            <m:t>i=</m:t>
          </m:r>
          <m:f>
            <m:fPr>
              <m:ctrlPr>
                <w:rPr>
                  <w:rFonts w:ascii="Cambria Math" w:hAnsi="Cambria Math"/>
                  <w:i/>
                </w:rPr>
              </m:ctrlPr>
            </m:fPr>
            <m:num>
              <m:r>
                <w:rPr>
                  <w:rFonts w:ascii="Cambria Math" w:hAnsi="Cambria Math"/>
                </w:rPr>
                <m:t>N-P</m:t>
              </m:r>
            </m:num>
            <m:den>
              <m:r>
                <w:rPr>
                  <w:rFonts w:ascii="Cambria Math" w:hAnsi="Cambria Math"/>
                </w:rPr>
                <m:t>P</m:t>
              </m:r>
            </m:den>
          </m:f>
        </m:oMath>
      </m:oMathPara>
    </w:p>
    <w:p w:rsidR="00B83FF2" w:rsidRPr="00B83FF2" w:rsidRDefault="00B83FF2" w:rsidP="003114E2">
      <m:oMathPara>
        <m:oMathParaPr>
          <m:jc m:val="left"/>
        </m:oMathParaPr>
        <m:oMath>
          <m:r>
            <w:rPr>
              <w:rFonts w:ascii="Cambria Math" w:hAnsi="Cambria Math"/>
            </w:rPr>
            <m:t>i</m:t>
          </m:r>
          <m:r>
            <m:rPr>
              <m:nor/>
            </m:rPr>
            <w:rPr>
              <w:rFonts w:ascii="Cambria Math" w:hAnsi="Cambria Math"/>
              <w:vertAlign w:val="subscript"/>
            </w:rPr>
            <m:t>3</m:t>
          </m:r>
          <m:r>
            <w:rPr>
              <w:rFonts w:ascii="Cambria Math" w:hAnsi="Cambria Math"/>
            </w:rPr>
            <m:t>=</m:t>
          </m:r>
          <m:f>
            <m:fPr>
              <m:ctrlPr>
                <w:rPr>
                  <w:rFonts w:ascii="Cambria Math" w:hAnsi="Cambria Math"/>
                  <w:i/>
                </w:rPr>
              </m:ctrlPr>
            </m:fPr>
            <m:num>
              <m:r>
                <w:rPr>
                  <w:rFonts w:ascii="Cambria Math" w:hAnsi="Cambria Math"/>
                </w:rPr>
                <m:t>1000-971</m:t>
              </m:r>
            </m:num>
            <m:den>
              <m:r>
                <w:rPr>
                  <w:rFonts w:ascii="Cambria Math" w:hAnsi="Cambria Math"/>
                </w:rPr>
                <m:t>971</m:t>
              </m:r>
            </m:den>
          </m:f>
          <m:r>
            <w:rPr>
              <w:rFonts w:ascii="Cambria Math" w:hAnsi="Cambria Math"/>
            </w:rPr>
            <m:t>=0,0299→2,99%</m:t>
          </m:r>
        </m:oMath>
      </m:oMathPara>
    </w:p>
    <w:p w:rsidR="003114E2" w:rsidRPr="00270109" w:rsidRDefault="00494D0A" w:rsidP="003114E2">
      <w:pPr>
        <w:rPr>
          <w:rFonts w:ascii="Cambria Math" w:hAnsi="Cambria Math"/>
          <w:sz w:val="24"/>
        </w:rPr>
      </w:pPr>
      <w:r w:rsidRPr="00270109">
        <w:rPr>
          <w:rFonts w:ascii="Cambria Math" w:hAnsi="Cambria Math"/>
          <w:sz w:val="24"/>
        </w:rPr>
        <w:t>1+i</w:t>
      </w:r>
      <w:r w:rsidRPr="00270109">
        <w:rPr>
          <w:rFonts w:ascii="Cambria Math" w:hAnsi="Cambria Math"/>
          <w:sz w:val="24"/>
          <w:vertAlign w:val="subscript"/>
        </w:rPr>
        <w:t>ef</w:t>
      </w:r>
      <w:r w:rsidR="00B83FF2" w:rsidRPr="00270109">
        <w:rPr>
          <w:rFonts w:ascii="Cambria Math" w:hAnsi="Cambria Math"/>
          <w:sz w:val="24"/>
          <w:vertAlign w:val="subscript"/>
        </w:rPr>
        <w:t xml:space="preserve"> </w:t>
      </w:r>
      <w:r w:rsidRPr="00270109">
        <w:rPr>
          <w:rFonts w:ascii="Cambria Math" w:hAnsi="Cambria Math"/>
          <w:sz w:val="24"/>
        </w:rPr>
        <w:t>=</w:t>
      </w:r>
      <w:r w:rsidR="00B83FF2" w:rsidRPr="00270109">
        <w:rPr>
          <w:rFonts w:ascii="Cambria Math" w:hAnsi="Cambria Math"/>
          <w:sz w:val="24"/>
        </w:rPr>
        <w:t xml:space="preserve"> </w:t>
      </w:r>
      <w:r w:rsidRPr="00270109">
        <w:rPr>
          <w:rFonts w:ascii="Cambria Math" w:hAnsi="Cambria Math"/>
          <w:sz w:val="24"/>
        </w:rPr>
        <w:t>(1+i</w:t>
      </w:r>
      <w:r w:rsidRPr="00270109">
        <w:rPr>
          <w:rFonts w:ascii="Cambria Math" w:hAnsi="Cambria Math"/>
          <w:sz w:val="24"/>
          <w:vertAlign w:val="subscript"/>
        </w:rPr>
        <w:t>m</w:t>
      </w:r>
      <w:proofErr w:type="gramStart"/>
      <w:r w:rsidRPr="00270109">
        <w:rPr>
          <w:rFonts w:ascii="Cambria Math" w:hAnsi="Cambria Math"/>
          <w:sz w:val="24"/>
        </w:rPr>
        <w:t>)</w:t>
      </w:r>
      <w:r w:rsidRPr="00270109">
        <w:rPr>
          <w:rFonts w:ascii="Cambria Math" w:hAnsi="Cambria Math"/>
          <w:sz w:val="24"/>
          <w:vertAlign w:val="superscript"/>
        </w:rPr>
        <w:t>m</w:t>
      </w:r>
      <w:proofErr w:type="gramEnd"/>
    </w:p>
    <w:p w:rsidR="009A43A7" w:rsidRPr="009A43A7" w:rsidRDefault="009A43A7" w:rsidP="003114E2">
      <m:oMathPara>
        <m:oMathParaPr>
          <m:jc m:val="left"/>
        </m:oMathParaPr>
        <m:oMath>
          <m:r>
            <w:rPr>
              <w:rFonts w:ascii="Cambria Math" w:hAnsi="Cambria Math"/>
            </w:rPr>
            <m:t>1</m:t>
          </m:r>
          <m:r>
            <m:rPr>
              <m:nor/>
            </m:rPr>
            <w:rPr>
              <w:rFonts w:ascii="Cambria Math" w:hAnsi="Cambria Math"/>
              <w:vertAlign w:val="subscript"/>
            </w:rPr>
            <m:t>ef</m:t>
          </m:r>
          <m:r>
            <w:rPr>
              <w:rFonts w:ascii="Cambria Math" w:hAnsi="Cambria Math"/>
            </w:rPr>
            <m:t>=</m:t>
          </m:r>
          <m:sSup>
            <m:sSupPr>
              <m:ctrlPr>
                <w:rPr>
                  <w:rFonts w:ascii="Cambria Math" w:hAnsi="Cambria Math"/>
                  <w:i/>
                </w:rPr>
              </m:ctrlPr>
            </m:sSupPr>
            <m:e>
              <m:r>
                <w:rPr>
                  <w:rFonts w:ascii="Cambria Math" w:hAnsi="Cambria Math"/>
                </w:rPr>
                <m:t>(1+0,0299)</m:t>
              </m:r>
            </m:e>
            <m:sup>
              <m:r>
                <w:rPr>
                  <w:rFonts w:ascii="Cambria Math" w:hAnsi="Cambria Math"/>
                </w:rPr>
                <m:t>4</m:t>
              </m:r>
            </m:sup>
          </m:sSup>
          <m:r>
            <w:rPr>
              <w:rFonts w:ascii="Cambria Math" w:hAnsi="Cambria Math"/>
            </w:rPr>
            <m:t>-1=0,1251→12,51%</m:t>
          </m:r>
        </m:oMath>
      </m:oMathPara>
    </w:p>
    <w:p w:rsidR="009A43A7" w:rsidRPr="009A43A7" w:rsidRDefault="009A43A7" w:rsidP="003114E2">
      <m:oMathPara>
        <m:oMathParaPr>
          <m:jc m:val="left"/>
        </m:oMathParaPr>
        <m:oMath>
          <m:r>
            <w:rPr>
              <w:rFonts w:ascii="Cambria Math" w:hAnsi="Cambria Math"/>
            </w:rPr>
            <m:t>i</m:t>
          </m:r>
          <m:r>
            <m:rPr>
              <m:nor/>
            </m:rPr>
            <w:rPr>
              <w:rFonts w:ascii="Cambria Math" w:hAnsi="Cambria Math"/>
              <w:vertAlign w:val="subscript"/>
            </w:rPr>
            <m:t>6</m:t>
          </m:r>
          <m:r>
            <w:rPr>
              <w:rFonts w:ascii="Cambria Math" w:hAnsi="Cambria Math"/>
            </w:rPr>
            <m:t>=</m:t>
          </m:r>
          <m:f>
            <m:fPr>
              <m:ctrlPr>
                <w:rPr>
                  <w:rFonts w:ascii="Cambria Math" w:hAnsi="Cambria Math"/>
                  <w:i/>
                </w:rPr>
              </m:ctrlPr>
            </m:fPr>
            <m:num>
              <m:r>
                <w:rPr>
                  <w:rFonts w:ascii="Cambria Math" w:hAnsi="Cambria Math"/>
                </w:rPr>
                <m:t>1000-942</m:t>
              </m:r>
            </m:num>
            <m:den>
              <m:r>
                <w:rPr>
                  <w:rFonts w:ascii="Cambria Math" w:hAnsi="Cambria Math"/>
                </w:rPr>
                <m:t>942</m:t>
              </m:r>
            </m:den>
          </m:f>
          <m:r>
            <w:rPr>
              <w:rFonts w:ascii="Cambria Math" w:hAnsi="Cambria Math"/>
            </w:rPr>
            <m:t>=0,616→6,16%</m:t>
          </m:r>
        </m:oMath>
      </m:oMathPara>
    </w:p>
    <w:p w:rsidR="00270109" w:rsidRPr="009A43A7" w:rsidRDefault="00270109" w:rsidP="00270109">
      <m:oMathPara>
        <m:oMathParaPr>
          <m:jc m:val="left"/>
        </m:oMathParaPr>
        <m:oMath>
          <m:r>
            <w:rPr>
              <w:rFonts w:ascii="Cambria Math" w:hAnsi="Cambria Math"/>
            </w:rPr>
            <m:t>1</m:t>
          </m:r>
          <m:r>
            <m:rPr>
              <m:nor/>
            </m:rPr>
            <w:rPr>
              <w:rFonts w:ascii="Cambria Math" w:hAnsi="Cambria Math"/>
              <w:vertAlign w:val="subscript"/>
            </w:rPr>
            <m:t>ef</m:t>
          </m:r>
          <m:r>
            <w:rPr>
              <w:rFonts w:ascii="Cambria Math" w:hAnsi="Cambria Math"/>
            </w:rPr>
            <m:t>=</m:t>
          </m:r>
          <m:sSup>
            <m:sSupPr>
              <m:ctrlPr>
                <w:rPr>
                  <w:rFonts w:ascii="Cambria Math" w:hAnsi="Cambria Math"/>
                  <w:i/>
                </w:rPr>
              </m:ctrlPr>
            </m:sSupPr>
            <m:e>
              <m:r>
                <w:rPr>
                  <w:rFonts w:ascii="Cambria Math" w:hAnsi="Cambria Math"/>
                </w:rPr>
                <m:t>(1+0,0616)</m:t>
              </m:r>
            </m:e>
            <m:sup>
              <m:r>
                <w:rPr>
                  <w:rFonts w:ascii="Cambria Math" w:hAnsi="Cambria Math"/>
                </w:rPr>
                <m:t>2</m:t>
              </m:r>
            </m:sup>
          </m:sSup>
          <m:r>
            <w:rPr>
              <w:rFonts w:ascii="Cambria Math" w:hAnsi="Cambria Math"/>
            </w:rPr>
            <m:t>-1=0,1270→12,7%</m:t>
          </m:r>
        </m:oMath>
      </m:oMathPara>
    </w:p>
    <w:p w:rsidR="00494D0A" w:rsidRDefault="00494D0A" w:rsidP="003114E2"/>
    <w:p w:rsidR="00D55E31" w:rsidRPr="00270109" w:rsidRDefault="00D55E31" w:rsidP="003114E2">
      <w:pPr>
        <w:rPr>
          <w:b/>
          <w:lang w:val="bg-BG"/>
        </w:rPr>
      </w:pPr>
      <w:r w:rsidRPr="00270109">
        <w:rPr>
          <w:b/>
          <w:lang w:val="bg-BG"/>
        </w:rPr>
        <w:t>Текуща доходност</w:t>
      </w:r>
    </w:p>
    <w:p w:rsidR="00270109" w:rsidRPr="00270109" w:rsidRDefault="00270109" w:rsidP="00270109">
      <w:pPr>
        <w:spacing w:after="0"/>
      </w:pPr>
      <m:oMathPara>
        <m:oMathParaPr>
          <m:jc m:val="left"/>
        </m:oMathParaPr>
        <m:oMath>
          <m:r>
            <w:rPr>
              <w:rFonts w:ascii="Cambria Math" w:hAnsi="Cambria Math"/>
            </w:rPr>
            <m:t>I</m:t>
          </m:r>
          <m:r>
            <m:rPr>
              <m:nor/>
            </m:rPr>
            <w:rPr>
              <w:rFonts w:ascii="Cambria Math" w:hAnsi="Cambria Math"/>
              <w:i/>
              <w:vertAlign w:val="subscript"/>
            </w:rPr>
            <m:t>c</m:t>
          </m:r>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P</m:t>
              </m:r>
              <m:r>
                <m:rPr>
                  <m:nor/>
                </m:rPr>
                <w:rPr>
                  <w:rFonts w:ascii="Cambria Math" w:hAnsi="Cambria Math"/>
                  <w:i/>
                  <w:vertAlign w:val="subscript"/>
                </w:rPr>
                <m:t>b</m:t>
              </m:r>
            </m:den>
          </m:f>
        </m:oMath>
      </m:oMathPara>
    </w:p>
    <w:p w:rsidR="00D55E31" w:rsidRDefault="00D55E31" w:rsidP="00270109">
      <w:pPr>
        <w:spacing w:after="0"/>
        <w:rPr>
          <w:lang w:val="bg-BG"/>
        </w:rPr>
      </w:pPr>
      <w:r>
        <w:t xml:space="preserve">C – </w:t>
      </w:r>
      <w:r>
        <w:rPr>
          <w:lang w:val="bg-BG"/>
        </w:rPr>
        <w:t>купоново плащане</w:t>
      </w:r>
    </w:p>
    <w:p w:rsidR="00D55E31" w:rsidRDefault="00D55E31" w:rsidP="00270109">
      <w:pPr>
        <w:spacing w:after="0"/>
        <w:rPr>
          <w:lang w:val="bg-BG"/>
        </w:rPr>
      </w:pPr>
      <w:r>
        <w:t>P</w:t>
      </w:r>
      <w:r w:rsidRPr="00270109">
        <w:rPr>
          <w:vertAlign w:val="subscript"/>
        </w:rPr>
        <w:t>b</w:t>
      </w:r>
      <w:r>
        <w:t xml:space="preserve"> – </w:t>
      </w:r>
      <w:r>
        <w:rPr>
          <w:lang w:val="bg-BG"/>
        </w:rPr>
        <w:t>цена на облигацията</w:t>
      </w:r>
    </w:p>
    <w:p w:rsidR="00D55E31" w:rsidRDefault="00666660" w:rsidP="00270109">
      <w:pPr>
        <w:spacing w:after="0"/>
      </w:pPr>
      <w:r w:rsidRPr="00170F28">
        <w:rPr>
          <w:noProof/>
          <w:color w:val="000000" w:themeColor="text1"/>
          <w:lang w:val="bg-BG" w:eastAsia="bg-BG"/>
        </w:rPr>
        <mc:AlternateContent>
          <mc:Choice Requires="wps">
            <w:drawing>
              <wp:anchor distT="0" distB="0" distL="114300" distR="114300" simplePos="0" relativeHeight="251662336" behindDoc="0" locked="0" layoutInCell="1" allowOverlap="1" wp14:anchorId="075E054D" wp14:editId="3CFE02FC">
                <wp:simplePos x="0" y="0"/>
                <wp:positionH relativeFrom="column">
                  <wp:posOffset>247650</wp:posOffset>
                </wp:positionH>
                <wp:positionV relativeFrom="paragraph">
                  <wp:posOffset>85725</wp:posOffset>
                </wp:positionV>
                <wp:extent cx="219075" cy="0"/>
                <wp:effectExtent l="0" t="76200" r="28575" b="114300"/>
                <wp:wrapNone/>
                <wp:docPr id="6" name="Straight Arrow Connector 6"/>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9.5pt;margin-top:6.75pt;width:17.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AO4gEAAC8EAAAOAAAAZHJzL2Uyb0RvYy54bWysU8GO0zAQvSPxD5bvNGklCkRNV6jLckFQ&#10;sfABXsduLNkea2ya9u8ZO2nKAkLaFRcnY8+bN+95vLk5OcuOCqMB3/LlouZMeQmd8YeWf/929+ot&#10;ZzEJ3wkLXrX8rCK/2b58sRlCo1bQg+0UMiriYzOElvcphaaqouyVE3EBQXk61IBOJArxUHUoBqru&#10;bLWq63U1AHYBQaoYafd2POTbUl9rJdMXraNKzLacektlxbI+5LXabkRzQBF6I6c2xDO6cMJ4Ip1L&#10;3Yok2A80f5RyRiJE0GkhwVWgtZGqaCA1y/o3Nfe9CKpoIXNimG2K/6+s/HzcIzNdy9eceeHoiu4T&#10;CnPoE3uPCAPbgfdkIyBbZ7eGEBsC7fwepyiGPWbpJ40uf0kUOxWHz7PD6pSYpM3V8l395jVn8nJU&#10;XXEBY/qowLH80/I4tTHzL4vB4vgpJmIm4AWQSa3PawRrujtjbQnyDKmdRXYUdPvptMz9E+5RVhLG&#10;fvAdS+dA2kWWPKXlklWWOwosf+ls1Uj3VWmyjSSNbZWBvZIJKZVPF0LrKTvDNLU2A+ui55/AKT9D&#10;VRnmp4BnRGEGn2awMx7wb+xXj/SYf3Fg1J0teIDuXK6+WENTWSydXlAe+1/jAr++8+1PAAAA//8D&#10;AFBLAwQUAAYACAAAACEAMv9zZ9wAAAAHAQAADwAAAGRycy9kb3ducmV2LnhtbEyPT0/DMAzF70h8&#10;h8hI3FgKE39Wmk4IicMOHDYQbDc38dqKxqmarCvfHk8c4GQ9P+v594rl5Ds10hDbwAauZxkoYhtc&#10;y7WB97eXqwdQMSE77AKTgW+KsCzPzwrMXTjymsZNqpWEcMzRQJNSn2sdbUMe4yz0xOLtw+AxiRxq&#10;7QY8Srjv9E2W3WmPLcuHBnt6bsh+bQ7ewOvnqv+w1XrnttNqzHZo9yNHYy4vpqdHUImm9HcMJ3xB&#10;h1KYqnBgF1VnYL6QKkn281tQ4t+fZvWrdVno//zlDwAAAP//AwBQSwECLQAUAAYACAAAACEAtoM4&#10;kv4AAADhAQAAEwAAAAAAAAAAAAAAAAAAAAAAW0NvbnRlbnRfVHlwZXNdLnhtbFBLAQItABQABgAI&#10;AAAAIQA4/SH/1gAAAJQBAAALAAAAAAAAAAAAAAAAAC8BAABfcmVscy8ucmVsc1BLAQItABQABgAI&#10;AAAAIQCscZAO4gEAAC8EAAAOAAAAAAAAAAAAAAAAAC4CAABkcnMvZTJvRG9jLnhtbFBLAQItABQA&#10;BgAIAAAAIQAy/3Nn3AAAAAcBAAAPAAAAAAAAAAAAAAAAADwEAABkcnMvZG93bnJldi54bWxQSwUG&#10;AAAAAAQABADzAAAARQUAAAAA&#10;" strokecolor="black [3213]">
                <v:stroke endarrow="open"/>
              </v:shape>
            </w:pict>
          </mc:Fallback>
        </mc:AlternateContent>
      </w:r>
      <w:r>
        <w:t>c</w:t>
      </w:r>
      <w:r w:rsidR="00D55E31">
        <w:t>=</w:t>
      </w:r>
      <w:proofErr w:type="spellStart"/>
      <w:r>
        <w:t>i</w:t>
      </w:r>
      <w:proofErr w:type="spellEnd"/>
      <w:r>
        <w:t xml:space="preserve"> </w:t>
      </w:r>
      <w:r>
        <w:tab/>
      </w:r>
      <w:r w:rsidR="00B83FF2">
        <w:t xml:space="preserve"> </w:t>
      </w:r>
      <w:r>
        <w:t>N=P</w:t>
      </w:r>
    </w:p>
    <w:p w:rsidR="00270109" w:rsidRPr="00270109" w:rsidRDefault="00270109" w:rsidP="00270109">
      <w:pPr>
        <w:spacing w:after="0"/>
      </w:pPr>
      <m:oMathPara>
        <m:oMathParaPr>
          <m:jc m:val="left"/>
        </m:oMathParaPr>
        <m:oMath>
          <m:r>
            <w:rPr>
              <w:rFonts w:ascii="Cambria Math" w:hAnsi="Cambria Math"/>
            </w:rPr>
            <m:t>i</m:t>
          </m:r>
          <m:r>
            <m:rPr>
              <m:nor/>
            </m:rPr>
            <w:rPr>
              <w:rFonts w:ascii="Cambria Math" w:hAnsi="Cambria Math"/>
              <w:i/>
              <w:vertAlign w:val="subscript"/>
            </w:rPr>
            <m:t>c</m:t>
          </m:r>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N</m:t>
              </m:r>
            </m:den>
          </m:f>
          <m:r>
            <w:rPr>
              <w:rFonts w:ascii="Cambria Math" w:hAnsi="Cambria Math"/>
            </w:rPr>
            <m:t>=c</m:t>
          </m:r>
        </m:oMath>
      </m:oMathPara>
    </w:p>
    <w:p w:rsidR="00270109" w:rsidRDefault="00270109" w:rsidP="003114E2">
      <w:pPr>
        <w:rPr>
          <w:b/>
        </w:rPr>
      </w:pPr>
    </w:p>
    <w:p w:rsidR="00666660" w:rsidRPr="00270109" w:rsidRDefault="00666660" w:rsidP="003114E2">
      <w:pPr>
        <w:rPr>
          <w:b/>
          <w:lang w:val="bg-BG"/>
        </w:rPr>
      </w:pPr>
      <w:r w:rsidRPr="00270109">
        <w:rPr>
          <w:b/>
          <w:lang w:val="bg-BG"/>
        </w:rPr>
        <w:t>Доход на сконтова база</w:t>
      </w:r>
    </w:p>
    <w:p w:rsidR="00666660" w:rsidRDefault="00270109" w:rsidP="00270109">
      <w:pPr>
        <w:spacing w:after="0"/>
        <w:rPr>
          <w:lang w:val="bg-BG"/>
        </w:rPr>
      </w:pPr>
      <w:proofErr w:type="spellStart"/>
      <w:proofErr w:type="gramStart"/>
      <w:r>
        <w:t>i</w:t>
      </w:r>
      <w:r w:rsidR="00666660" w:rsidRPr="00270109">
        <w:rPr>
          <w:vertAlign w:val="subscript"/>
        </w:rPr>
        <w:t>db</w:t>
      </w:r>
      <w:proofErr w:type="spellEnd"/>
      <w:proofErr w:type="gramEnd"/>
      <w:r>
        <w:t xml:space="preserve"> </w:t>
      </w:r>
      <w:r w:rsidR="00666660">
        <w:t xml:space="preserve">- </w:t>
      </w:r>
      <w:r w:rsidR="00666660">
        <w:rPr>
          <w:lang w:val="bg-BG"/>
        </w:rPr>
        <w:t>годишна доходност</w:t>
      </w:r>
    </w:p>
    <w:p w:rsidR="00666660" w:rsidRDefault="00666660" w:rsidP="00270109">
      <w:pPr>
        <w:spacing w:after="0"/>
        <w:rPr>
          <w:lang w:val="bg-BG"/>
        </w:rPr>
      </w:pPr>
      <w:r>
        <w:t xml:space="preserve">n – </w:t>
      </w:r>
      <w:r>
        <w:rPr>
          <w:lang w:val="bg-BG"/>
        </w:rPr>
        <w:t>брой дни до падежа</w:t>
      </w:r>
    </w:p>
    <w:p w:rsidR="00270109" w:rsidRPr="00270109" w:rsidRDefault="00270109" w:rsidP="00270109">
      <w:pPr>
        <w:spacing w:after="0"/>
      </w:pPr>
      <m:oMathPara>
        <m:oMathParaPr>
          <m:jc m:val="left"/>
        </m:oMathParaPr>
        <m:oMath>
          <m:r>
            <m:rPr>
              <m:sty m:val="p"/>
            </m:rPr>
            <w:rPr>
              <w:rFonts w:ascii="Cambria Math" w:hAnsi="Cambria Math"/>
            </w:rPr>
            <m:t>i</m:t>
          </m:r>
          <m:r>
            <m:rPr>
              <m:nor/>
            </m:rPr>
            <w:rPr>
              <w:rFonts w:ascii="Cambria Math" w:hAnsi="Cambria Math"/>
              <w:vertAlign w:val="subscript"/>
            </w:rPr>
            <m:t>db</m:t>
          </m:r>
          <m:r>
            <m:rPr>
              <m:sty m:val="p"/>
            </m:rPr>
            <w:rPr>
              <w:rFonts w:ascii="Cambria Math"/>
            </w:rPr>
            <m:t>=</m:t>
          </m:r>
          <m:f>
            <m:fPr>
              <m:ctrlPr>
                <w:rPr>
                  <w:rFonts w:ascii="Cambria Math" w:hAnsi="Cambria Math"/>
                </w:rPr>
              </m:ctrlPr>
            </m:fPr>
            <m:num>
              <m:r>
                <w:rPr>
                  <w:rFonts w:ascii="Cambria Math"/>
                </w:rPr>
                <m:t>N</m:t>
              </m:r>
              <m:r>
                <w:rPr>
                  <w:rFonts w:ascii="Cambria Math"/>
                </w:rPr>
                <m:t>-</m:t>
              </m:r>
              <m:r>
                <w:rPr>
                  <w:rFonts w:ascii="Cambria Math"/>
                </w:rPr>
                <m:t>P</m:t>
              </m:r>
            </m:num>
            <m:den>
              <m:r>
                <w:rPr>
                  <w:rFonts w:ascii="Cambria Math"/>
                </w:rPr>
                <m:t>N</m:t>
              </m:r>
            </m:den>
          </m:f>
          <m:r>
            <w:rPr>
              <w:rFonts w:ascii="Cambria Math" w:hAnsi="Cambria Math"/>
            </w:rPr>
            <m:t>×</m:t>
          </m:r>
          <m:f>
            <m:fPr>
              <m:ctrlPr>
                <w:rPr>
                  <w:rFonts w:ascii="Cambria Math" w:hAnsi="Cambria Math"/>
                  <w:i/>
                </w:rPr>
              </m:ctrlPr>
            </m:fPr>
            <m:num>
              <m:r>
                <w:rPr>
                  <w:rFonts w:ascii="Cambria Math"/>
                </w:rPr>
                <m:t>360</m:t>
              </m:r>
            </m:num>
            <m:den>
              <m:r>
                <w:rPr>
                  <w:rFonts w:ascii="Cambria Math"/>
                </w:rPr>
                <m:t>n</m:t>
              </m:r>
            </m:den>
          </m:f>
        </m:oMath>
      </m:oMathPara>
    </w:p>
    <w:p w:rsidR="00666660" w:rsidRDefault="00666660" w:rsidP="003114E2"/>
    <w:p w:rsidR="00666660" w:rsidRDefault="00666660" w:rsidP="003114E2">
      <w:pPr>
        <w:rPr>
          <w:lang w:val="bg-BG"/>
        </w:rPr>
      </w:pPr>
      <w:r>
        <w:rPr>
          <w:lang w:val="bg-BG"/>
        </w:rPr>
        <w:t>Задача 6: намерете доходността на сконтова база на 6-месечен съкровищен бон, който се продава по цена 950 лв. и има номинална стойност 1000 лв.</w:t>
      </w:r>
    </w:p>
    <w:p w:rsidR="00666660" w:rsidRDefault="00666660" w:rsidP="003114E2">
      <w:pPr>
        <w:rPr>
          <w:lang w:val="bg-BG"/>
        </w:rPr>
      </w:pPr>
      <w:r>
        <w:rPr>
          <w:lang w:val="bg-BG"/>
        </w:rPr>
        <w:lastRenderedPageBreak/>
        <w:t>Р=950</w:t>
      </w:r>
    </w:p>
    <w:p w:rsidR="00666660" w:rsidRDefault="00666660" w:rsidP="003114E2">
      <w:r>
        <w:t>N=1000</w:t>
      </w:r>
    </w:p>
    <w:p w:rsidR="00666660" w:rsidRDefault="00666660" w:rsidP="003114E2">
      <w:pPr>
        <w:rPr>
          <w:lang w:val="bg-BG"/>
        </w:rPr>
      </w:pPr>
      <w:r>
        <w:rPr>
          <w:lang w:val="bg-BG"/>
        </w:rPr>
        <w:t>6-месечен съкровищен бон</w:t>
      </w:r>
    </w:p>
    <w:p w:rsidR="00666660" w:rsidRDefault="00270109" w:rsidP="003114E2">
      <w:proofErr w:type="spellStart"/>
      <w:proofErr w:type="gramStart"/>
      <w:r>
        <w:t>i</w:t>
      </w:r>
      <w:r w:rsidRPr="00270109">
        <w:rPr>
          <w:vertAlign w:val="subscript"/>
        </w:rPr>
        <w:t>db</w:t>
      </w:r>
      <w:proofErr w:type="spellEnd"/>
      <w:proofErr w:type="gramEnd"/>
      <w:r>
        <w:t xml:space="preserve"> </w:t>
      </w:r>
      <w:r w:rsidR="00666660">
        <w:t>=?</w:t>
      </w:r>
    </w:p>
    <w:p w:rsidR="00270109" w:rsidRPr="00270109" w:rsidRDefault="00270109" w:rsidP="003114E2">
      <m:oMathPara>
        <m:oMathParaPr>
          <m:jc m:val="left"/>
        </m:oMathParaPr>
        <m:oMath>
          <m:r>
            <m:rPr>
              <m:sty m:val="p"/>
            </m:rPr>
            <w:rPr>
              <w:rFonts w:ascii="Cambria Math" w:hAnsi="Cambria Math"/>
            </w:rPr>
            <m:t>i</m:t>
          </m:r>
          <m:r>
            <m:rPr>
              <m:nor/>
            </m:rPr>
            <w:rPr>
              <w:rFonts w:ascii="Cambria Math" w:hAnsi="Cambria Math"/>
              <w:vertAlign w:val="subscript"/>
            </w:rPr>
            <m:t>db</m:t>
          </m:r>
          <m:r>
            <m:rPr>
              <m:sty m:val="p"/>
            </m:rPr>
            <w:rPr>
              <w:rFonts w:ascii="Cambria Math"/>
            </w:rPr>
            <m:t>=</m:t>
          </m:r>
          <m:f>
            <m:fPr>
              <m:ctrlPr>
                <w:rPr>
                  <w:rFonts w:ascii="Cambria Math" w:hAnsi="Cambria Math"/>
                </w:rPr>
              </m:ctrlPr>
            </m:fPr>
            <m:num>
              <m:r>
                <w:rPr>
                  <w:rFonts w:ascii="Cambria Math"/>
                </w:rPr>
                <m:t>1000</m:t>
              </m:r>
              <m:r>
                <w:rPr>
                  <w:rFonts w:ascii="Cambria Math"/>
                </w:rPr>
                <m:t>-</m:t>
              </m:r>
              <m:r>
                <w:rPr>
                  <w:rFonts w:ascii="Cambria Math"/>
                </w:rPr>
                <m:t>950</m:t>
              </m:r>
            </m:num>
            <m:den>
              <m:r>
                <w:rPr>
                  <w:rFonts w:ascii="Cambria Math"/>
                </w:rPr>
                <m:t>1000</m:t>
              </m:r>
            </m:den>
          </m:f>
          <m:r>
            <w:rPr>
              <w:rFonts w:ascii="Cambria Math" w:hAnsi="Cambria Math"/>
            </w:rPr>
            <m:t>×</m:t>
          </m:r>
          <m:f>
            <m:fPr>
              <m:ctrlPr>
                <w:rPr>
                  <w:rFonts w:ascii="Cambria Math" w:hAnsi="Cambria Math"/>
                  <w:i/>
                </w:rPr>
              </m:ctrlPr>
            </m:fPr>
            <m:num>
              <m:r>
                <w:rPr>
                  <w:rFonts w:ascii="Cambria Math"/>
                </w:rPr>
                <m:t>360</m:t>
              </m:r>
            </m:num>
            <m:den>
              <m:r>
                <w:rPr>
                  <w:rFonts w:ascii="Cambria Math"/>
                </w:rPr>
                <m:t>180</m:t>
              </m:r>
            </m:den>
          </m:f>
          <m:r>
            <w:rPr>
              <w:rFonts w:ascii="Cambria Math"/>
            </w:rPr>
            <m:t>=0,1</m:t>
          </m:r>
          <m:r>
            <w:rPr>
              <w:rFonts w:ascii="Cambria Math" w:hAnsi="Cambria Math"/>
            </w:rPr>
            <m:t>→</m:t>
          </m:r>
          <m:r>
            <w:rPr>
              <w:rFonts w:ascii="Cambria Math"/>
            </w:rPr>
            <m:t>10%</m:t>
          </m:r>
        </m:oMath>
      </m:oMathPara>
    </w:p>
    <w:p w:rsidR="00666660" w:rsidRDefault="00666660" w:rsidP="003114E2"/>
    <w:p w:rsidR="00666660" w:rsidRDefault="00666660" w:rsidP="003114E2">
      <w:pPr>
        <w:rPr>
          <w:lang w:val="bg-BG"/>
        </w:rPr>
      </w:pPr>
      <w:r>
        <w:rPr>
          <w:lang w:val="bg-BG"/>
        </w:rPr>
        <w:t>Колко ще се спечели от държането на една облигация за определен период от време се определя чрез възвращаемостта.</w:t>
      </w:r>
    </w:p>
    <w:p w:rsidR="00666660" w:rsidRDefault="00666660" w:rsidP="003114E2">
      <w:r>
        <w:t>RET=(C+P</w:t>
      </w:r>
      <w:r w:rsidRPr="002D7658">
        <w:rPr>
          <w:vertAlign w:val="subscript"/>
        </w:rPr>
        <w:t>t+1</w:t>
      </w:r>
      <w:r>
        <w:t>-P</w:t>
      </w:r>
      <w:r w:rsidRPr="002D7658">
        <w:rPr>
          <w:vertAlign w:val="subscript"/>
        </w:rPr>
        <w:t>t</w:t>
      </w:r>
      <w:r>
        <w:t>)/Pt</w:t>
      </w:r>
    </w:p>
    <w:p w:rsidR="00666660" w:rsidRDefault="00666660" w:rsidP="003114E2">
      <w:pPr>
        <w:rPr>
          <w:lang w:val="bg-BG"/>
        </w:rPr>
      </w:pPr>
      <w:r>
        <w:t xml:space="preserve">C – </w:t>
      </w:r>
      <w:r>
        <w:rPr>
          <w:lang w:val="bg-BG"/>
        </w:rPr>
        <w:t>купоново плащане</w:t>
      </w:r>
    </w:p>
    <w:p w:rsidR="00666660" w:rsidRDefault="00666660" w:rsidP="003114E2">
      <w:r>
        <w:t>P</w:t>
      </w:r>
      <w:r w:rsidRPr="00270109">
        <w:rPr>
          <w:vertAlign w:val="subscript"/>
        </w:rPr>
        <w:t>t</w:t>
      </w:r>
      <w:r w:rsidR="00270109">
        <w:rPr>
          <w:vertAlign w:val="subscript"/>
        </w:rPr>
        <w:t xml:space="preserve"> </w:t>
      </w:r>
      <w:r>
        <w:t xml:space="preserve">- </w:t>
      </w:r>
      <w:r>
        <w:rPr>
          <w:lang w:val="bg-BG"/>
        </w:rPr>
        <w:t xml:space="preserve">цената в момент </w:t>
      </w:r>
      <w:r>
        <w:t>t</w:t>
      </w:r>
    </w:p>
    <w:p w:rsidR="00666660" w:rsidRDefault="00666660" w:rsidP="003114E2"/>
    <w:p w:rsidR="00666660" w:rsidRDefault="00666660" w:rsidP="003114E2">
      <w:pPr>
        <w:rPr>
          <w:lang w:val="bg-BG"/>
        </w:rPr>
      </w:pPr>
      <w:r>
        <w:rPr>
          <w:lang w:val="bg-BG"/>
        </w:rPr>
        <w:t>Задача 7: купувате 5-год. облигация по цена 900 лв., годишен купонов лихвен процент 12%, номинал  1000 лв. В края на първата година я продавате по цена 950 лв. Определете възвращаемостта</w:t>
      </w:r>
      <w:r w:rsidR="002D7658">
        <w:rPr>
          <w:lang w:val="bg-BG"/>
        </w:rPr>
        <w:t>.</w:t>
      </w:r>
    </w:p>
    <w:p w:rsidR="002D7658" w:rsidRDefault="002D7658" w:rsidP="003114E2">
      <w:proofErr w:type="gramStart"/>
      <w:r>
        <w:t>c - 12</w:t>
      </w:r>
      <w:proofErr w:type="gramEnd"/>
      <w:r>
        <w:t>%</w:t>
      </w:r>
    </w:p>
    <w:p w:rsidR="002D7658" w:rsidRDefault="002D7658" w:rsidP="003114E2">
      <w:r>
        <w:t>N=1000</w:t>
      </w:r>
    </w:p>
    <w:p w:rsidR="002D7658" w:rsidRDefault="002D7658" w:rsidP="003114E2">
      <w:r>
        <w:t>P</w:t>
      </w:r>
      <w:r w:rsidRPr="00270109">
        <w:rPr>
          <w:vertAlign w:val="subscript"/>
        </w:rPr>
        <w:t>t</w:t>
      </w:r>
      <w:r>
        <w:t>=900</w:t>
      </w:r>
    </w:p>
    <w:p w:rsidR="002D7658" w:rsidRDefault="002D7658" w:rsidP="003114E2">
      <w:r>
        <w:t>P</w:t>
      </w:r>
      <w:r w:rsidRPr="00270109">
        <w:rPr>
          <w:vertAlign w:val="subscript"/>
        </w:rPr>
        <w:t>t+1</w:t>
      </w:r>
      <w:r>
        <w:t>=950</w:t>
      </w:r>
    </w:p>
    <w:p w:rsidR="002D7658" w:rsidRDefault="002D7658" w:rsidP="003114E2">
      <w:r>
        <w:t>RET=?</w:t>
      </w:r>
    </w:p>
    <w:p w:rsidR="002D7658" w:rsidRDefault="002D7658" w:rsidP="003114E2">
      <w:r>
        <w:t>C=0</w:t>
      </w:r>
      <w:proofErr w:type="gramStart"/>
      <w:r>
        <w:t>,12.1000</w:t>
      </w:r>
      <w:proofErr w:type="gramEnd"/>
      <w:r>
        <w:t>=120</w:t>
      </w:r>
    </w:p>
    <w:p w:rsidR="00270109" w:rsidRPr="00270109" w:rsidRDefault="00270109" w:rsidP="003114E2">
      <m:oMathPara>
        <m:oMathParaPr>
          <m:jc m:val="left"/>
        </m:oMathParaPr>
        <m:oMath>
          <m:r>
            <w:rPr>
              <w:rFonts w:ascii="Cambria Math" w:hAnsi="Cambria Math"/>
            </w:rPr>
            <m:t>RET=</m:t>
          </m:r>
          <m:f>
            <m:fPr>
              <m:ctrlPr>
                <w:rPr>
                  <w:rFonts w:ascii="Cambria Math" w:hAnsi="Cambria Math"/>
                  <w:i/>
                </w:rPr>
              </m:ctrlPr>
            </m:fPr>
            <m:num>
              <m:r>
                <w:rPr>
                  <w:rFonts w:ascii="Cambria Math" w:hAnsi="Cambria Math"/>
                </w:rPr>
                <m:t>120+950-900</m:t>
              </m:r>
            </m:num>
            <m:den>
              <m:r>
                <w:rPr>
                  <w:rFonts w:ascii="Cambria Math" w:hAnsi="Cambria Math"/>
                </w:rPr>
                <m:t>900</m:t>
              </m:r>
            </m:den>
          </m:f>
          <m:r>
            <w:rPr>
              <w:rFonts w:ascii="Cambria Math" w:hAnsi="Cambria Math"/>
            </w:rPr>
            <m:t>=0,1889→18,89%</m:t>
          </m:r>
        </m:oMath>
      </m:oMathPara>
    </w:p>
    <w:p w:rsidR="002D7658" w:rsidRDefault="002D7658" w:rsidP="003114E2"/>
    <w:p w:rsidR="002D7658" w:rsidRDefault="002D7658" w:rsidP="003114E2">
      <w:pPr>
        <w:rPr>
          <w:lang w:val="bg-BG"/>
        </w:rPr>
      </w:pPr>
      <w:r>
        <w:rPr>
          <w:lang w:val="bg-BG"/>
        </w:rPr>
        <w:t>Реалният лихвен процент е коригиран с очакваните промени в нивото на цените, така че той да отразява истинските разходи по заемането на ресурси.</w:t>
      </w:r>
    </w:p>
    <w:p w:rsidR="002D7658" w:rsidRDefault="002D7658" w:rsidP="002D7658">
      <w:pPr>
        <w:tabs>
          <w:tab w:val="left" w:pos="5205"/>
        </w:tabs>
        <w:rPr>
          <w:lang w:val="bg-BG"/>
        </w:rPr>
      </w:pPr>
      <w:r>
        <w:rPr>
          <w:lang w:val="bg-BG"/>
        </w:rPr>
        <w:t>Връзка между реален и номинален лихвен процент – формула на Фишер</w:t>
      </w:r>
    </w:p>
    <w:p w:rsidR="002D7658" w:rsidRDefault="002D7658" w:rsidP="00170F28">
      <w:pPr>
        <w:tabs>
          <w:tab w:val="left" w:pos="5205"/>
        </w:tabs>
        <w:spacing w:after="0"/>
      </w:pPr>
      <w:r>
        <w:lastRenderedPageBreak/>
        <w:t>1+i</w:t>
      </w:r>
      <w:proofErr w:type="gramStart"/>
      <w:r>
        <w:t>=(</w:t>
      </w:r>
      <w:proofErr w:type="gramEnd"/>
      <w:r>
        <w:t>1+i</w:t>
      </w:r>
      <w:r w:rsidRPr="002D7658">
        <w:rPr>
          <w:vertAlign w:val="subscript"/>
        </w:rPr>
        <w:t>r</w:t>
      </w:r>
      <w:r>
        <w:t>)(1+</w:t>
      </w:r>
      <w:r w:rsidR="00ED2155">
        <w:rPr>
          <w:lang w:val="bg-BG"/>
        </w:rPr>
        <w:t>π</w:t>
      </w:r>
      <w:r w:rsidRPr="002D7658">
        <w:rPr>
          <w:vertAlign w:val="superscript"/>
        </w:rPr>
        <w:t>e</w:t>
      </w:r>
      <w:r>
        <w:t>)</w:t>
      </w:r>
    </w:p>
    <w:p w:rsidR="002D7658" w:rsidRDefault="002D7658" w:rsidP="00170F28">
      <w:pPr>
        <w:tabs>
          <w:tab w:val="left" w:pos="5205"/>
        </w:tabs>
        <w:spacing w:after="0"/>
        <w:rPr>
          <w:lang w:val="bg-BG"/>
        </w:rPr>
      </w:pPr>
      <w:proofErr w:type="spellStart"/>
      <w:r>
        <w:t>i</w:t>
      </w:r>
      <w:proofErr w:type="spellEnd"/>
      <w:r>
        <w:t xml:space="preserve"> –</w:t>
      </w:r>
      <w:r w:rsidR="00AC793E">
        <w:rPr>
          <w:lang w:val="bg-BG"/>
        </w:rPr>
        <w:t xml:space="preserve"> </w:t>
      </w:r>
      <w:proofErr w:type="gramStart"/>
      <w:r w:rsidR="00AC793E">
        <w:rPr>
          <w:lang w:val="bg-BG"/>
        </w:rPr>
        <w:t>но</w:t>
      </w:r>
      <w:r>
        <w:rPr>
          <w:lang w:val="bg-BG"/>
        </w:rPr>
        <w:t>минален</w:t>
      </w:r>
      <w:proofErr w:type="gramEnd"/>
      <w:r>
        <w:rPr>
          <w:lang w:val="bg-BG"/>
        </w:rPr>
        <w:t xml:space="preserve"> лихвен процент</w:t>
      </w:r>
    </w:p>
    <w:p w:rsidR="002D7658" w:rsidRDefault="002D7658" w:rsidP="00170F28">
      <w:pPr>
        <w:tabs>
          <w:tab w:val="left" w:pos="5205"/>
        </w:tabs>
        <w:spacing w:after="0"/>
        <w:rPr>
          <w:lang w:val="bg-BG"/>
        </w:rPr>
      </w:pPr>
      <w:proofErr w:type="gramStart"/>
      <w:r>
        <w:t>i</w:t>
      </w:r>
      <w:r w:rsidRPr="002D7658">
        <w:rPr>
          <w:vertAlign w:val="subscript"/>
        </w:rPr>
        <w:t>r</w:t>
      </w:r>
      <w:proofErr w:type="gramEnd"/>
      <w:r>
        <w:t xml:space="preserve"> – </w:t>
      </w:r>
      <w:r>
        <w:rPr>
          <w:lang w:val="bg-BG"/>
        </w:rPr>
        <w:t>реален лихвен процент</w:t>
      </w:r>
    </w:p>
    <w:p w:rsidR="002D7658" w:rsidRDefault="00ED2155" w:rsidP="00170F28">
      <w:pPr>
        <w:tabs>
          <w:tab w:val="left" w:pos="5205"/>
        </w:tabs>
        <w:spacing w:after="0"/>
        <w:rPr>
          <w:lang w:val="bg-BG"/>
        </w:rPr>
      </w:pPr>
      <w:r>
        <w:rPr>
          <w:lang w:val="bg-BG"/>
        </w:rPr>
        <w:t>π</w:t>
      </w:r>
      <w:r w:rsidR="002D7658" w:rsidRPr="002D7658">
        <w:rPr>
          <w:vertAlign w:val="superscript"/>
        </w:rPr>
        <w:t>e</w:t>
      </w:r>
      <w:r w:rsidR="002D7658">
        <w:t xml:space="preserve"> – </w:t>
      </w:r>
      <w:r w:rsidR="002D7658">
        <w:rPr>
          <w:lang w:val="bg-BG"/>
        </w:rPr>
        <w:t>очаквана инфалция</w:t>
      </w:r>
    </w:p>
    <w:p w:rsidR="002D7658" w:rsidRPr="002D7658" w:rsidRDefault="002D7658" w:rsidP="00170F28">
      <w:pPr>
        <w:tabs>
          <w:tab w:val="left" w:pos="5205"/>
        </w:tabs>
        <w:spacing w:after="0"/>
      </w:pPr>
      <w:proofErr w:type="spellStart"/>
      <w:r>
        <w:t>i</w:t>
      </w:r>
      <w:proofErr w:type="spellEnd"/>
      <w:r>
        <w:t>=</w:t>
      </w:r>
      <w:r w:rsidRPr="002D7658">
        <w:t xml:space="preserve"> </w:t>
      </w:r>
      <w:proofErr w:type="spellStart"/>
      <w:r>
        <w:t>i</w:t>
      </w:r>
      <w:r w:rsidRPr="002D7658">
        <w:rPr>
          <w:vertAlign w:val="subscript"/>
        </w:rPr>
        <w:t>r</w:t>
      </w:r>
      <w:proofErr w:type="spellEnd"/>
      <w:r w:rsidR="00ED2155">
        <w:rPr>
          <w:vertAlign w:val="subscript"/>
        </w:rPr>
        <w:t xml:space="preserve"> </w:t>
      </w:r>
      <w:r>
        <w:t>-</w:t>
      </w:r>
      <w:r w:rsidRPr="002D7658">
        <w:rPr>
          <w:lang w:val="bg-BG"/>
        </w:rPr>
        <w:t xml:space="preserve"> </w:t>
      </w:r>
      <w:r w:rsidR="00ED2155">
        <w:rPr>
          <w:lang w:val="bg-BG"/>
        </w:rPr>
        <w:t>π</w:t>
      </w:r>
      <w:r w:rsidRPr="002D7658">
        <w:rPr>
          <w:vertAlign w:val="superscript"/>
        </w:rPr>
        <w:t>e</w:t>
      </w:r>
    </w:p>
    <w:p w:rsidR="002D7658" w:rsidRDefault="002D7658" w:rsidP="002D7658">
      <w:pPr>
        <w:tabs>
          <w:tab w:val="left" w:pos="5205"/>
        </w:tabs>
        <w:rPr>
          <w:lang w:val="bg-BG"/>
        </w:rPr>
      </w:pPr>
      <w:r>
        <w:rPr>
          <w:lang w:val="bg-BG"/>
        </w:rPr>
        <w:t>Намерете реалния лихвен процент ако номиналния лихвен процент е 6%, а очакваната инфлация е 3%.</w:t>
      </w:r>
    </w:p>
    <w:p w:rsidR="002D7658" w:rsidRDefault="002D7658" w:rsidP="002D7658">
      <w:pPr>
        <w:tabs>
          <w:tab w:val="left" w:pos="5205"/>
        </w:tabs>
      </w:pPr>
      <w:proofErr w:type="gramStart"/>
      <w:r>
        <w:t>i</w:t>
      </w:r>
      <w:r w:rsidR="00AC793E" w:rsidRPr="0005437E">
        <w:rPr>
          <w:vertAlign w:val="subscript"/>
        </w:rPr>
        <w:t>r</w:t>
      </w:r>
      <w:r>
        <w:t>=</w:t>
      </w:r>
      <w:proofErr w:type="gramEnd"/>
      <w:r>
        <w:t>6%-3%=3%</w:t>
      </w:r>
    </w:p>
    <w:p w:rsidR="002D7658" w:rsidRDefault="002D7658" w:rsidP="002D7658">
      <w:pPr>
        <w:tabs>
          <w:tab w:val="left" w:pos="5205"/>
        </w:tabs>
      </w:pPr>
    </w:p>
    <w:p w:rsidR="005A6D77" w:rsidRPr="00AF17AC" w:rsidRDefault="005A6D77" w:rsidP="002D7658">
      <w:pPr>
        <w:tabs>
          <w:tab w:val="left" w:pos="5205"/>
        </w:tabs>
        <w:rPr>
          <w:b/>
          <w:lang w:val="bg-BG"/>
        </w:rPr>
      </w:pPr>
      <w:r w:rsidRPr="00AF17AC">
        <w:rPr>
          <w:b/>
          <w:lang w:val="bg-BG"/>
        </w:rPr>
        <w:t>Задачи:</w:t>
      </w:r>
    </w:p>
    <w:p w:rsidR="005A6D77" w:rsidRPr="00170F28" w:rsidRDefault="005A6D77" w:rsidP="002D7658">
      <w:pPr>
        <w:tabs>
          <w:tab w:val="left" w:pos="5205"/>
        </w:tabs>
        <w:rPr>
          <w:i/>
          <w:lang w:val="bg-BG"/>
        </w:rPr>
      </w:pPr>
      <w:r w:rsidRPr="00170F28">
        <w:rPr>
          <w:i/>
          <w:lang w:val="bg-BG"/>
        </w:rPr>
        <w:t>Решение на зад. 1</w:t>
      </w:r>
    </w:p>
    <w:p w:rsidR="0005437E" w:rsidRPr="0005437E" w:rsidRDefault="0005437E" w:rsidP="002D7658">
      <w:pPr>
        <w:tabs>
          <w:tab w:val="left" w:pos="5205"/>
        </w:tabs>
      </w:pPr>
      <m:oMathPara>
        <m:oMathParaPr>
          <m:jc m:val="left"/>
        </m:oMathParaPr>
        <m:oMath>
          <m:r>
            <w:rPr>
              <w:rFonts w:ascii="Cambria Math" w:hAnsi="Cambria Math"/>
            </w:rPr>
            <m:t>P=</m:t>
          </m:r>
          <m:f>
            <m:fPr>
              <m:ctrlPr>
                <w:rPr>
                  <w:rFonts w:ascii="Cambria Math" w:hAnsi="Cambria Math"/>
                  <w:i/>
                </w:rPr>
              </m:ctrlPr>
            </m:fPr>
            <m:num>
              <m:r>
                <w:rPr>
                  <w:rFonts w:ascii="Cambria Math" w:hAnsi="Cambria Math"/>
                </w:rPr>
                <m:t>1100</m:t>
              </m:r>
            </m:num>
            <m:den>
              <m:r>
                <w:rPr>
                  <w:rFonts w:ascii="Cambria Math" w:hAnsi="Cambria Math"/>
                </w:rPr>
                <m:t>1+0,1</m:t>
              </m:r>
            </m:den>
          </m:f>
          <m:r>
            <w:rPr>
              <w:rFonts w:ascii="Cambria Math" w:hAnsi="Cambria Math"/>
            </w:rPr>
            <m:t>+</m:t>
          </m:r>
          <m:f>
            <m:fPr>
              <m:ctrlPr>
                <w:rPr>
                  <w:rFonts w:ascii="Cambria Math" w:hAnsi="Cambria Math"/>
                  <w:i/>
                </w:rPr>
              </m:ctrlPr>
            </m:fPr>
            <m:num>
              <m:r>
                <w:rPr>
                  <w:rFonts w:ascii="Cambria Math" w:hAnsi="Cambria Math"/>
                </w:rPr>
                <m:t>1210</m:t>
              </m:r>
            </m:num>
            <m:den>
              <m:sSup>
                <m:sSupPr>
                  <m:ctrlPr>
                    <w:rPr>
                      <w:rFonts w:ascii="Cambria Math" w:hAnsi="Cambria Math"/>
                      <w:i/>
                    </w:rPr>
                  </m:ctrlPr>
                </m:sSupPr>
                <m:e>
                  <m:r>
                    <w:rPr>
                      <w:rFonts w:ascii="Cambria Math" w:hAnsi="Cambria Math"/>
                    </w:rPr>
                    <m:t>(1+0,1)</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1331</m:t>
              </m:r>
            </m:num>
            <m:den>
              <m:sSup>
                <m:sSupPr>
                  <m:ctrlPr>
                    <w:rPr>
                      <w:rFonts w:ascii="Cambria Math" w:hAnsi="Cambria Math"/>
                      <w:i/>
                    </w:rPr>
                  </m:ctrlPr>
                </m:sSupPr>
                <m:e>
                  <m:r>
                    <w:rPr>
                      <w:rFonts w:ascii="Cambria Math" w:hAnsi="Cambria Math"/>
                    </w:rPr>
                    <m:t>(1+0,1)</m:t>
                  </m:r>
                </m:e>
                <m:sup>
                  <m:r>
                    <w:rPr>
                      <w:rFonts w:ascii="Cambria Math" w:hAnsi="Cambria Math"/>
                    </w:rPr>
                    <m:t>3</m:t>
                  </m:r>
                </m:sup>
              </m:sSup>
            </m:den>
          </m:f>
          <m:r>
            <w:rPr>
              <w:rFonts w:ascii="Cambria Math" w:hAnsi="Cambria Math"/>
            </w:rPr>
            <m:t>=3000</m:t>
          </m:r>
        </m:oMath>
      </m:oMathPara>
    </w:p>
    <w:p w:rsidR="005A6D77" w:rsidRDefault="005A6D77" w:rsidP="002D7658">
      <w:pPr>
        <w:tabs>
          <w:tab w:val="left" w:pos="5205"/>
        </w:tabs>
        <w:rPr>
          <w:lang w:val="bg-BG"/>
        </w:rPr>
      </w:pPr>
      <w:r>
        <w:rPr>
          <w:lang w:val="bg-BG"/>
        </w:rPr>
        <w:t>Тъй като съществува обратна зависимост между цена и лихвен процент, при по-висока цена от 4000 лв. доходността до падежа е по-малка.</w:t>
      </w:r>
    </w:p>
    <w:p w:rsidR="005A6D77" w:rsidRDefault="005A6D77" w:rsidP="002D7658">
      <w:pPr>
        <w:tabs>
          <w:tab w:val="left" w:pos="5205"/>
        </w:tabs>
        <w:rPr>
          <w:lang w:val="bg-BG"/>
        </w:rPr>
      </w:pPr>
    </w:p>
    <w:p w:rsidR="005A6D77" w:rsidRPr="00170F28" w:rsidRDefault="005A6D77" w:rsidP="002D7658">
      <w:pPr>
        <w:tabs>
          <w:tab w:val="left" w:pos="5205"/>
        </w:tabs>
        <w:rPr>
          <w:i/>
          <w:lang w:val="bg-BG"/>
        </w:rPr>
      </w:pPr>
      <w:r w:rsidRPr="00170F28">
        <w:rPr>
          <w:i/>
          <w:lang w:val="bg-BG"/>
        </w:rPr>
        <w:t>Решение на зад. 2</w:t>
      </w:r>
    </w:p>
    <w:p w:rsidR="0005437E" w:rsidRPr="0005437E" w:rsidRDefault="0005437E" w:rsidP="002D7658">
      <w:pPr>
        <w:tabs>
          <w:tab w:val="left" w:pos="5205"/>
        </w:tabs>
      </w:pPr>
      <m:oMathPara>
        <m:oMathParaPr>
          <m:jc m:val="left"/>
        </m:oMathParaPr>
        <m:oMath>
          <m:r>
            <w:rPr>
              <w:rFonts w:ascii="Cambria Math" w:hAnsi="Cambria Math"/>
            </w:rPr>
            <m:t>i=</m:t>
          </m:r>
          <m:f>
            <m:fPr>
              <m:ctrlPr>
                <w:rPr>
                  <w:rFonts w:ascii="Cambria Math" w:hAnsi="Cambria Math"/>
                  <w:i/>
                </w:rPr>
              </m:ctrlPr>
            </m:fPr>
            <m:num>
              <m:r>
                <w:rPr>
                  <w:rFonts w:ascii="Cambria Math" w:hAnsi="Cambria Math"/>
                </w:rPr>
                <m:t>N-P</m:t>
              </m:r>
            </m:num>
            <m:den>
              <m:r>
                <w:rPr>
                  <w:rFonts w:ascii="Cambria Math" w:hAnsi="Cambria Math"/>
                </w:rPr>
                <m:t>P</m:t>
              </m:r>
            </m:den>
          </m:f>
        </m:oMath>
      </m:oMathPara>
    </w:p>
    <w:p w:rsidR="0005437E" w:rsidRPr="0005437E" w:rsidRDefault="0005437E" w:rsidP="002D7658">
      <w:pPr>
        <w:tabs>
          <w:tab w:val="left" w:pos="5205"/>
        </w:tabs>
      </w:pPr>
      <m:oMathPara>
        <m:oMathParaPr>
          <m:jc m:val="left"/>
        </m:oMathParaPr>
        <m:oMath>
          <m:r>
            <w:rPr>
              <w:rFonts w:ascii="Cambria Math" w:hAnsi="Cambria Math"/>
            </w:rPr>
            <m:t>i=</m:t>
          </m:r>
          <m:f>
            <m:fPr>
              <m:ctrlPr>
                <w:rPr>
                  <w:rFonts w:ascii="Cambria Math" w:hAnsi="Cambria Math"/>
                  <w:i/>
                </w:rPr>
              </m:ctrlPr>
            </m:fPr>
            <m:num>
              <m:r>
                <w:rPr>
                  <w:rFonts w:ascii="Cambria Math" w:hAnsi="Cambria Math"/>
                </w:rPr>
                <m:t>1000-850</m:t>
              </m:r>
            </m:num>
            <m:den>
              <m:r>
                <w:rPr>
                  <w:rFonts w:ascii="Cambria Math" w:hAnsi="Cambria Math"/>
                </w:rPr>
                <m:t>850</m:t>
              </m:r>
            </m:den>
          </m:f>
          <m:r>
            <w:rPr>
              <w:rFonts w:ascii="Cambria Math" w:hAnsi="Cambria Math"/>
            </w:rPr>
            <m:t>=0,176→17,6%</m:t>
          </m:r>
        </m:oMath>
      </m:oMathPara>
    </w:p>
    <w:p w:rsidR="005A6D77" w:rsidRDefault="005A6D77" w:rsidP="002D7658">
      <w:pPr>
        <w:tabs>
          <w:tab w:val="left" w:pos="5205"/>
        </w:tabs>
      </w:pPr>
    </w:p>
    <w:p w:rsidR="005A6D77" w:rsidRPr="00170F28" w:rsidRDefault="005A6D77" w:rsidP="002D7658">
      <w:pPr>
        <w:tabs>
          <w:tab w:val="left" w:pos="5205"/>
        </w:tabs>
        <w:rPr>
          <w:i/>
          <w:lang w:val="bg-BG"/>
        </w:rPr>
      </w:pPr>
      <w:r w:rsidRPr="00170F28">
        <w:rPr>
          <w:i/>
          <w:lang w:val="bg-BG"/>
        </w:rPr>
        <w:t>Решение на зад. 3</w:t>
      </w:r>
    </w:p>
    <w:p w:rsidR="005A6D77" w:rsidRDefault="008D22F2" w:rsidP="002D7658">
      <w:pPr>
        <w:tabs>
          <w:tab w:val="left" w:pos="5205"/>
        </w:tabs>
        <w:rPr>
          <w:lang w:val="bg-BG"/>
        </w:rPr>
      </w:pPr>
      <w:r>
        <w:rPr>
          <w:lang w:val="bg-BG"/>
        </w:rPr>
        <w:t>Първата има най-висока доходност</w:t>
      </w:r>
    </w:p>
    <w:p w:rsidR="008D22F2" w:rsidRDefault="008D22F2" w:rsidP="002D7658">
      <w:pPr>
        <w:tabs>
          <w:tab w:val="left" w:pos="5205"/>
        </w:tabs>
        <w:rPr>
          <w:lang w:val="bg-BG"/>
        </w:rPr>
      </w:pPr>
    </w:p>
    <w:p w:rsidR="008D22F2" w:rsidRPr="00170F28" w:rsidRDefault="008D22F2" w:rsidP="002D7658">
      <w:pPr>
        <w:tabs>
          <w:tab w:val="left" w:pos="5205"/>
        </w:tabs>
        <w:rPr>
          <w:i/>
          <w:lang w:val="bg-BG"/>
        </w:rPr>
      </w:pPr>
      <w:r w:rsidRPr="00170F28">
        <w:rPr>
          <w:i/>
          <w:lang w:val="bg-BG"/>
        </w:rPr>
        <w:t>Решение на зад. 4</w:t>
      </w:r>
    </w:p>
    <w:p w:rsidR="0005437E" w:rsidRDefault="008D22F2" w:rsidP="002D7658">
      <w:pPr>
        <w:tabs>
          <w:tab w:val="left" w:pos="5205"/>
        </w:tabs>
      </w:pPr>
      <w:r>
        <w:t>C=0</w:t>
      </w:r>
      <w:proofErr w:type="gramStart"/>
      <w:r>
        <w:t>,06.10000</w:t>
      </w:r>
      <w:proofErr w:type="gramEnd"/>
      <w:r>
        <w:t>=600</w:t>
      </w:r>
    </w:p>
    <w:p w:rsidR="0005437E" w:rsidRPr="0005437E" w:rsidRDefault="0005437E" w:rsidP="002D7658">
      <w:pPr>
        <w:tabs>
          <w:tab w:val="left" w:pos="5205"/>
        </w:tabs>
      </w:pPr>
      <m:oMathPara>
        <m:oMathParaPr>
          <m:jc m:val="left"/>
        </m:oMathParaPr>
        <m:oMath>
          <m:r>
            <w:rPr>
              <w:rFonts w:ascii="Cambria Math" w:hAnsi="Cambria Math"/>
            </w:rPr>
            <m:t>i</m:t>
          </m:r>
          <m:r>
            <m:rPr>
              <m:nor/>
            </m:rPr>
            <w:rPr>
              <w:rFonts w:ascii="Cambria Math" w:hAnsi="Cambria Math"/>
              <w:i/>
              <w:vertAlign w:val="subscript"/>
            </w:rPr>
            <m:t>c</m:t>
          </m:r>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P</m:t>
              </m:r>
              <m:r>
                <m:rPr>
                  <m:nor/>
                </m:rPr>
                <w:rPr>
                  <w:rFonts w:ascii="Cambria Math" w:hAnsi="Cambria Math"/>
                  <w:i/>
                  <w:vertAlign w:val="subscript"/>
                </w:rPr>
                <m:t>b</m:t>
              </m:r>
            </m:den>
          </m:f>
          <m:r>
            <w:rPr>
              <w:rFonts w:ascii="Cambria Math" w:hAnsi="Cambria Math"/>
            </w:rPr>
            <m:t>=</m:t>
          </m:r>
          <m:f>
            <m:fPr>
              <m:ctrlPr>
                <w:rPr>
                  <w:rFonts w:ascii="Cambria Math" w:hAnsi="Cambria Math"/>
                  <w:i/>
                </w:rPr>
              </m:ctrlPr>
            </m:fPr>
            <m:num>
              <m:r>
                <w:rPr>
                  <w:rFonts w:ascii="Cambria Math" w:hAnsi="Cambria Math"/>
                </w:rPr>
                <m:t>600</m:t>
              </m:r>
            </m:num>
            <m:den>
              <m:r>
                <w:rPr>
                  <w:rFonts w:ascii="Cambria Math" w:hAnsi="Cambria Math"/>
                </w:rPr>
                <m:t>8000</m:t>
              </m:r>
            </m:den>
          </m:f>
          <m:r>
            <w:rPr>
              <w:rFonts w:ascii="Cambria Math" w:hAnsi="Cambria Math"/>
            </w:rPr>
            <m:t>=0,075→7,5%</m:t>
          </m:r>
        </m:oMath>
      </m:oMathPara>
    </w:p>
    <w:p w:rsidR="008D22F2" w:rsidRDefault="008D22F2" w:rsidP="002D7658">
      <w:pPr>
        <w:tabs>
          <w:tab w:val="left" w:pos="5205"/>
        </w:tabs>
      </w:pPr>
    </w:p>
    <w:p w:rsidR="008D22F2" w:rsidRPr="00170F28" w:rsidRDefault="008D22F2" w:rsidP="002D7658">
      <w:pPr>
        <w:tabs>
          <w:tab w:val="left" w:pos="5205"/>
        </w:tabs>
        <w:rPr>
          <w:i/>
          <w:lang w:val="bg-BG"/>
        </w:rPr>
      </w:pPr>
      <w:r w:rsidRPr="00170F28">
        <w:rPr>
          <w:i/>
          <w:lang w:val="bg-BG"/>
        </w:rPr>
        <w:lastRenderedPageBreak/>
        <w:t>Решение на зад. 5</w:t>
      </w:r>
    </w:p>
    <w:p w:rsidR="0005437E" w:rsidRPr="0005437E" w:rsidRDefault="0005437E" w:rsidP="002D7658">
      <w:pPr>
        <w:tabs>
          <w:tab w:val="left" w:pos="5205"/>
        </w:tabs>
      </w:pPr>
      <m:oMathPara>
        <m:oMathParaPr>
          <m:jc m:val="left"/>
        </m:oMathParaPr>
        <m:oMath>
          <m:r>
            <w:rPr>
              <w:rFonts w:ascii="Cambria Math" w:hAnsi="Cambria Math"/>
            </w:rPr>
            <m:t>i</m:t>
          </m:r>
          <m:r>
            <m:rPr>
              <m:nor/>
            </m:rPr>
            <w:rPr>
              <w:rFonts w:ascii="Cambria Math" w:hAnsi="Cambria Math"/>
              <w:i/>
              <w:vertAlign w:val="subscript"/>
            </w:rPr>
            <m:t>db</m:t>
          </m:r>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1000-920</m:t>
              </m:r>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180</m:t>
              </m:r>
            </m:den>
          </m:f>
          <m:r>
            <w:rPr>
              <w:rFonts w:ascii="Cambria Math" w:hAnsi="Cambria Math"/>
            </w:rPr>
            <m:t>=0,16→16%</m:t>
          </m:r>
        </m:oMath>
      </m:oMathPara>
    </w:p>
    <w:p w:rsidR="008D22F2" w:rsidRDefault="008D22F2" w:rsidP="002D7658">
      <w:pPr>
        <w:tabs>
          <w:tab w:val="left" w:pos="5205"/>
        </w:tabs>
      </w:pPr>
    </w:p>
    <w:p w:rsidR="008D22F2" w:rsidRPr="00170F28" w:rsidRDefault="008D22F2" w:rsidP="002D7658">
      <w:pPr>
        <w:tabs>
          <w:tab w:val="left" w:pos="5205"/>
        </w:tabs>
        <w:rPr>
          <w:i/>
          <w:lang w:val="bg-BG"/>
        </w:rPr>
      </w:pPr>
      <w:r w:rsidRPr="00170F28">
        <w:rPr>
          <w:i/>
          <w:lang w:val="bg-BG"/>
        </w:rPr>
        <w:t>Решение на зад. 6</w:t>
      </w:r>
    </w:p>
    <w:p w:rsidR="00170F28" w:rsidRPr="00170F28" w:rsidRDefault="00170F28" w:rsidP="002D7658">
      <w:pPr>
        <w:tabs>
          <w:tab w:val="left" w:pos="5205"/>
        </w:tabs>
      </w:pPr>
      <m:oMathPara>
        <m:oMathParaPr>
          <m:jc m:val="left"/>
        </m:oMathParaPr>
        <m:oMath>
          <m:r>
            <w:rPr>
              <w:rFonts w:ascii="Cambria Math" w:hAnsi="Cambria Math"/>
            </w:rPr>
            <m:t>RET=</m:t>
          </m:r>
          <m:f>
            <m:fPr>
              <m:ctrlPr>
                <w:rPr>
                  <w:rFonts w:ascii="Cambria Math" w:hAnsi="Cambria Math"/>
                  <w:i/>
                </w:rPr>
              </m:ctrlPr>
            </m:fPr>
            <m:num>
              <m:r>
                <w:rPr>
                  <w:rFonts w:ascii="Cambria Math" w:hAnsi="Cambria Math"/>
                </w:rPr>
                <m:t>C+P</m:t>
              </m:r>
              <m:r>
                <m:rPr>
                  <m:nor/>
                </m:rPr>
                <w:rPr>
                  <w:rFonts w:ascii="Cambria Math" w:hAnsi="Cambria Math"/>
                  <w:i/>
                  <w:vertAlign w:val="subscript"/>
                </w:rPr>
                <m:t>t+1</m:t>
              </m:r>
              <m:r>
                <w:rPr>
                  <w:rFonts w:ascii="Cambria Math" w:hAnsi="Cambria Math"/>
                </w:rPr>
                <m:t>-P</m:t>
              </m:r>
              <m:r>
                <m:rPr>
                  <m:nor/>
                </m:rPr>
                <w:rPr>
                  <w:rFonts w:ascii="Cambria Math" w:hAnsi="Cambria Math"/>
                  <w:i/>
                  <w:vertAlign w:val="subscript"/>
                </w:rPr>
                <m:t>t</m:t>
              </m:r>
            </m:num>
            <m:den>
              <m:r>
                <w:rPr>
                  <w:rFonts w:ascii="Cambria Math" w:hAnsi="Cambria Math"/>
                </w:rPr>
                <m:t>P</m:t>
              </m:r>
              <m:r>
                <m:rPr>
                  <m:nor/>
                </m:rPr>
                <w:rPr>
                  <w:rFonts w:ascii="Cambria Math" w:hAnsi="Cambria Math"/>
                  <w:i/>
                  <w:vertAlign w:val="subscript"/>
                </w:rPr>
                <m:t>t</m:t>
              </m:r>
            </m:den>
          </m:f>
        </m:oMath>
      </m:oMathPara>
    </w:p>
    <w:p w:rsidR="00AC793E" w:rsidRPr="00170F28" w:rsidRDefault="00170F28" w:rsidP="002D7658">
      <w:pPr>
        <w:tabs>
          <w:tab w:val="left" w:pos="5205"/>
        </w:tabs>
        <w:rPr>
          <w:rFonts w:ascii="Cambria Math" w:hAnsi="Cambria Math"/>
          <w:sz w:val="24"/>
        </w:rPr>
      </w:pPr>
      <w:r>
        <w:rPr>
          <w:rFonts w:ascii="Cambria Math" w:hAnsi="Cambria Math"/>
          <w:sz w:val="24"/>
        </w:rPr>
        <w:t>C</w:t>
      </w:r>
      <w:r w:rsidR="00AC793E" w:rsidRPr="00170F28">
        <w:rPr>
          <w:rFonts w:ascii="Cambria Math" w:hAnsi="Cambria Math"/>
          <w:sz w:val="24"/>
        </w:rPr>
        <w:t>=0</w:t>
      </w:r>
      <w:proofErr w:type="gramStart"/>
      <w:r w:rsidR="00AC793E" w:rsidRPr="00170F28">
        <w:rPr>
          <w:rFonts w:ascii="Cambria Math" w:hAnsi="Cambria Math"/>
          <w:sz w:val="24"/>
        </w:rPr>
        <w:t>,12.1000</w:t>
      </w:r>
      <w:proofErr w:type="gramEnd"/>
      <w:r w:rsidR="00AC793E" w:rsidRPr="00170F28">
        <w:rPr>
          <w:rFonts w:ascii="Cambria Math" w:hAnsi="Cambria Math"/>
          <w:sz w:val="24"/>
        </w:rPr>
        <w:t>=120</w:t>
      </w:r>
    </w:p>
    <w:p w:rsidR="00170F28" w:rsidRPr="00170F28" w:rsidRDefault="00170F28" w:rsidP="002D7658">
      <w:pPr>
        <w:tabs>
          <w:tab w:val="left" w:pos="5205"/>
        </w:tabs>
      </w:pPr>
      <m:oMathPara>
        <m:oMathParaPr>
          <m:jc m:val="left"/>
        </m:oMathParaPr>
        <m:oMath>
          <m:r>
            <w:rPr>
              <w:rFonts w:ascii="Cambria Math" w:hAnsi="Cambria Math"/>
            </w:rPr>
            <m:t>RET=</m:t>
          </m:r>
          <m:f>
            <m:fPr>
              <m:ctrlPr>
                <w:rPr>
                  <w:rFonts w:ascii="Cambria Math" w:hAnsi="Cambria Math"/>
                  <w:i/>
                </w:rPr>
              </m:ctrlPr>
            </m:fPr>
            <m:num>
              <m:r>
                <w:rPr>
                  <w:rFonts w:ascii="Cambria Math" w:hAnsi="Cambria Math"/>
                </w:rPr>
                <m:t>120+1300-1000</m:t>
              </m:r>
            </m:num>
            <m:den>
              <m:r>
                <w:rPr>
                  <w:rFonts w:ascii="Cambria Math" w:hAnsi="Cambria Math"/>
                </w:rPr>
                <m:t>1000</m:t>
              </m:r>
            </m:den>
          </m:f>
          <m:r>
            <w:rPr>
              <w:rFonts w:ascii="Cambria Math" w:hAnsi="Cambria Math"/>
            </w:rPr>
            <m:t>=0,42→42%</m:t>
          </m:r>
        </m:oMath>
      </m:oMathPara>
    </w:p>
    <w:p w:rsidR="00AC793E" w:rsidRDefault="00AC793E" w:rsidP="002D7658">
      <w:pPr>
        <w:tabs>
          <w:tab w:val="left" w:pos="5205"/>
        </w:tabs>
      </w:pPr>
    </w:p>
    <w:p w:rsidR="00AC793E" w:rsidRPr="00170F28" w:rsidRDefault="00AC793E" w:rsidP="002D7658">
      <w:pPr>
        <w:tabs>
          <w:tab w:val="left" w:pos="5205"/>
        </w:tabs>
        <w:rPr>
          <w:i/>
        </w:rPr>
      </w:pPr>
      <w:r w:rsidRPr="00170F28">
        <w:rPr>
          <w:i/>
          <w:lang w:val="bg-BG"/>
        </w:rPr>
        <w:t>Решение на зад. 7</w:t>
      </w:r>
    </w:p>
    <w:p w:rsidR="00170F28" w:rsidRPr="002317E5" w:rsidRDefault="00170F28" w:rsidP="00170F28">
      <w:pPr>
        <w:rPr>
          <w:rFonts w:ascii="Cambria Math" w:hAnsi="Cambria Math"/>
          <w:oMath/>
        </w:rPr>
      </w:pPr>
      <m:oMathPara>
        <m:oMathParaPr>
          <m:jc m:val="left"/>
        </m:oMathParaPr>
        <m:oMath>
          <m:r>
            <w:rPr>
              <w:rFonts w:ascii="Cambria Math" w:hAnsi="Cambria Math"/>
            </w:rPr>
            <m:t>C=</m:t>
          </m:r>
          <m:f>
            <m:fPr>
              <m:ctrlPr>
                <w:rPr>
                  <w:rFonts w:ascii="Cambria Math" w:hAnsi="Cambria Math"/>
                  <w:i/>
                </w:rPr>
              </m:ctrlPr>
            </m:fPr>
            <m:num>
              <m:r>
                <w:rPr>
                  <w:rFonts w:ascii="Cambria Math" w:hAnsi="Cambria Math"/>
                </w:rPr>
                <m:t>AP</m:t>
              </m:r>
            </m:num>
            <m:den>
              <m:r>
                <w:rPr>
                  <w:rFonts w:ascii="Cambria Math" w:hAnsi="Cambria Math"/>
                </w:rPr>
                <m:t>AF</m:t>
              </m:r>
            </m:den>
          </m:f>
        </m:oMath>
      </m:oMathPara>
    </w:p>
    <w:p w:rsidR="00170F28" w:rsidRPr="00170F28" w:rsidRDefault="00170F28" w:rsidP="002D7658">
      <w:pPr>
        <w:tabs>
          <w:tab w:val="left" w:pos="5205"/>
        </w:tabs>
      </w:pPr>
      <m:oMathPara>
        <m:oMathParaPr>
          <m:jc m:val="left"/>
        </m:oMathParaPr>
        <m:oMath>
          <m:r>
            <w:rPr>
              <w:rFonts w:ascii="Cambria Math" w:hAnsi="Cambria Math"/>
            </w:rPr>
            <m:t>C=</m:t>
          </m:r>
          <m:f>
            <m:fPr>
              <m:ctrlPr>
                <w:rPr>
                  <w:rFonts w:ascii="Cambria Math" w:hAnsi="Cambria Math"/>
                  <w:i/>
                </w:rPr>
              </m:ctrlPr>
            </m:fPr>
            <m:num>
              <m:r>
                <w:rPr>
                  <w:rFonts w:ascii="Cambria Math" w:hAnsi="Cambria Math"/>
                </w:rPr>
                <m:t>100000</m:t>
              </m:r>
            </m:num>
            <m:den>
              <m:r>
                <w:rPr>
                  <w:rFonts w:ascii="Cambria Math" w:hAnsi="Cambria Math"/>
                </w:rPr>
                <m:t>11,147</m:t>
              </m:r>
            </m:den>
          </m:f>
          <m:r>
            <w:rPr>
              <w:rFonts w:ascii="Cambria Math" w:hAnsi="Cambria Math"/>
            </w:rPr>
            <m:t>=89</m:t>
          </m:r>
          <m:r>
            <w:rPr>
              <w:rFonts w:ascii="Cambria Math" w:hAnsi="Cambria Math"/>
            </w:rPr>
            <m:t>71,02</m:t>
          </m:r>
        </m:oMath>
      </m:oMathPara>
    </w:p>
    <w:p w:rsidR="00AC793E" w:rsidRDefault="00AC793E" w:rsidP="002D7658">
      <w:pPr>
        <w:tabs>
          <w:tab w:val="left" w:pos="5205"/>
        </w:tabs>
      </w:pPr>
    </w:p>
    <w:p w:rsidR="00AC793E" w:rsidRPr="00170F28" w:rsidRDefault="00AC793E" w:rsidP="002D7658">
      <w:pPr>
        <w:tabs>
          <w:tab w:val="left" w:pos="5205"/>
        </w:tabs>
        <w:rPr>
          <w:i/>
          <w:lang w:val="bg-BG"/>
        </w:rPr>
      </w:pPr>
      <w:r w:rsidRPr="00170F28">
        <w:rPr>
          <w:i/>
          <w:lang w:val="bg-BG"/>
        </w:rPr>
        <w:t>Решение на зад. 8</w:t>
      </w:r>
    </w:p>
    <w:p w:rsidR="00AC793E" w:rsidRDefault="00B62F80" w:rsidP="002D7658">
      <w:pPr>
        <w:tabs>
          <w:tab w:val="left" w:pos="5205"/>
        </w:tabs>
      </w:pPr>
      <w:proofErr w:type="spellStart"/>
      <w:proofErr w:type="gramStart"/>
      <w:r>
        <w:t>i</w:t>
      </w:r>
      <w:r w:rsidR="00AC793E" w:rsidRPr="0005437E">
        <w:rPr>
          <w:vertAlign w:val="subscript"/>
        </w:rPr>
        <w:t>r</w:t>
      </w:r>
      <w:proofErr w:type="spellEnd"/>
      <w:r w:rsidR="00AC793E">
        <w:t>=</w:t>
      </w:r>
      <w:proofErr w:type="gramEnd"/>
      <w:r w:rsidR="00AC793E">
        <w:t>8%-4%=4%</w:t>
      </w:r>
    </w:p>
    <w:p w:rsidR="00E90B04" w:rsidRDefault="00E90B04" w:rsidP="002D7658">
      <w:pPr>
        <w:tabs>
          <w:tab w:val="left" w:pos="5205"/>
        </w:tabs>
      </w:pPr>
    </w:p>
    <w:p w:rsidR="00E90B04" w:rsidRPr="00E90B04" w:rsidRDefault="00E90B04" w:rsidP="00E90B04">
      <w:pPr>
        <w:tabs>
          <w:tab w:val="left" w:pos="5205"/>
        </w:tabs>
        <w:jc w:val="center"/>
        <w:rPr>
          <w:b/>
          <w:lang w:val="bg-BG"/>
        </w:rPr>
      </w:pPr>
      <w:r w:rsidRPr="00E90B04">
        <w:rPr>
          <w:b/>
          <w:lang w:val="bg-BG"/>
        </w:rPr>
        <w:t>Търсене на пари</w:t>
      </w:r>
    </w:p>
    <w:p w:rsidR="00E90B04" w:rsidRPr="00E90B04" w:rsidRDefault="00E90B04" w:rsidP="00E90B04">
      <w:pPr>
        <w:pStyle w:val="a4"/>
        <w:numPr>
          <w:ilvl w:val="0"/>
          <w:numId w:val="15"/>
        </w:numPr>
        <w:tabs>
          <w:tab w:val="left" w:pos="5205"/>
        </w:tabs>
        <w:rPr>
          <w:lang w:val="bg-BG"/>
        </w:rPr>
      </w:pPr>
      <w:r>
        <w:rPr>
          <w:lang w:val="bg-BG"/>
        </w:rPr>
        <w:t>К</w:t>
      </w:r>
      <w:r w:rsidRPr="00E90B04">
        <w:rPr>
          <w:lang w:val="bg-BG"/>
        </w:rPr>
        <w:t>оличествена теория за търснето на пари</w:t>
      </w:r>
    </w:p>
    <w:p w:rsidR="00E90B04" w:rsidRDefault="00E90B04" w:rsidP="002D7658">
      <w:pPr>
        <w:tabs>
          <w:tab w:val="left" w:pos="5205"/>
        </w:tabs>
        <w:rPr>
          <w:lang w:val="bg-BG"/>
        </w:rPr>
      </w:pPr>
      <w:r>
        <w:rPr>
          <w:lang w:val="bg-BG"/>
        </w:rPr>
        <w:t>основно положение при тази теротия е, че лихвеният процент не влияе на търсенето на пари. Тази теория е развита от класиците икономисти в края на 19-началото на 20 век и още е известна като теория за определяне на номиналния доход. Основник на тази теория е Фишер – 1911 г. в неговия труд „Покупателна сила на парите“ той разглежда тази теория.</w:t>
      </w:r>
    </w:p>
    <w:p w:rsidR="00E90B04" w:rsidRPr="00E90B04" w:rsidRDefault="00E90B04" w:rsidP="002D7658">
      <w:pPr>
        <w:tabs>
          <w:tab w:val="left" w:pos="5205"/>
        </w:tabs>
        <w:rPr>
          <w:rFonts w:eastAsiaTheme="minorEastAsia"/>
        </w:rPr>
      </w:pPr>
      <m:oMathPara>
        <m:oMathParaPr>
          <m:jc m:val="left"/>
        </m:oMathParaPr>
        <m:oMath>
          <m:r>
            <w:rPr>
              <w:rFonts w:ascii="Cambria Math" w:hAnsi="Cambria Math"/>
            </w:rPr>
            <m:t>M×V=P×Q</m:t>
          </m:r>
        </m:oMath>
      </m:oMathPara>
    </w:p>
    <w:p w:rsidR="00E90B04" w:rsidRDefault="00E90B04" w:rsidP="002D7658">
      <w:pPr>
        <w:tabs>
          <w:tab w:val="left" w:pos="5205"/>
        </w:tabs>
        <w:rPr>
          <w:rFonts w:eastAsiaTheme="minorEastAsia"/>
          <w:lang w:val="bg-BG"/>
        </w:rPr>
      </w:pPr>
      <w:r>
        <w:rPr>
          <w:rFonts w:eastAsiaTheme="minorEastAsia"/>
        </w:rPr>
        <w:t xml:space="preserve">V – </w:t>
      </w:r>
      <w:proofErr w:type="gramStart"/>
      <w:r>
        <w:rPr>
          <w:rFonts w:eastAsiaTheme="minorEastAsia"/>
          <w:lang w:val="bg-BG"/>
        </w:rPr>
        <w:t>скорост</w:t>
      </w:r>
      <w:proofErr w:type="gramEnd"/>
      <w:r>
        <w:rPr>
          <w:rFonts w:eastAsiaTheme="minorEastAsia"/>
          <w:lang w:val="bg-BG"/>
        </w:rPr>
        <w:t xml:space="preserve"> на обръщение на парите</w:t>
      </w:r>
    </w:p>
    <w:p w:rsidR="00E90B04" w:rsidRDefault="00E90B04" w:rsidP="002D7658">
      <w:pPr>
        <w:tabs>
          <w:tab w:val="left" w:pos="5205"/>
        </w:tabs>
        <w:rPr>
          <w:rFonts w:eastAsiaTheme="minorEastAsia"/>
          <w:lang w:val="bg-BG"/>
        </w:rPr>
      </w:pPr>
      <w:r>
        <w:rPr>
          <w:rFonts w:eastAsiaTheme="minorEastAsia"/>
          <w:lang w:val="bg-BG"/>
        </w:rPr>
        <w:t xml:space="preserve">Според тази теория скоростта на парично обръщение </w:t>
      </w:r>
      <w:r>
        <w:rPr>
          <w:rFonts w:eastAsiaTheme="minorEastAsia"/>
        </w:rPr>
        <w:t xml:space="preserve">V </w:t>
      </w:r>
      <w:r>
        <w:rPr>
          <w:rFonts w:eastAsiaTheme="minorEastAsia"/>
          <w:lang w:val="bg-BG"/>
        </w:rPr>
        <w:t xml:space="preserve">зависи от институционални фактори или от институциите в икономиката, от които зависят транзакциите на индивидите. Такива фактори са </w:t>
      </w:r>
      <w:r>
        <w:rPr>
          <w:rFonts w:eastAsiaTheme="minorEastAsia"/>
          <w:lang w:val="bg-BG"/>
        </w:rPr>
        <w:lastRenderedPageBreak/>
        <w:t xml:space="preserve">платежната система, делът на плащанията в брой, използването на чековете. Фишер стига до заключението, че </w:t>
      </w:r>
      <w:r>
        <w:rPr>
          <w:rFonts w:eastAsiaTheme="minorEastAsia"/>
        </w:rPr>
        <w:t xml:space="preserve">V </w:t>
      </w:r>
      <w:r>
        <w:rPr>
          <w:rFonts w:eastAsiaTheme="minorEastAsia"/>
          <w:lang w:val="bg-BG"/>
        </w:rPr>
        <w:t>е непроменлива величина в кратък срок, тъй като всички тези фактори се променят бавно.</w:t>
      </w:r>
    </w:p>
    <w:p w:rsidR="00E90B04" w:rsidRDefault="00E90B04" w:rsidP="002D7658">
      <w:pPr>
        <w:tabs>
          <w:tab w:val="left" w:pos="5205"/>
        </w:tabs>
        <w:rPr>
          <w:rFonts w:eastAsiaTheme="minorEastAsia"/>
          <w:lang w:val="bg-BG"/>
        </w:rPr>
      </w:pPr>
      <w:r>
        <w:rPr>
          <w:rFonts w:eastAsiaTheme="minorEastAsia"/>
          <w:lang w:val="bg-BG"/>
        </w:rPr>
        <w:t>Количеството пари в икономиката определя величината на номиналния съвкупен доход.</w:t>
      </w:r>
    </w:p>
    <w:p w:rsidR="00E90B04" w:rsidRDefault="00E90B04" w:rsidP="002D7658">
      <w:pPr>
        <w:tabs>
          <w:tab w:val="left" w:pos="5205"/>
        </w:tabs>
        <w:rPr>
          <w:rFonts w:eastAsiaTheme="minorEastAsia"/>
          <w:lang w:val="bg-BG"/>
        </w:rPr>
      </w:pPr>
      <w:r>
        <w:rPr>
          <w:rFonts w:eastAsiaTheme="minorEastAsia"/>
          <w:lang w:val="bg-BG"/>
        </w:rPr>
        <w:t xml:space="preserve">От друга страна Фишер твърди, че и </w:t>
      </w:r>
      <w:r>
        <w:rPr>
          <w:rFonts w:eastAsiaTheme="minorEastAsia"/>
        </w:rPr>
        <w:t xml:space="preserve">Q </w:t>
      </w:r>
      <w:r>
        <w:rPr>
          <w:rFonts w:eastAsiaTheme="minorEastAsia"/>
          <w:lang w:val="bg-BG"/>
        </w:rPr>
        <w:t>е непроменливо в кратък период, поради това, че доходът е винаги на нивото на пълната заетост, поради гъвкавостта на заплатите. Тогава количесвото пари определя изменението на цените.</w:t>
      </w:r>
    </w:p>
    <w:p w:rsidR="00807D3B" w:rsidRPr="00807D3B" w:rsidRDefault="0022691A" w:rsidP="002D7658">
      <w:pPr>
        <w:tabs>
          <w:tab w:val="left" w:pos="5205"/>
        </w:tabs>
        <w:rPr>
          <w:rFonts w:eastAsiaTheme="minorEastAsia"/>
        </w:rPr>
      </w:pPr>
      <m:oMathPara>
        <m:oMathParaPr>
          <m:jc m:val="left"/>
        </m:oMathParaPr>
        <m:oMath>
          <m:sSup>
            <m:sSupPr>
              <m:ctrlPr>
                <w:rPr>
                  <w:rFonts w:ascii="Cambria Math" w:hAnsi="Cambria Math"/>
                  <w:i/>
                  <w:lang w:val="bg-BG"/>
                </w:rPr>
              </m:ctrlPr>
            </m:sSupPr>
            <m:e>
              <m:r>
                <w:rPr>
                  <w:rFonts w:ascii="Cambria Math" w:hAnsi="Cambria Math"/>
                </w:rPr>
                <m:t>M</m:t>
              </m:r>
            </m:e>
            <m:sup>
              <m:r>
                <w:rPr>
                  <w:rFonts w:ascii="Cambria Math" w:hAnsi="Cambria Math"/>
                  <w:lang w:val="bg-BG"/>
                </w:rPr>
                <m:t>s</m:t>
              </m:r>
            </m:sup>
          </m:sSup>
          <m:r>
            <w:rPr>
              <w:rFonts w:ascii="Cambria Math" w:hAnsi="Cambria Math"/>
              <w:lang w:val="bg-BG"/>
            </w:rPr>
            <m:t>=</m:t>
          </m:r>
          <m:sSup>
            <m:sSupPr>
              <m:ctrlPr>
                <w:rPr>
                  <w:rFonts w:ascii="Cambria Math" w:hAnsi="Cambria Math"/>
                  <w:i/>
                  <w:lang w:val="bg-BG"/>
                </w:rPr>
              </m:ctrlPr>
            </m:sSupPr>
            <m:e>
              <m:r>
                <w:rPr>
                  <w:rFonts w:ascii="Cambria Math" w:hAnsi="Cambria Math"/>
                  <w:lang w:val="bg-BG"/>
                </w:rPr>
                <m:t>M</m:t>
              </m:r>
            </m:e>
            <m:sup>
              <m:r>
                <w:rPr>
                  <w:rFonts w:ascii="Cambria Math" w:hAnsi="Cambria Math"/>
                  <w:lang w:val="bg-BG"/>
                </w:rPr>
                <m:t>d</m:t>
              </m:r>
            </m:sup>
          </m:sSup>
        </m:oMath>
      </m:oMathPara>
    </w:p>
    <w:p w:rsidR="00807D3B" w:rsidRPr="007B3D5A" w:rsidRDefault="0022691A" w:rsidP="002D7658">
      <w:pPr>
        <w:tabs>
          <w:tab w:val="left" w:pos="5205"/>
        </w:tabs>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×V=P×Q→</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r>
            <w:rPr>
              <w:rFonts w:ascii="Cambria Math" w:eastAsiaTheme="minorEastAsia" w:hAnsi="Cambria Math"/>
            </w:rPr>
            <m:t>×P×Q</m:t>
          </m:r>
        </m:oMath>
      </m:oMathPara>
    </w:p>
    <w:p w:rsidR="007B3D5A" w:rsidRPr="007B3D5A" w:rsidRDefault="0022691A" w:rsidP="002D7658">
      <w:pPr>
        <w:tabs>
          <w:tab w:val="left" w:pos="5205"/>
        </w:tabs>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r>
            <w:rPr>
              <w:rFonts w:ascii="Cambria Math" w:eastAsiaTheme="minorEastAsia" w:hAnsi="Cambria Math"/>
              <w:lang w:val="bg-BG"/>
            </w:rPr>
            <m:t>=</m:t>
          </m:r>
          <m:r>
            <w:rPr>
              <w:rFonts w:ascii="Cambria Math" w:eastAsiaTheme="minorEastAsia" w:hAnsi="Cambria Math"/>
            </w:rPr>
            <m:t>k</m:t>
          </m:r>
        </m:oMath>
      </m:oMathPara>
    </w:p>
    <w:p w:rsidR="007B3D5A" w:rsidRPr="007B3D5A" w:rsidRDefault="0022691A" w:rsidP="002D7658">
      <w:pPr>
        <w:tabs>
          <w:tab w:val="left" w:pos="5205"/>
        </w:tabs>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=k×P×Q×</m:t>
          </m:r>
        </m:oMath>
      </m:oMathPara>
    </w:p>
    <w:p w:rsidR="00807D3B" w:rsidRDefault="00807D3B" w:rsidP="002D7658">
      <w:pPr>
        <w:tabs>
          <w:tab w:val="left" w:pos="5205"/>
        </w:tabs>
        <w:rPr>
          <w:rFonts w:eastAsiaTheme="minorEastAsia"/>
        </w:rPr>
      </w:pPr>
      <w:r>
        <w:rPr>
          <w:rFonts w:eastAsiaTheme="minorEastAsia"/>
          <w:lang w:val="bg-BG"/>
        </w:rPr>
        <w:t>Количествената твърди, че лихвените проценти не влияят на паричното търсене.</w:t>
      </w:r>
    </w:p>
    <w:p w:rsidR="00807D3B" w:rsidRPr="00807D3B" w:rsidRDefault="00807D3B" w:rsidP="00807D3B">
      <w:pPr>
        <w:pStyle w:val="a4"/>
        <w:numPr>
          <w:ilvl w:val="0"/>
          <w:numId w:val="15"/>
        </w:numPr>
        <w:tabs>
          <w:tab w:val="left" w:pos="5205"/>
        </w:tabs>
        <w:rPr>
          <w:rFonts w:eastAsiaTheme="minorEastAsia"/>
        </w:rPr>
      </w:pPr>
      <w:r>
        <w:rPr>
          <w:rFonts w:eastAsiaTheme="minorEastAsia"/>
          <w:lang w:val="bg-BG"/>
        </w:rPr>
        <w:t>Кеймбриджки подход за търсенете на пари (Маршал и Пигу) – отговарят на въпроса колко пари биха държали икономическите агенти при определени обстоятелства, т.е. те дават на икономическите агенти свободата, когато решават колко пари да държат. Разглеждат два мотива за държането на пари, които се определят от две качества на парите:</w:t>
      </w:r>
    </w:p>
    <w:p w:rsidR="00807D3B" w:rsidRPr="00807D3B" w:rsidRDefault="00807D3B" w:rsidP="00807D3B">
      <w:pPr>
        <w:pStyle w:val="a4"/>
        <w:numPr>
          <w:ilvl w:val="0"/>
          <w:numId w:val="16"/>
        </w:numPr>
        <w:tabs>
          <w:tab w:val="left" w:pos="5205"/>
        </w:tabs>
        <w:rPr>
          <w:rFonts w:eastAsiaTheme="minorEastAsia"/>
          <w:lang w:val="bg-BG"/>
        </w:rPr>
      </w:pPr>
      <w:r>
        <w:rPr>
          <w:rFonts w:eastAsiaTheme="minorEastAsia"/>
          <w:lang w:val="bg-BG"/>
        </w:rPr>
        <w:t>Парите като трансакционно (разменно) средство – трансакционната компонента на търсенето на пари е пропорционална на номиналния доход</w:t>
      </w:r>
    </w:p>
    <w:p w:rsidR="00807D3B" w:rsidRPr="007B3D5A" w:rsidRDefault="00807D3B" w:rsidP="00807D3B">
      <w:pPr>
        <w:pStyle w:val="a4"/>
        <w:numPr>
          <w:ilvl w:val="0"/>
          <w:numId w:val="16"/>
        </w:numPr>
        <w:tabs>
          <w:tab w:val="left" w:pos="5205"/>
        </w:tabs>
        <w:rPr>
          <w:rFonts w:eastAsiaTheme="minorEastAsia"/>
          <w:lang w:val="bg-BG"/>
        </w:rPr>
      </w:pPr>
      <w:r>
        <w:rPr>
          <w:rFonts w:eastAsiaTheme="minorEastAsia"/>
          <w:lang w:val="bg-BG"/>
        </w:rPr>
        <w:t>Парите като запас на богатството – при нарастване на богатството се държат повече активи, съответно повече пари. Номиналното богатство е пропорционално на номиналния доход, т.е. паричното търсене в компонента му богатство е правопропорционално на номиналния доход</w:t>
      </w:r>
    </w:p>
    <w:p w:rsidR="007B3D5A" w:rsidRPr="007B3D5A" w:rsidRDefault="0022691A" w:rsidP="007B3D5A">
      <w:pPr>
        <w:tabs>
          <w:tab w:val="left" w:pos="5205"/>
        </w:tabs>
        <w:rPr>
          <w:rFonts w:eastAsiaTheme="minorEastAsia"/>
        </w:rPr>
      </w:pPr>
      <m:oMathPara>
        <m:oMathParaPr>
          <m:jc m:val="left"/>
        </m:oMathParaPr>
        <m:oMath>
          <m:sSup>
            <m:sSupPr>
              <m:ctrlPr>
                <w:rPr>
                  <w:rFonts w:ascii="Cambria Math" w:eastAsiaTheme="minorEastAsia" w:hAnsi="Cambria Math"/>
                  <w:i/>
                  <w:lang w:val="bg-BG"/>
                </w:rPr>
              </m:ctrlPr>
            </m:sSupPr>
            <m:e>
              <m:r>
                <w:rPr>
                  <w:rFonts w:ascii="Cambria Math" w:eastAsiaTheme="minorEastAsia" w:hAnsi="Cambria Math"/>
                </w:rPr>
                <m:t>M</m:t>
              </m:r>
            </m:e>
            <m:sup>
              <m:r>
                <w:rPr>
                  <w:rFonts w:ascii="Cambria Math" w:eastAsiaTheme="minorEastAsia" w:hAnsi="Cambria Math"/>
                  <w:lang w:val="bg-BG"/>
                </w:rPr>
                <m:t>d</m:t>
              </m:r>
            </m:sup>
          </m:sSup>
          <m:r>
            <w:rPr>
              <w:rFonts w:ascii="Cambria Math" w:eastAsiaTheme="minorEastAsia" w:hAnsi="Cambria Math"/>
              <w:lang w:val="bg-BG"/>
            </w:rPr>
            <m:t>=k×P×Q</m:t>
          </m:r>
        </m:oMath>
      </m:oMathPara>
    </w:p>
    <w:p w:rsidR="007B3D5A" w:rsidRDefault="007B3D5A" w:rsidP="007B3D5A">
      <w:pPr>
        <w:tabs>
          <w:tab w:val="left" w:pos="5205"/>
        </w:tabs>
        <w:rPr>
          <w:rFonts w:eastAsiaTheme="minorEastAsia"/>
        </w:rPr>
      </w:pPr>
      <w:r>
        <w:rPr>
          <w:rFonts w:eastAsiaTheme="minorEastAsia"/>
        </w:rPr>
        <w:t xml:space="preserve">k– </w:t>
      </w:r>
      <w:proofErr w:type="gramStart"/>
      <w:r>
        <w:rPr>
          <w:rFonts w:eastAsiaTheme="minorEastAsia"/>
          <w:lang w:val="bg-BG"/>
        </w:rPr>
        <w:t>коефицент</w:t>
      </w:r>
      <w:proofErr w:type="gramEnd"/>
      <w:r>
        <w:rPr>
          <w:rFonts w:eastAsiaTheme="minorEastAsia"/>
          <w:lang w:val="bg-BG"/>
        </w:rPr>
        <w:t xml:space="preserve"> на пропорционалност, може да се променя във времето</w:t>
      </w:r>
    </w:p>
    <w:p w:rsidR="007B3D5A" w:rsidRDefault="007B3D5A" w:rsidP="007B3D5A">
      <w:pPr>
        <w:tabs>
          <w:tab w:val="left" w:pos="5205"/>
        </w:tabs>
        <w:rPr>
          <w:rFonts w:eastAsiaTheme="minorEastAsia"/>
          <w:lang w:val="bg-BG"/>
        </w:rPr>
      </w:pPr>
      <w:r>
        <w:rPr>
          <w:rFonts w:eastAsiaTheme="minorEastAsia"/>
          <w:lang w:val="bg-BG"/>
        </w:rPr>
        <w:t>Търсенето на пари не се определя от лихвените проценти.</w:t>
      </w:r>
    </w:p>
    <w:p w:rsidR="007B3D5A" w:rsidRDefault="007B3D5A" w:rsidP="007B3D5A">
      <w:pPr>
        <w:tabs>
          <w:tab w:val="left" w:pos="5205"/>
        </w:tabs>
        <w:rPr>
          <w:rFonts w:eastAsiaTheme="minorEastAsia"/>
          <w:lang w:val="bg-BG"/>
        </w:rPr>
      </w:pPr>
      <w:r>
        <w:rPr>
          <w:rFonts w:eastAsiaTheme="minorEastAsia"/>
          <w:lang w:val="bg-BG"/>
        </w:rPr>
        <w:t>Монетаристите считат, че скоростта на парично обръщение е относително стабилна, а промените в нея могат да се предскажат. Кейнсианците твърдят, че скоростта на парично обръщение е нито стабилна, нито предсказуема.</w:t>
      </w:r>
    </w:p>
    <w:p w:rsidR="007B3D5A" w:rsidRPr="007B3D5A" w:rsidRDefault="007B3D5A" w:rsidP="007B3D5A">
      <w:pPr>
        <w:pStyle w:val="a4"/>
        <w:numPr>
          <w:ilvl w:val="0"/>
          <w:numId w:val="15"/>
        </w:numPr>
        <w:tabs>
          <w:tab w:val="left" w:pos="5205"/>
        </w:tabs>
        <w:rPr>
          <w:rFonts w:eastAsiaTheme="minorEastAsia"/>
          <w:lang w:val="bg-BG"/>
        </w:rPr>
      </w:pPr>
      <w:r>
        <w:rPr>
          <w:rFonts w:eastAsiaTheme="minorEastAsia"/>
          <w:lang w:val="bg-BG"/>
        </w:rPr>
        <w:t>Теория на Кейнс за предпочитанието към ликвидност – 1936 г. Кейнс доразвива кеймбриджкия подход за търсенето на пари. Той разглежда 3 мотива за търсенето на пари:</w:t>
      </w:r>
    </w:p>
    <w:p w:rsidR="007B3D5A" w:rsidRPr="007B3D5A" w:rsidRDefault="007B3D5A" w:rsidP="007B3D5A">
      <w:pPr>
        <w:pStyle w:val="a4"/>
        <w:numPr>
          <w:ilvl w:val="0"/>
          <w:numId w:val="17"/>
        </w:numPr>
        <w:tabs>
          <w:tab w:val="left" w:pos="5205"/>
        </w:tabs>
        <w:rPr>
          <w:rFonts w:eastAsiaTheme="minorEastAsia"/>
          <w:lang w:val="bg-BG"/>
        </w:rPr>
      </w:pPr>
      <w:r>
        <w:rPr>
          <w:rFonts w:eastAsiaTheme="minorEastAsia"/>
          <w:lang w:val="bg-BG"/>
        </w:rPr>
        <w:lastRenderedPageBreak/>
        <w:t>Трансакционен мотив за търсенето на пари – обяснява търсенето на пари чрез трансакциите, по които се извършват плащанията. Трансакциите зависят от дохода, следователно трансакционния мотив зависи от съвкупния доход и той е в права връзка.</w:t>
      </w:r>
    </w:p>
    <w:p w:rsidR="007B3D5A" w:rsidRPr="007B3D5A" w:rsidRDefault="007B3D5A" w:rsidP="007B3D5A">
      <w:pPr>
        <w:pStyle w:val="a4"/>
        <w:numPr>
          <w:ilvl w:val="0"/>
          <w:numId w:val="17"/>
        </w:numPr>
        <w:tabs>
          <w:tab w:val="left" w:pos="5205"/>
        </w:tabs>
        <w:rPr>
          <w:rFonts w:eastAsiaTheme="minorEastAsia"/>
          <w:lang w:val="bg-BG"/>
        </w:rPr>
      </w:pPr>
      <w:r>
        <w:rPr>
          <w:rFonts w:eastAsiaTheme="minorEastAsia"/>
          <w:lang w:val="bg-BG"/>
        </w:rPr>
        <w:t>Осигурителен мотив за търсенето на пари – освен за трансакции, пари се държат и за непредвидени обстоятелства. Търсенето според този мотив също зависи от трансакциите, а следователно и от съвкупния доход.</w:t>
      </w:r>
    </w:p>
    <w:p w:rsidR="007B3D5A" w:rsidRPr="00914DCC" w:rsidRDefault="007B3D5A" w:rsidP="007B3D5A">
      <w:pPr>
        <w:pStyle w:val="a4"/>
        <w:numPr>
          <w:ilvl w:val="0"/>
          <w:numId w:val="17"/>
        </w:numPr>
        <w:tabs>
          <w:tab w:val="left" w:pos="5205"/>
        </w:tabs>
        <w:rPr>
          <w:rFonts w:eastAsiaTheme="minorEastAsia"/>
          <w:lang w:val="bg-BG"/>
        </w:rPr>
      </w:pPr>
      <w:r>
        <w:rPr>
          <w:rFonts w:eastAsiaTheme="minorEastAsia"/>
          <w:lang w:val="bg-BG"/>
        </w:rPr>
        <w:t>Спекулативен мотив – парите са запас на богатството, но Кейнс разглежда по-вн</w:t>
      </w:r>
      <w:r w:rsidR="00914DCC">
        <w:rPr>
          <w:rFonts w:eastAsiaTheme="minorEastAsia"/>
          <w:lang w:val="bg-BG"/>
        </w:rPr>
        <w:t>имателно факторите, които определят този мотив. Стига до извода, че спекулативното търсене на пари зависи не само от дохода, но и от лихвения процент. Кейнс приема, че икономическите агенти държат само пари и облигации. Парите имат нулева възвръщаемост, докато по облигациите се плаща лихва, която зависи не само от обещания лихвен процент, но и от капиталовата загуба (печалба), която може да се реализира о</w:t>
      </w:r>
      <w:r w:rsidR="0094207C">
        <w:rPr>
          <w:rFonts w:eastAsiaTheme="minorEastAsia"/>
          <w:lang w:val="bg-BG"/>
        </w:rPr>
        <w:t>т</w:t>
      </w:r>
      <w:r w:rsidR="00914DCC">
        <w:rPr>
          <w:rFonts w:eastAsiaTheme="minorEastAsia"/>
          <w:lang w:val="bg-BG"/>
        </w:rPr>
        <w:t xml:space="preserve"> държането на тези облигации</w:t>
      </w:r>
    </w:p>
    <w:p w:rsidR="00914DCC" w:rsidRPr="00914DCC" w:rsidRDefault="00914DCC" w:rsidP="00914DCC">
      <w:pPr>
        <w:tabs>
          <w:tab w:val="left" w:pos="5205"/>
        </w:tabs>
        <w:rPr>
          <w:rFonts w:eastAsiaTheme="minorEastAsia"/>
        </w:rPr>
      </w:pPr>
      <m:oMathPara>
        <m:oMathParaPr>
          <m:jc m:val="left"/>
        </m:oMathParaPr>
        <m:oMath>
          <m:r>
            <w:rPr>
              <w:rFonts w:ascii="Cambria Math" w:eastAsiaTheme="minorEastAsia" w:hAnsi="Cambria Math"/>
              <w:lang w:val="bg-BG"/>
            </w:rPr>
            <m:t>REP=</m:t>
          </m:r>
          <m:f>
            <m:fPr>
              <m:ctrlPr>
                <w:rPr>
                  <w:rFonts w:ascii="Cambria Math" w:eastAsiaTheme="minorEastAsia" w:hAnsi="Cambria Math"/>
                  <w:i/>
                  <w:lang w:val="bg-BG"/>
                </w:rPr>
              </m:ctrlPr>
            </m:fPr>
            <m:num>
              <m:r>
                <w:rPr>
                  <w:rFonts w:ascii="Cambria Math" w:eastAsiaTheme="minorEastAsia" w:hAnsi="Cambria Math"/>
                  <w:lang w:val="bg-BG"/>
                </w:rPr>
                <m:t>C+P</m:t>
              </m:r>
              <m:r>
                <m:rPr>
                  <m:nor/>
                </m:rPr>
                <w:rPr>
                  <w:rFonts w:ascii="Cambria Math" w:eastAsiaTheme="minorEastAsia" w:hAnsi="Cambria Math"/>
                  <w:i/>
                  <w:vertAlign w:val="subscript"/>
                  <w:lang w:val="bg-BG"/>
                </w:rPr>
                <m:t>t+1</m:t>
              </m:r>
              <m:r>
                <w:rPr>
                  <w:rFonts w:ascii="Cambria Math" w:eastAsiaTheme="minorEastAsia" w:hAnsi="Cambria Math"/>
                  <w:lang w:val="bg-BG"/>
                </w:rPr>
                <m:t>-P</m:t>
              </m:r>
              <m:r>
                <m:rPr>
                  <m:nor/>
                </m:rPr>
                <w:rPr>
                  <w:rFonts w:ascii="Cambria Math" w:eastAsiaTheme="minorEastAsia" w:hAnsi="Cambria Math"/>
                  <w:i/>
                  <w:vertAlign w:val="subscript"/>
                  <w:lang w:val="bg-BG"/>
                </w:rPr>
                <m:t>t</m:t>
              </m:r>
            </m:num>
            <m:den>
              <m:r>
                <w:rPr>
                  <w:rFonts w:ascii="Cambria Math" w:eastAsiaTheme="minorEastAsia" w:hAnsi="Cambria Math"/>
                  <w:lang w:val="bg-BG"/>
                </w:rPr>
                <m:t>Pt</m:t>
              </m:r>
            </m:den>
          </m:f>
        </m:oMath>
      </m:oMathPara>
    </w:p>
    <w:p w:rsidR="00914DCC" w:rsidRDefault="00914DCC" w:rsidP="00914DCC">
      <w:pPr>
        <w:tabs>
          <w:tab w:val="left" w:pos="5205"/>
        </w:tabs>
        <w:rPr>
          <w:rFonts w:eastAsiaTheme="minorEastAsia"/>
          <w:lang w:val="bg-BG"/>
        </w:rPr>
      </w:pPr>
      <w:r>
        <w:rPr>
          <w:rFonts w:eastAsiaTheme="minorEastAsia"/>
          <w:lang w:val="bg-BG"/>
        </w:rPr>
        <w:t>Ако лихвения процент се повиши, Р намалява – следователно имаме капиталова загуба, а оттук и отрицателна възвръщаемост (доходност)</w:t>
      </w:r>
    </w:p>
    <w:p w:rsidR="00914DCC" w:rsidRDefault="00914DCC" w:rsidP="00914DCC">
      <w:pPr>
        <w:tabs>
          <w:tab w:val="left" w:pos="5205"/>
        </w:tabs>
        <w:rPr>
          <w:rFonts w:eastAsiaTheme="minorEastAsia"/>
          <w:lang w:val="bg-BG"/>
        </w:rPr>
      </w:pPr>
      <w:r>
        <w:rPr>
          <w:rFonts w:eastAsiaTheme="minorEastAsia"/>
          <w:lang w:val="bg-BG"/>
        </w:rPr>
        <w:t>Кейнс приема, че съществува нормално ниво на лихвените проценти. Ако лихвените проценти са под това ниво се очаква те да се повишат, следователно може да възникне капиталова загуба от държането на облигации и при ниските лихвени проценти ще се търсят повече пари, отколкото облигации. Кейнс разглежда реалното количество пари, което притежават икономическите агенти.</w:t>
      </w:r>
    </w:p>
    <w:p w:rsidR="00914DCC" w:rsidRPr="001074D3" w:rsidRDefault="0022691A" w:rsidP="00914DCC">
      <w:pPr>
        <w:tabs>
          <w:tab w:val="left" w:pos="5205"/>
        </w:tabs>
        <w:rPr>
          <w:rFonts w:eastAsiaTheme="minorEastAsia"/>
        </w:rPr>
      </w:pPr>
      <m:oMathPara>
        <m:oMathParaPr>
          <m:jc m:val="left"/>
        </m:oMathParaPr>
        <m:oMath>
          <m:f>
            <m:fPr>
              <m:ctrlPr>
                <w:rPr>
                  <w:rFonts w:ascii="Cambria Math" w:eastAsiaTheme="minorEastAsia" w:hAnsi="Cambria Math"/>
                  <w:i/>
                  <w:lang w:val="bg-BG"/>
                </w:rPr>
              </m:ctrlPr>
            </m:fPr>
            <m:num>
              <m:sSup>
                <m:sSupPr>
                  <m:ctrlPr>
                    <w:rPr>
                      <w:rFonts w:ascii="Cambria Math" w:eastAsiaTheme="minorEastAsia" w:hAnsi="Cambria Math"/>
                      <w:i/>
                      <w:lang w:val="bg-BG"/>
                    </w:rPr>
                  </m:ctrlPr>
                </m:sSupPr>
                <m:e>
                  <m:r>
                    <w:rPr>
                      <w:rFonts w:ascii="Cambria Math" w:eastAsiaTheme="minorEastAsia" w:hAnsi="Cambria Math"/>
                    </w:rPr>
                    <m:t>M</m:t>
                  </m:r>
                </m:e>
                <m:sup>
                  <m:r>
                    <w:rPr>
                      <w:rFonts w:ascii="Cambria Math" w:eastAsiaTheme="minorEastAsia" w:hAnsi="Cambria Math"/>
                      <w:lang w:val="bg-BG"/>
                    </w:rPr>
                    <m:t>d</m:t>
                  </m:r>
                </m:sup>
              </m:sSup>
            </m:num>
            <m:den>
              <m:r>
                <w:rPr>
                  <w:rFonts w:ascii="Cambria Math" w:eastAsiaTheme="minorEastAsia" w:hAnsi="Cambria Math"/>
                  <w:lang w:val="bg-BG"/>
                </w:rPr>
                <m:t>P</m:t>
              </m:r>
            </m:den>
          </m:f>
          <m:r>
            <w:rPr>
              <w:rFonts w:ascii="Cambria Math" w:eastAsiaTheme="minorEastAsia" w:hAnsi="Cambria Math"/>
              <w:lang w:val="bg-BG"/>
            </w:rPr>
            <m:t>=f</m:t>
          </m:r>
          <m:d>
            <m:dPr>
              <m:ctrlPr>
                <w:rPr>
                  <w:rFonts w:ascii="Cambria Math" w:eastAsiaTheme="minorEastAsia" w:hAnsi="Cambria Math"/>
                  <w:i/>
                  <w:lang w:val="bg-BG"/>
                </w:rPr>
              </m:ctrlPr>
            </m:dPr>
            <m:e>
              <m:r>
                <w:rPr>
                  <w:rFonts w:ascii="Cambria Math" w:eastAsiaTheme="minorEastAsia" w:hAnsi="Cambria Math"/>
                  <w:lang w:val="bg-BG"/>
                </w:rPr>
                <m:t>Y,i</m:t>
              </m:r>
            </m:e>
          </m:d>
        </m:oMath>
      </m:oMathPara>
    </w:p>
    <w:p w:rsidR="001074D3" w:rsidRPr="001074D3" w:rsidRDefault="0022691A" w:rsidP="00914DCC">
      <w:pPr>
        <w:tabs>
          <w:tab w:val="left" w:pos="5205"/>
        </w:tabs>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P</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d</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f(Y,i)</m:t>
              </m:r>
            </m:den>
          </m:f>
        </m:oMath>
      </m:oMathPara>
    </w:p>
    <w:p w:rsidR="001074D3" w:rsidRDefault="001074D3" w:rsidP="00914DCC">
      <w:pPr>
        <w:tabs>
          <w:tab w:val="left" w:pos="5205"/>
        </w:tabs>
        <w:rPr>
          <w:rFonts w:eastAsiaTheme="minorEastAsia"/>
        </w:rPr>
      </w:pPr>
      <w:r>
        <w:rPr>
          <w:rFonts w:eastAsiaTheme="minorEastAsia"/>
          <w:lang w:val="bg-BG"/>
        </w:rPr>
        <w:t>След тов</w:t>
      </w:r>
      <w:r>
        <w:rPr>
          <w:rFonts w:eastAsiaTheme="minorEastAsia"/>
        </w:rPr>
        <w:t>a</w:t>
      </w:r>
      <w:r>
        <w:rPr>
          <w:rFonts w:eastAsiaTheme="minorEastAsia"/>
          <w:lang w:val="bg-BG"/>
        </w:rPr>
        <w:t xml:space="preserve"> умножаваме двете страни с </w:t>
      </w:r>
      <w:r>
        <w:rPr>
          <w:rFonts w:eastAsiaTheme="minorEastAsia"/>
        </w:rPr>
        <w:t>Q.</w:t>
      </w:r>
    </w:p>
    <w:p w:rsidR="001074D3" w:rsidRDefault="0022691A" w:rsidP="00914DCC">
      <w:pPr>
        <w:tabs>
          <w:tab w:val="left" w:pos="5205"/>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Q×P</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d</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f(Y,i)</m:t>
              </m:r>
            </m:den>
          </m:f>
          <m:r>
            <w:rPr>
              <w:rFonts w:ascii="Cambria Math" w:eastAsiaTheme="minorEastAsia" w:hAnsi="Cambria Math"/>
            </w:rPr>
            <m:t>=V</m:t>
          </m:r>
        </m:oMath>
      </m:oMathPara>
    </w:p>
    <w:p w:rsidR="001074D3" w:rsidRDefault="001074D3" w:rsidP="00914DCC">
      <w:pPr>
        <w:tabs>
          <w:tab w:val="left" w:pos="5205"/>
        </w:tabs>
        <w:rPr>
          <w:rFonts w:eastAsiaTheme="minorEastAsia"/>
          <w:lang w:val="bg-BG"/>
        </w:rPr>
      </w:pPr>
      <w:r>
        <w:rPr>
          <w:rFonts w:eastAsiaTheme="minorEastAsia"/>
          <w:lang w:val="bg-BG"/>
        </w:rPr>
        <w:t>Има права връзка между скорост на парично обръщение и лихвен процент.</w:t>
      </w:r>
    </w:p>
    <w:p w:rsidR="001074D3" w:rsidRPr="001074D3" w:rsidRDefault="001074D3" w:rsidP="001074D3">
      <w:pPr>
        <w:pStyle w:val="a4"/>
        <w:numPr>
          <w:ilvl w:val="0"/>
          <w:numId w:val="15"/>
        </w:numPr>
        <w:tabs>
          <w:tab w:val="left" w:pos="5205"/>
        </w:tabs>
        <w:rPr>
          <w:rFonts w:eastAsiaTheme="minorEastAsia"/>
          <w:lang w:val="bg-BG"/>
        </w:rPr>
      </w:pPr>
      <w:r>
        <w:rPr>
          <w:rFonts w:eastAsiaTheme="minorEastAsia"/>
          <w:lang w:val="bg-BG"/>
        </w:rPr>
        <w:t>Съвременно развитие на Кейнсианския подход (Баумол и Тобин)– развива след втората световна война. Особено при него е, че икономистите разкриват обратната връзка на лихвения процент и с трансакционното търсене на пари и осигурителното търсене на пари.</w:t>
      </w:r>
      <w:r>
        <w:rPr>
          <w:rFonts w:eastAsiaTheme="minorEastAsia"/>
        </w:rPr>
        <w:t xml:space="preserve"> </w:t>
      </w:r>
      <w:r>
        <w:rPr>
          <w:rFonts w:eastAsiaTheme="minorEastAsia"/>
          <w:lang w:val="bg-BG"/>
        </w:rPr>
        <w:t>Те доказват, че спекулативният мотив за търсене на пари зависи от риска по активите, които се държат в портфейла на икономическите агенти.</w:t>
      </w:r>
    </w:p>
    <w:p w:rsidR="001074D3" w:rsidRPr="001074D3" w:rsidRDefault="001074D3" w:rsidP="001074D3">
      <w:pPr>
        <w:pStyle w:val="a4"/>
        <w:numPr>
          <w:ilvl w:val="0"/>
          <w:numId w:val="15"/>
        </w:numPr>
        <w:tabs>
          <w:tab w:val="left" w:pos="5205"/>
        </w:tabs>
        <w:rPr>
          <w:rFonts w:eastAsiaTheme="minorEastAsia"/>
          <w:lang w:val="bg-BG"/>
        </w:rPr>
      </w:pPr>
      <w:r>
        <w:rPr>
          <w:rFonts w:eastAsiaTheme="minorEastAsia"/>
          <w:lang w:val="bg-BG"/>
        </w:rPr>
        <w:t>Съвременна количествена теория за търсенето на пари, която се развива от Фридман</w:t>
      </w:r>
      <w:r>
        <w:rPr>
          <w:rFonts w:eastAsiaTheme="minorEastAsia"/>
        </w:rPr>
        <w:t xml:space="preserve"> – </w:t>
      </w:r>
      <w:r>
        <w:rPr>
          <w:rFonts w:eastAsiaTheme="minorEastAsia"/>
          <w:lang w:val="bg-BG"/>
        </w:rPr>
        <w:t xml:space="preserve">този подход се твърди, че е продължение на монетаристкото движение. Тази теория </w:t>
      </w:r>
      <w:r>
        <w:rPr>
          <w:rFonts w:eastAsiaTheme="minorEastAsia"/>
          <w:lang w:val="bg-BG"/>
        </w:rPr>
        <w:lastRenderedPageBreak/>
        <w:t>разглежда реалното количество пари, което икономическите агенти искат да държат. Тя твърди, че търсенето на пари зависи от богатството и очаквания доход от други активи в сравнение с парите</w:t>
      </w:r>
      <w:r>
        <w:rPr>
          <w:rFonts w:eastAsiaTheme="minorEastAsia"/>
        </w:rPr>
        <w:t>.</w:t>
      </w:r>
    </w:p>
    <w:p w:rsidR="001074D3" w:rsidRPr="00426D56" w:rsidRDefault="0022691A" w:rsidP="001074D3">
      <w:pPr>
        <w:tabs>
          <w:tab w:val="left" w:pos="5205"/>
        </w:tabs>
        <w:rPr>
          <w:rFonts w:eastAsiaTheme="minorEastAsia"/>
          <w:i/>
          <w:lang w:val="bg-BG"/>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d</m:t>
                  </m:r>
                </m:sup>
              </m:sSup>
            </m:num>
            <m:den>
              <m:r>
                <w:rPr>
                  <w:rFonts w:ascii="Cambria Math" w:eastAsiaTheme="minorEastAsia" w:hAnsi="Cambria Math"/>
                </w:rPr>
                <m:t>P</m:t>
              </m:r>
            </m:den>
          </m:f>
          <m:r>
            <w:rPr>
              <w:rFonts w:ascii="Cambria Math" w:eastAsiaTheme="minorEastAsia" w:hAnsi="Cambria Math"/>
            </w:rPr>
            <m:t>=f(Y</m:t>
          </m:r>
          <m:r>
            <m:rPr>
              <m:nor/>
            </m:rPr>
            <w:rPr>
              <w:rFonts w:ascii="Cambria Math" w:eastAsiaTheme="minorEastAsia" w:hAnsi="Cambria Math"/>
              <w:i/>
              <w:vertAlign w:val="subscript"/>
            </w:rPr>
            <m:t>p</m:t>
          </m:r>
          <m:r>
            <w:rPr>
              <w:rFonts w:ascii="Cambria Math" w:eastAsiaTheme="minorEastAsia" w:hAnsi="Cambria Math"/>
            </w:rPr>
            <m:t>,r</m:t>
          </m:r>
          <m:r>
            <m:rPr>
              <m:nor/>
            </m:rPr>
            <w:rPr>
              <w:rFonts w:ascii="Cambria Math" w:eastAsiaTheme="minorEastAsia" w:hAnsi="Cambria Math"/>
              <w:i/>
              <w:vertAlign w:val="subscript"/>
            </w:rPr>
            <m:t>b</m:t>
          </m:r>
          <m:r>
            <w:rPr>
              <w:rFonts w:ascii="Cambria Math" w:eastAsiaTheme="minorEastAsia" w:hAnsi="Cambria Math"/>
            </w:rPr>
            <m:t>-r</m:t>
          </m:r>
          <m:r>
            <m:rPr>
              <m:nor/>
            </m:rPr>
            <w:rPr>
              <w:rFonts w:ascii="Cambria Math" w:eastAsiaTheme="minorEastAsia" w:hAnsi="Cambria Math"/>
              <w:i/>
              <w:vertAlign w:val="subscript"/>
            </w:rPr>
            <m:t>m</m:t>
          </m:r>
          <m:r>
            <w:rPr>
              <w:rFonts w:ascii="Cambria Math" w:eastAsiaTheme="minorEastAsia" w:hAnsi="Cambria Math"/>
            </w:rPr>
            <m:t>,r</m:t>
          </m:r>
          <m:r>
            <m:rPr>
              <m:nor/>
            </m:rPr>
            <w:rPr>
              <w:rFonts w:ascii="Cambria Math" w:eastAsiaTheme="minorEastAsia" w:hAnsi="Cambria Math"/>
              <w:i/>
              <w:vertAlign w:val="subscript"/>
            </w:rPr>
            <m:t>e</m:t>
          </m:r>
          <m:r>
            <w:rPr>
              <w:rFonts w:ascii="Cambria Math" w:eastAsiaTheme="minorEastAsia" w:hAnsi="Cambria Math"/>
            </w:rPr>
            <m:t>-r</m:t>
          </m:r>
          <m:r>
            <m:rPr>
              <m:nor/>
            </m:rPr>
            <w:rPr>
              <w:rFonts w:ascii="Cambria Math" w:eastAsiaTheme="minorEastAsia" w:hAnsi="Cambria Math"/>
              <w:i/>
              <w:vertAlign w:val="subscript"/>
            </w:rPr>
            <m:t>m</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e</m:t>
              </m:r>
            </m:sup>
          </m:sSup>
          <m:r>
            <w:rPr>
              <w:rFonts w:ascii="Cambria Math" w:eastAsiaTheme="minorEastAsia" w:hAnsi="Cambria Math"/>
            </w:rPr>
            <m:t>-r</m:t>
          </m:r>
          <m:r>
            <m:rPr>
              <m:nor/>
            </m:rPr>
            <w:rPr>
              <w:rFonts w:ascii="Cambria Math" w:eastAsiaTheme="minorEastAsia" w:hAnsi="Cambria Math"/>
              <w:i/>
              <w:vertAlign w:val="subscript"/>
            </w:rPr>
            <m:t>m</m:t>
          </m:r>
          <m:r>
            <w:rPr>
              <w:rFonts w:ascii="Cambria Math" w:eastAsiaTheme="minorEastAsia" w:hAnsi="Cambria Math"/>
              <w:vertAlign w:val="subscript"/>
            </w:rPr>
            <m:t>)</m:t>
          </m:r>
        </m:oMath>
      </m:oMathPara>
    </w:p>
    <w:p w:rsidR="00426D56" w:rsidRDefault="00426D56" w:rsidP="001074D3">
      <w:pPr>
        <w:tabs>
          <w:tab w:val="left" w:pos="5205"/>
        </w:tabs>
        <w:rPr>
          <w:rFonts w:eastAsiaTheme="minorEastAsia"/>
        </w:rPr>
      </w:pPr>
      <w:proofErr w:type="spellStart"/>
      <w:r>
        <w:rPr>
          <w:rFonts w:eastAsiaTheme="minorEastAsia"/>
        </w:rPr>
        <w:t>Yp</w:t>
      </w:r>
      <w:proofErr w:type="spellEnd"/>
      <w:r>
        <w:rPr>
          <w:rFonts w:eastAsiaTheme="minorEastAsia"/>
        </w:rPr>
        <w:t xml:space="preserve"> – </w:t>
      </w:r>
      <w:r>
        <w:rPr>
          <w:rFonts w:eastAsiaTheme="minorEastAsia"/>
          <w:lang w:val="bg-BG"/>
        </w:rPr>
        <w:t>постоянен доход</w:t>
      </w:r>
    </w:p>
    <w:p w:rsidR="00426D56" w:rsidRDefault="00426D56" w:rsidP="001074D3">
      <w:pPr>
        <w:tabs>
          <w:tab w:val="left" w:pos="5205"/>
        </w:tabs>
        <w:rPr>
          <w:rFonts w:eastAsiaTheme="minorEastAsia"/>
          <w:lang w:val="bg-BG"/>
        </w:rPr>
      </w:pPr>
      <w:proofErr w:type="spellStart"/>
      <w:r>
        <w:rPr>
          <w:rFonts w:eastAsiaTheme="minorEastAsia"/>
        </w:rPr>
        <w:t>Rb</w:t>
      </w:r>
      <w:proofErr w:type="spellEnd"/>
      <w:r>
        <w:rPr>
          <w:rFonts w:eastAsiaTheme="minorEastAsia"/>
        </w:rPr>
        <w:t xml:space="preserve"> – </w:t>
      </w:r>
      <w:r>
        <w:rPr>
          <w:rFonts w:eastAsiaTheme="minorEastAsia"/>
          <w:lang w:val="bg-BG"/>
        </w:rPr>
        <w:t>очакван доход от облигациите</w:t>
      </w:r>
    </w:p>
    <w:p w:rsidR="00426D56" w:rsidRDefault="00426D56" w:rsidP="001074D3">
      <w:pPr>
        <w:tabs>
          <w:tab w:val="left" w:pos="5205"/>
        </w:tabs>
        <w:rPr>
          <w:rFonts w:eastAsiaTheme="minorEastAsia"/>
          <w:lang w:val="bg-BG"/>
        </w:rPr>
      </w:pPr>
      <w:proofErr w:type="spellStart"/>
      <w:r>
        <w:rPr>
          <w:rFonts w:eastAsiaTheme="minorEastAsia"/>
        </w:rPr>
        <w:t>Rm</w:t>
      </w:r>
      <w:proofErr w:type="spellEnd"/>
      <w:r>
        <w:rPr>
          <w:rFonts w:eastAsiaTheme="minorEastAsia"/>
        </w:rPr>
        <w:t xml:space="preserve"> – </w:t>
      </w:r>
      <w:r>
        <w:rPr>
          <w:rFonts w:eastAsiaTheme="minorEastAsia"/>
          <w:lang w:val="bg-BG"/>
        </w:rPr>
        <w:t>очакван доход от парите</w:t>
      </w:r>
    </w:p>
    <w:p w:rsidR="00426D56" w:rsidRDefault="00426D56" w:rsidP="001074D3">
      <w:pPr>
        <w:tabs>
          <w:tab w:val="left" w:pos="5205"/>
        </w:tabs>
        <w:rPr>
          <w:rFonts w:eastAsiaTheme="minorEastAsia"/>
          <w:lang w:val="bg-BG"/>
        </w:rPr>
      </w:pPr>
      <w:r>
        <w:rPr>
          <w:rFonts w:eastAsiaTheme="minorEastAsia"/>
        </w:rPr>
        <w:t xml:space="preserve">Re – </w:t>
      </w:r>
      <w:r>
        <w:rPr>
          <w:rFonts w:eastAsiaTheme="minorEastAsia"/>
          <w:lang w:val="bg-BG"/>
        </w:rPr>
        <w:t>очакван доход от акциите</w:t>
      </w:r>
    </w:p>
    <w:p w:rsidR="00426D56" w:rsidRDefault="00426D56" w:rsidP="001074D3">
      <w:pPr>
        <w:tabs>
          <w:tab w:val="left" w:pos="5205"/>
        </w:tabs>
        <w:rPr>
          <w:rFonts w:eastAsiaTheme="minorEastAsia"/>
          <w:lang w:val="bg-BG"/>
        </w:rPr>
      </w:pPr>
      <w:r>
        <w:rPr>
          <w:rFonts w:eastAsiaTheme="minorEastAsia"/>
          <w:lang w:val="bg-BG"/>
        </w:rPr>
        <w:t>Пе – очаквана инфлация</w:t>
      </w:r>
    </w:p>
    <w:p w:rsidR="00426D56" w:rsidRDefault="00426D56" w:rsidP="001074D3">
      <w:pPr>
        <w:tabs>
          <w:tab w:val="left" w:pos="5205"/>
        </w:tabs>
        <w:rPr>
          <w:rFonts w:eastAsiaTheme="minorEastAsia"/>
        </w:rPr>
      </w:pPr>
      <w:r>
        <w:rPr>
          <w:rFonts w:eastAsiaTheme="minorEastAsia"/>
          <w:lang w:val="bg-BG"/>
        </w:rPr>
        <w:t>Когато доходът нараства, търсенето на пари нараства.</w:t>
      </w:r>
    </w:p>
    <w:p w:rsidR="00426D56" w:rsidRDefault="00426D56" w:rsidP="001074D3">
      <w:pPr>
        <w:tabs>
          <w:tab w:val="left" w:pos="5205"/>
        </w:tabs>
        <w:rPr>
          <w:rFonts w:eastAsiaTheme="minorEastAsia"/>
          <w:lang w:val="bg-BG"/>
        </w:rPr>
      </w:pPr>
      <w:r>
        <w:rPr>
          <w:rFonts w:eastAsiaTheme="minorEastAsia"/>
          <w:lang w:val="bg-BG"/>
        </w:rPr>
        <w:t>Когато оча</w:t>
      </w:r>
      <w:r w:rsidR="00A47371">
        <w:rPr>
          <w:rFonts w:eastAsiaTheme="minorEastAsia"/>
          <w:lang w:val="bg-BG"/>
        </w:rPr>
        <w:t>кваната доходност по акциите, облигациите и стоките</w:t>
      </w:r>
      <w:r>
        <w:rPr>
          <w:rFonts w:eastAsiaTheme="minorEastAsia"/>
          <w:lang w:val="bg-BG"/>
        </w:rPr>
        <w:t xml:space="preserve"> нараства в сравнение с очакваната доходност на парите, реалното количество търсени пари намалява, т.е. съществува обратна връзка между търсенето количество пари и очакваната доходност.</w:t>
      </w:r>
    </w:p>
    <w:p w:rsidR="00426D56" w:rsidRDefault="00426D56" w:rsidP="001074D3">
      <w:pPr>
        <w:tabs>
          <w:tab w:val="left" w:pos="5205"/>
        </w:tabs>
        <w:rPr>
          <w:rFonts w:eastAsiaTheme="minorEastAsia"/>
          <w:lang w:val="bg-BG"/>
        </w:rPr>
      </w:pPr>
      <w:r>
        <w:rPr>
          <w:rFonts w:eastAsiaTheme="minorEastAsia"/>
          <w:lang w:val="bg-BG"/>
        </w:rPr>
        <w:t>Основни различия между теориите на Кейнс и Фридман.</w:t>
      </w:r>
    </w:p>
    <w:p w:rsidR="00426D56" w:rsidRDefault="00426D56" w:rsidP="001074D3">
      <w:pPr>
        <w:tabs>
          <w:tab w:val="left" w:pos="5205"/>
        </w:tabs>
        <w:rPr>
          <w:rFonts w:eastAsiaTheme="minorEastAsia"/>
        </w:rPr>
      </w:pPr>
      <w:r>
        <w:rPr>
          <w:rFonts w:eastAsiaTheme="minorEastAsia"/>
          <w:lang w:val="bg-BG"/>
        </w:rPr>
        <w:t>Фридман признава важността на няколко лихвени процента, докато Кейнс обединява всички активи в един (облигации). Фридман разглежда стоките като субститут на парите и той не приема очакваната доходност на парите да е 0. Фридман твърди, че функцията на търсене на пари е стабилна, поради което скоростта на парично обръщение може да се предвиди сравнително лесно и точно.</w:t>
      </w:r>
    </w:p>
    <w:p w:rsidR="00426D56" w:rsidRDefault="00426D56" w:rsidP="001074D3">
      <w:pPr>
        <w:tabs>
          <w:tab w:val="left" w:pos="5205"/>
        </w:tabs>
        <w:rPr>
          <w:rFonts w:eastAsiaTheme="minorEastAsia"/>
        </w:rPr>
      </w:pPr>
    </w:p>
    <w:p w:rsidR="00426D56" w:rsidRPr="00A47371" w:rsidRDefault="00426D56" w:rsidP="00A47371">
      <w:pPr>
        <w:tabs>
          <w:tab w:val="left" w:pos="5205"/>
        </w:tabs>
        <w:jc w:val="center"/>
        <w:rPr>
          <w:rFonts w:eastAsiaTheme="minorEastAsia"/>
          <w:b/>
          <w:lang w:val="bg-BG"/>
        </w:rPr>
      </w:pPr>
      <w:r w:rsidRPr="00A47371">
        <w:rPr>
          <w:rFonts w:eastAsiaTheme="minorEastAsia"/>
          <w:b/>
          <w:lang w:val="bg-BG"/>
        </w:rPr>
        <w:t>Съвкупно търсене и съвкупно предлагане</w:t>
      </w:r>
    </w:p>
    <w:p w:rsidR="00426D56" w:rsidRDefault="00426D56" w:rsidP="001074D3">
      <w:pPr>
        <w:tabs>
          <w:tab w:val="left" w:pos="5205"/>
        </w:tabs>
        <w:rPr>
          <w:rFonts w:eastAsiaTheme="minorEastAsia"/>
          <w:lang w:val="bg-BG"/>
        </w:rPr>
      </w:pPr>
      <w:r>
        <w:rPr>
          <w:rFonts w:eastAsiaTheme="minorEastAsia"/>
          <w:lang w:val="bg-BG"/>
        </w:rPr>
        <w:t>Съвкупното търсене е общото количество крайни стоки и услуги, които се търсят при различни нива на цените. Съвкупното предлагане е количеството стоки и услуги, което се предлага от фирмите при съответните ценови нива</w:t>
      </w:r>
      <w:r w:rsidR="00A47371">
        <w:rPr>
          <w:rFonts w:eastAsiaTheme="minorEastAsia"/>
          <w:lang w:val="bg-BG"/>
        </w:rPr>
        <w:t>.</w:t>
      </w:r>
    </w:p>
    <w:p w:rsidR="00A47371" w:rsidRDefault="00A47371" w:rsidP="00A47371">
      <w:pPr>
        <w:pStyle w:val="a4"/>
        <w:numPr>
          <w:ilvl w:val="0"/>
          <w:numId w:val="18"/>
        </w:numPr>
        <w:tabs>
          <w:tab w:val="left" w:pos="5205"/>
        </w:tabs>
        <w:rPr>
          <w:rFonts w:eastAsiaTheme="minorEastAsia"/>
          <w:lang w:val="bg-BG"/>
        </w:rPr>
      </w:pPr>
      <w:r>
        <w:rPr>
          <w:rFonts w:eastAsiaTheme="minorEastAsia"/>
          <w:lang w:val="bg-BG"/>
        </w:rPr>
        <w:t>Съвкупно търсене – кривата на съвкупно търсене дава връзката между търсеното производство и цените, когато стоковия и паричния пазар са в равновесие. Монетаристите твърдят, че кривата на съвкупно търсене е намаляваща и тя се измества в резултат на промяна на паричното предлагане. Кейнсианците също твърдят, че кривата на съвкупно търсене е намаляваща, но тя се измества под влияние на потреблението, инвестициите, правителствените разходи, нетния износ, но не изключват и влиянието на паричното предлагане.</w:t>
      </w:r>
    </w:p>
    <w:p w:rsidR="00A47371" w:rsidRDefault="007726FF" w:rsidP="00A47371">
      <w:pPr>
        <w:tabs>
          <w:tab w:val="left" w:pos="5205"/>
        </w:tabs>
        <w:rPr>
          <w:rFonts w:eastAsiaTheme="minorEastAsia"/>
          <w:lang w:val="bg-BG"/>
        </w:rPr>
      </w:pPr>
      <w:r>
        <w:rPr>
          <w:rFonts w:eastAsiaTheme="minorEastAsia"/>
          <w:lang w:val="bg-BG"/>
        </w:rPr>
        <w:lastRenderedPageBreak/>
        <w:t>1</w:t>
      </w:r>
      <w:r w:rsidR="00A47371">
        <w:rPr>
          <w:rFonts w:eastAsiaTheme="minorEastAsia"/>
          <w:lang w:val="bg-BG"/>
        </w:rPr>
        <w:t>.1. монетаристки анализ на съвкупното търсене – приемайки, че скоростта на парично обръщение е сравнително постоянна величина, монетаристите търсят връзката между ценовото ниво и съвкупните разходи</w:t>
      </w:r>
    </w:p>
    <w:p w:rsidR="00A47371" w:rsidRDefault="00A47371" w:rsidP="00A47371">
      <w:pPr>
        <w:tabs>
          <w:tab w:val="left" w:pos="5205"/>
        </w:tabs>
        <w:rPr>
          <w:rFonts w:eastAsiaTheme="minorEastAsia"/>
        </w:rPr>
      </w:pPr>
      <w:r>
        <w:rPr>
          <w:rFonts w:eastAsiaTheme="minorEastAsia"/>
        </w:rPr>
        <w:t>M.V=P.Q</w:t>
      </w:r>
    </w:p>
    <w:p w:rsidR="00A47371" w:rsidRDefault="00A47371" w:rsidP="00A47371">
      <w:pPr>
        <w:tabs>
          <w:tab w:val="left" w:pos="5205"/>
        </w:tabs>
        <w:rPr>
          <w:rFonts w:eastAsiaTheme="minorEastAsia"/>
        </w:rPr>
      </w:pPr>
      <w:r>
        <w:rPr>
          <w:rFonts w:eastAsiaTheme="minorEastAsia"/>
        </w:rPr>
        <w:t>V=</w:t>
      </w:r>
      <w:proofErr w:type="spellStart"/>
      <w:r>
        <w:rPr>
          <w:rFonts w:eastAsiaTheme="minorEastAsia"/>
        </w:rPr>
        <w:t>const</w:t>
      </w:r>
      <w:proofErr w:type="spellEnd"/>
    </w:p>
    <w:p w:rsidR="00A47371" w:rsidRDefault="00A47371" w:rsidP="00A47371">
      <w:pPr>
        <w:tabs>
          <w:tab w:val="left" w:pos="5205"/>
        </w:tabs>
        <w:rPr>
          <w:rFonts w:eastAsiaTheme="minorEastAsia"/>
          <w:lang w:val="bg-BG"/>
        </w:rPr>
      </w:pPr>
      <w:r>
        <w:rPr>
          <w:rFonts w:eastAsiaTheme="minorEastAsia"/>
          <w:lang w:val="bg-BG"/>
        </w:rPr>
        <w:t>При дадено М (</w:t>
      </w:r>
      <w:proofErr w:type="spellStart"/>
      <w:r>
        <w:rPr>
          <w:rFonts w:eastAsiaTheme="minorEastAsia"/>
          <w:lang w:val="bg-BG"/>
        </w:rPr>
        <w:t>М</w:t>
      </w:r>
      <w:proofErr w:type="spellEnd"/>
      <w:r>
        <w:rPr>
          <w:rFonts w:eastAsiaTheme="minorEastAsia"/>
          <w:lang w:val="bg-BG"/>
        </w:rPr>
        <w:t>=</w:t>
      </w:r>
      <w:proofErr w:type="spellStart"/>
      <w:r>
        <w:rPr>
          <w:rFonts w:eastAsiaTheme="minorEastAsia"/>
        </w:rPr>
        <w:t>const</w:t>
      </w:r>
      <w:proofErr w:type="spellEnd"/>
      <w:r>
        <w:rPr>
          <w:rFonts w:eastAsiaTheme="minorEastAsia"/>
        </w:rPr>
        <w:t xml:space="preserve">), </w:t>
      </w:r>
      <w:r>
        <w:rPr>
          <w:rFonts w:eastAsiaTheme="minorEastAsia"/>
          <w:lang w:val="bg-BG"/>
        </w:rPr>
        <w:t>ако цените нараснат, количеството намалява.</w:t>
      </w:r>
    </w:p>
    <w:p w:rsidR="00A47371" w:rsidRDefault="00A47371" w:rsidP="00A47371">
      <w:pPr>
        <w:tabs>
          <w:tab w:val="left" w:pos="5205"/>
        </w:tabs>
        <w:rPr>
          <w:rFonts w:eastAsiaTheme="minorEastAsia"/>
          <w:lang w:val="bg-BG"/>
        </w:rPr>
      </w:pPr>
      <w:r>
        <w:rPr>
          <w:rFonts w:eastAsiaTheme="minorEastAsia"/>
          <w:lang w:val="bg-BG"/>
        </w:rPr>
        <w:t>Ако М се увеличи при дадено ниво на цените, количеството ще се увеличи. Кривата на съвкупно търсене се измества.</w:t>
      </w:r>
    </w:p>
    <w:p w:rsidR="00045762" w:rsidRDefault="00045762" w:rsidP="00045762">
      <w:pPr>
        <w:tabs>
          <w:tab w:val="left" w:pos="5205"/>
        </w:tabs>
        <w:jc w:val="center"/>
        <w:rPr>
          <w:rFonts w:eastAsiaTheme="minorEastAsia"/>
          <w:lang w:val="bg-BG"/>
        </w:rPr>
      </w:pPr>
      <w:r>
        <w:rPr>
          <w:rFonts w:eastAsiaTheme="minorEastAsia"/>
          <w:noProof/>
          <w:lang w:val="bg-BG" w:eastAsia="bg-BG"/>
        </w:rPr>
        <w:drawing>
          <wp:inline distT="0" distB="0" distL="0" distR="0">
            <wp:extent cx="315277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2.jpg"/>
                    <pic:cNvPicPr/>
                  </pic:nvPicPr>
                  <pic:blipFill>
                    <a:blip r:embed="rId13">
                      <a:extLst>
                        <a:ext uri="{28A0092B-C50C-407E-A947-70E740481C1C}">
                          <a14:useLocalDpi xmlns:a14="http://schemas.microsoft.com/office/drawing/2010/main" val="0"/>
                        </a:ext>
                      </a:extLst>
                    </a:blip>
                    <a:stretch>
                      <a:fillRect/>
                    </a:stretch>
                  </pic:blipFill>
                  <pic:spPr>
                    <a:xfrm>
                      <a:off x="0" y="0"/>
                      <a:ext cx="3152775" cy="2038350"/>
                    </a:xfrm>
                    <a:prstGeom prst="rect">
                      <a:avLst/>
                    </a:prstGeom>
                  </pic:spPr>
                </pic:pic>
              </a:graphicData>
            </a:graphic>
          </wp:inline>
        </w:drawing>
      </w:r>
    </w:p>
    <w:p w:rsidR="00045762" w:rsidRDefault="001D00C0" w:rsidP="00A47371">
      <w:pPr>
        <w:tabs>
          <w:tab w:val="left" w:pos="5205"/>
        </w:tabs>
        <w:rPr>
          <w:rFonts w:eastAsiaTheme="minorEastAsia"/>
          <w:lang w:val="bg-BG"/>
        </w:rPr>
      </w:pPr>
      <w:r>
        <w:rPr>
          <w:rFonts w:eastAsiaTheme="minorEastAsia"/>
          <w:lang w:val="bg-BG"/>
        </w:rPr>
        <w:t>1</w:t>
      </w:r>
      <w:r w:rsidR="00A47371">
        <w:rPr>
          <w:rFonts w:eastAsiaTheme="minorEastAsia"/>
          <w:lang w:val="bg-BG"/>
        </w:rPr>
        <w:t>.2. кейнсиански анализ на съвкупното търсене – кейнсианците разглеждат влиянието на цените</w:t>
      </w:r>
      <w:r w:rsidR="00045762">
        <w:rPr>
          <w:rFonts w:eastAsiaTheme="minorEastAsia"/>
          <w:lang w:val="bg-BG"/>
        </w:rPr>
        <w:t xml:space="preserve"> върху инвестициите и нетния износ. Допускаме, че цените намаляват, следователно паричното предлагане в реално изражение нараства, което води до намаляване на лихвените проценти, нарастване на инвестиционните разходи и увеличаване на съвкупното производство. При намаляване на цените паричното предлагане в реалното изражение нараства, лихвените проценти намаляват, атрактивността на националните депозити намалява, валутния курс се увеличава, което стимулира износа и намалява вноса, което води и до увеличаване на производството.</w:t>
      </w:r>
    </w:p>
    <w:p w:rsidR="00082CFE" w:rsidRDefault="007726FF" w:rsidP="00A47371">
      <w:pPr>
        <w:tabs>
          <w:tab w:val="left" w:pos="5205"/>
        </w:tabs>
        <w:rPr>
          <w:rFonts w:eastAsiaTheme="minorEastAsia"/>
          <w:lang w:val="bg-BG"/>
        </w:rPr>
      </w:pPr>
      <w:r>
        <w:rPr>
          <w:rFonts w:eastAsiaTheme="minorEastAsia"/>
          <w:lang w:val="bg-BG"/>
        </w:rPr>
        <w:t>Поражда се дискусия за ефекта на нарасналите държавни разходи, които целят да постигнат експанзионистичен ефект на фискалната политика. Монетаристите твърдят, че при нарастване на държавните разходи, би трябвало да се очаква мултиплицирано нарастване на съвкупното търсене, но това би трябвало да стане, ако останалите компоненти на съвкупното търсене останат незименни. Те твърдят, че увеличаването на държавните разходи води до намаляване на частните разходи, поради което ефектът на „избутване/изтласкване“ (</w:t>
      </w:r>
      <w:r>
        <w:rPr>
          <w:rFonts w:eastAsiaTheme="minorEastAsia"/>
        </w:rPr>
        <w:t>crowding</w:t>
      </w:r>
      <w:r>
        <w:rPr>
          <w:rFonts w:eastAsiaTheme="minorEastAsia"/>
          <w:lang w:val="bg-BG"/>
        </w:rPr>
        <w:t>-</w:t>
      </w:r>
      <w:r>
        <w:rPr>
          <w:rFonts w:eastAsiaTheme="minorEastAsia"/>
        </w:rPr>
        <w:t xml:space="preserve">out effect) </w:t>
      </w:r>
      <w:r>
        <w:rPr>
          <w:rFonts w:eastAsiaTheme="minorEastAsia"/>
          <w:lang w:val="bg-BG"/>
        </w:rPr>
        <w:t>е нулев. Кейнсианците приемат описания от монетаристите механизъм, но твърдят, че този ефект е частичен, т.е. съществува частичен ефект на избутване. Двете икономически течения спорят за това каква е степента на този ефект, а не дали той съществува.</w:t>
      </w:r>
    </w:p>
    <w:p w:rsidR="007726FF" w:rsidRDefault="007726FF" w:rsidP="007726FF">
      <w:pPr>
        <w:pStyle w:val="a4"/>
        <w:numPr>
          <w:ilvl w:val="0"/>
          <w:numId w:val="18"/>
        </w:numPr>
        <w:tabs>
          <w:tab w:val="left" w:pos="5205"/>
        </w:tabs>
        <w:rPr>
          <w:rFonts w:eastAsiaTheme="minorEastAsia"/>
          <w:lang w:val="bg-BG"/>
        </w:rPr>
      </w:pPr>
      <w:r>
        <w:rPr>
          <w:rFonts w:eastAsiaTheme="minorEastAsia"/>
          <w:lang w:val="bg-BG"/>
        </w:rPr>
        <w:lastRenderedPageBreak/>
        <w:t>Съвкупно предлагане – дава връзката между цените и произведените стоки и услуги, когато стоковия и паричния пазар са в равновесие. Цел на производството е пачалбата, която зависи от разходите за производство и цените. При нарастване на печалбата на един продукт, нараства и производството. В краткосрочен период редица елементи на разходите са фиксирани (работни заплати напр.) и печалбата зависи само от цените. При увеличаване на цените нараства печалбата и се увеличава производството</w:t>
      </w:r>
      <w:r w:rsidR="001D00C0">
        <w:rPr>
          <w:rFonts w:eastAsiaTheme="minorEastAsia"/>
          <w:lang w:val="bg-BG"/>
        </w:rPr>
        <w:t>, т.е. кривата на съвкупно предлагане има прав наклон. В дългосрочен план производствените разходи се променят като при тяхното нарастване печалбата намалява, производството, което се предлага, е по-малко при дадено ниво на цените, кривата на съвкупно предлагане се измества наляво.</w:t>
      </w:r>
    </w:p>
    <w:p w:rsidR="001D00C0" w:rsidRDefault="001D00C0" w:rsidP="007726FF">
      <w:pPr>
        <w:pStyle w:val="a4"/>
        <w:numPr>
          <w:ilvl w:val="0"/>
          <w:numId w:val="18"/>
        </w:numPr>
        <w:tabs>
          <w:tab w:val="left" w:pos="5205"/>
        </w:tabs>
        <w:rPr>
          <w:rFonts w:eastAsiaTheme="minorEastAsia"/>
          <w:lang w:val="bg-BG"/>
        </w:rPr>
      </w:pPr>
      <w:r>
        <w:rPr>
          <w:rFonts w:eastAsiaTheme="minorEastAsia"/>
          <w:lang w:val="bg-BG"/>
        </w:rPr>
        <w:t>Равновесие – установява се при пресичане на кривата на съвкупно търсене с кривата на съвкупно предлагане.</w:t>
      </w:r>
    </w:p>
    <w:p w:rsidR="001D00C0" w:rsidRDefault="001D00C0" w:rsidP="007726FF">
      <w:pPr>
        <w:pStyle w:val="a4"/>
        <w:numPr>
          <w:ilvl w:val="0"/>
          <w:numId w:val="18"/>
        </w:numPr>
        <w:tabs>
          <w:tab w:val="left" w:pos="5205"/>
        </w:tabs>
        <w:rPr>
          <w:rFonts w:eastAsiaTheme="minorEastAsia"/>
          <w:lang w:val="bg-BG"/>
        </w:rPr>
      </w:pPr>
      <w:r>
        <w:rPr>
          <w:rFonts w:eastAsiaTheme="minorEastAsia"/>
          <w:lang w:val="bg-BG"/>
        </w:rPr>
        <w:t>Фактори, които изменят съвкупното предлагане:</w:t>
      </w:r>
    </w:p>
    <w:p w:rsidR="001D00C0" w:rsidRDefault="001D00C0" w:rsidP="001D00C0">
      <w:pPr>
        <w:pStyle w:val="a4"/>
        <w:numPr>
          <w:ilvl w:val="1"/>
          <w:numId w:val="18"/>
        </w:numPr>
        <w:tabs>
          <w:tab w:val="left" w:pos="5205"/>
        </w:tabs>
        <w:rPr>
          <w:rFonts w:eastAsiaTheme="minorEastAsia"/>
          <w:lang w:val="bg-BG"/>
        </w:rPr>
      </w:pPr>
      <w:r>
        <w:rPr>
          <w:rFonts w:eastAsiaTheme="minorEastAsia"/>
          <w:lang w:val="bg-BG"/>
        </w:rPr>
        <w:t>Разходи за заплати – определят се на трудовия пазар. Когато съществува оживление на трудовия пазар, търсенето на труд е по-голямо от предлагането и работодателите са склонни да увеличат заплатите, производствените разходи намаляват, печалбата намалява. При даденото ниво на цените предлаганото количество стоки и услуги намалява. Състоянието на трудовия пазар се определя от т.нар. естествена норма на безработица (ниво на безработица, изразено като процент от работоспособното население</w:t>
      </w:r>
      <w:r w:rsidR="002D253A">
        <w:rPr>
          <w:rFonts w:eastAsiaTheme="minorEastAsia"/>
          <w:lang w:val="bg-BG"/>
        </w:rPr>
        <w:t>, при което търсенето на труд е равно на предлагането на труд – трудовия пазар е в равновесие). Когато нивото на безработица е под естественото си ниво, търсенето на труд е по-голямо от предлагането на труд и работодателите са склонни да увеличават заплатите, което ще доведе до увеличаване на производствените разходи и изместване на кривата на съвкупно предлагане наляво. Естественото ниво на производство съответства на естествената норма на безработица. Когато икономиката се намира в точка, в която безработицата и производството не са на своите естествени нива, тогава имаме краткосрочно равновесие. То се променя, когато производството е над и под естественото ниво.</w:t>
      </w:r>
    </w:p>
    <w:p w:rsidR="002D253A" w:rsidRDefault="002D253A" w:rsidP="002D253A">
      <w:pPr>
        <w:pStyle w:val="a4"/>
        <w:numPr>
          <w:ilvl w:val="0"/>
          <w:numId w:val="3"/>
        </w:numPr>
        <w:tabs>
          <w:tab w:val="left" w:pos="5205"/>
        </w:tabs>
        <w:rPr>
          <w:rFonts w:eastAsiaTheme="minorEastAsia"/>
          <w:lang w:val="bg-BG"/>
        </w:rPr>
      </w:pPr>
      <w:r>
        <w:rPr>
          <w:rFonts w:eastAsiaTheme="minorEastAsia"/>
          <w:lang w:val="bg-BG"/>
        </w:rPr>
        <w:t>Равновесно производство над естественото ниво</w:t>
      </w:r>
    </w:p>
    <w:p w:rsidR="002D253A" w:rsidRDefault="002D253A" w:rsidP="002D253A">
      <w:pPr>
        <w:tabs>
          <w:tab w:val="left" w:pos="5205"/>
        </w:tabs>
        <w:rPr>
          <w:rFonts w:eastAsiaTheme="minorEastAsia"/>
          <w:lang w:val="bg-BG"/>
        </w:rPr>
      </w:pPr>
      <w:proofErr w:type="spellStart"/>
      <w:r>
        <w:rPr>
          <w:rFonts w:eastAsiaTheme="minorEastAsia"/>
        </w:rPr>
        <w:t>Yn</w:t>
      </w:r>
      <w:proofErr w:type="spellEnd"/>
      <w:r>
        <w:rPr>
          <w:rFonts w:eastAsiaTheme="minorEastAsia"/>
        </w:rPr>
        <w:t xml:space="preserve"> – </w:t>
      </w:r>
      <w:r>
        <w:rPr>
          <w:rFonts w:eastAsiaTheme="minorEastAsia"/>
          <w:lang w:val="bg-BG"/>
        </w:rPr>
        <w:t>естествено ниво на производство</w:t>
      </w:r>
    </w:p>
    <w:p w:rsidR="002D253A" w:rsidRDefault="002D253A" w:rsidP="002D253A">
      <w:pPr>
        <w:tabs>
          <w:tab w:val="left" w:pos="5205"/>
        </w:tabs>
        <w:rPr>
          <w:rFonts w:eastAsiaTheme="minorEastAsia"/>
          <w:lang w:val="bg-BG"/>
        </w:rPr>
      </w:pPr>
      <w:r>
        <w:rPr>
          <w:rFonts w:eastAsiaTheme="minorEastAsia"/>
        </w:rPr>
        <w:t xml:space="preserve">Y1 – </w:t>
      </w:r>
      <w:r>
        <w:rPr>
          <w:rFonts w:eastAsiaTheme="minorEastAsia"/>
          <w:lang w:val="bg-BG"/>
        </w:rPr>
        <w:t>производство над естественото ниво на производство, където безработицата е под естественото ниво</w:t>
      </w:r>
    </w:p>
    <w:p w:rsidR="002D253A" w:rsidRDefault="002D253A" w:rsidP="002D253A">
      <w:pPr>
        <w:tabs>
          <w:tab w:val="left" w:pos="5205"/>
        </w:tabs>
        <w:rPr>
          <w:rFonts w:eastAsiaTheme="minorEastAsia"/>
          <w:lang w:val="bg-BG"/>
        </w:rPr>
      </w:pPr>
      <w:r>
        <w:rPr>
          <w:rFonts w:eastAsiaTheme="minorEastAsia"/>
          <w:lang w:val="bg-BG"/>
        </w:rPr>
        <w:t>Следователно търсенето на труд е по-голямо от предлагането на труд, работодателите увеличават заплатите, производствените разходи на фирмите се увеличават, печалбите намаляват, кривата на съвкупно предлагане се измества наляво</w:t>
      </w:r>
      <w:r w:rsidR="00890E1B">
        <w:rPr>
          <w:rFonts w:eastAsiaTheme="minorEastAsia"/>
          <w:lang w:val="bg-BG"/>
        </w:rPr>
        <w:t xml:space="preserve"> (до </w:t>
      </w:r>
      <w:r w:rsidR="00890E1B">
        <w:rPr>
          <w:rFonts w:eastAsiaTheme="minorEastAsia"/>
        </w:rPr>
        <w:t xml:space="preserve">AS3 – </w:t>
      </w:r>
      <w:r w:rsidR="00890E1B">
        <w:rPr>
          <w:rFonts w:eastAsiaTheme="minorEastAsia"/>
          <w:lang w:val="bg-BG"/>
        </w:rPr>
        <w:t>дългосрочна крива на предлагане, достига се естествено ниво на безработица)</w:t>
      </w:r>
    </w:p>
    <w:p w:rsidR="00890E1B" w:rsidRDefault="00890E1B" w:rsidP="00890E1B">
      <w:pPr>
        <w:pStyle w:val="a4"/>
        <w:numPr>
          <w:ilvl w:val="0"/>
          <w:numId w:val="3"/>
        </w:numPr>
        <w:tabs>
          <w:tab w:val="left" w:pos="5205"/>
        </w:tabs>
        <w:rPr>
          <w:rFonts w:eastAsiaTheme="minorEastAsia"/>
          <w:lang w:val="bg-BG"/>
        </w:rPr>
      </w:pPr>
      <w:r>
        <w:rPr>
          <w:rFonts w:eastAsiaTheme="minorEastAsia"/>
          <w:lang w:val="bg-BG"/>
        </w:rPr>
        <w:t xml:space="preserve">Равновесното производство е под естественото ниво – безработица над естественото ниво, търсене на труд по-малко от предлагане на труд, заплатите намаляват, производствените разходи намаляват, печалбата нараства, </w:t>
      </w:r>
      <w:r>
        <w:rPr>
          <w:rFonts w:eastAsiaTheme="minorEastAsia"/>
        </w:rPr>
        <w:t xml:space="preserve">AS </w:t>
      </w:r>
      <w:r>
        <w:rPr>
          <w:rFonts w:eastAsiaTheme="minorEastAsia"/>
          <w:lang w:val="bg-BG"/>
        </w:rPr>
        <w:t xml:space="preserve">се измества надясно до </w:t>
      </w:r>
      <w:r>
        <w:rPr>
          <w:rFonts w:eastAsiaTheme="minorEastAsia"/>
        </w:rPr>
        <w:t>AS3</w:t>
      </w:r>
    </w:p>
    <w:p w:rsidR="00890E1B" w:rsidRDefault="00890E1B" w:rsidP="00890E1B">
      <w:pPr>
        <w:rPr>
          <w:lang w:val="bg-BG"/>
        </w:rPr>
      </w:pPr>
      <w:r>
        <w:rPr>
          <w:lang w:val="bg-BG"/>
        </w:rPr>
        <w:lastRenderedPageBreak/>
        <w:t>Изводи:</w:t>
      </w:r>
    </w:p>
    <w:p w:rsidR="00890E1B" w:rsidRDefault="00890E1B" w:rsidP="00890E1B">
      <w:pPr>
        <w:pStyle w:val="a4"/>
        <w:numPr>
          <w:ilvl w:val="0"/>
          <w:numId w:val="19"/>
        </w:numPr>
        <w:rPr>
          <w:lang w:val="bg-BG"/>
        </w:rPr>
      </w:pPr>
      <w:r>
        <w:rPr>
          <w:lang w:val="bg-BG"/>
        </w:rPr>
        <w:t>Независимо къде се намира икономиката, тя се връща към дългосрочното равновесие, т.е. има автоматичен механизъм. Според кейнсианците автоматичният механизъм и</w:t>
      </w:r>
      <w:r w:rsidR="001423EB">
        <w:rPr>
          <w:lang w:val="bg-BG"/>
        </w:rPr>
        <w:t>зисква време и достигането на д</w:t>
      </w:r>
      <w:r>
        <w:rPr>
          <w:lang w:val="bg-BG"/>
        </w:rPr>
        <w:t>ългосрочното равновесие е бавно, защото заплатите не са гъвкави и кривата на съвкупно предлагане се движи бавно, поради което те настояват за силна намеса на държавата. Монетаристите твърдят, че заплатите са гъвкави, движението на цените и заплатите към дългосрочното равновесие е достатъчно бързо</w:t>
      </w:r>
      <w:r w:rsidR="00166417">
        <w:rPr>
          <w:lang w:val="bg-BG"/>
        </w:rPr>
        <w:t>, поради което са против намесата на държавата. Те настояват за постоянно изменение на паричното предлагане, за да се намалят колебанията на съвкупното търсене.</w:t>
      </w:r>
    </w:p>
    <w:p w:rsidR="00166417" w:rsidRDefault="00166417" w:rsidP="00166417">
      <w:pPr>
        <w:rPr>
          <w:lang w:val="bg-BG"/>
        </w:rPr>
      </w:pPr>
    </w:p>
    <w:p w:rsidR="00166417" w:rsidRDefault="00166417" w:rsidP="00166417">
      <w:pPr>
        <w:pStyle w:val="a4"/>
        <w:numPr>
          <w:ilvl w:val="0"/>
          <w:numId w:val="3"/>
        </w:numPr>
        <w:rPr>
          <w:lang w:val="bg-BG"/>
        </w:rPr>
      </w:pPr>
      <w:r>
        <w:rPr>
          <w:lang w:val="bg-BG"/>
        </w:rPr>
        <w:t xml:space="preserve">Изместване на кривата на съвкупно търсене – </w:t>
      </w:r>
      <w:r>
        <w:t xml:space="preserve">AD </w:t>
      </w:r>
      <w:r>
        <w:rPr>
          <w:lang w:val="bg-BG"/>
        </w:rPr>
        <w:t xml:space="preserve">се измества в </w:t>
      </w:r>
      <w:r>
        <w:t xml:space="preserve">AD1, </w:t>
      </w:r>
      <w:r>
        <w:rPr>
          <w:lang w:val="bg-BG"/>
        </w:rPr>
        <w:t>безработицата е под естественото ниво</w:t>
      </w:r>
      <w:r w:rsidR="001423EB">
        <w:rPr>
          <w:lang w:val="bg-BG"/>
        </w:rPr>
        <w:t>, търсенето на труд е по-голямо</w:t>
      </w:r>
      <w:r>
        <w:rPr>
          <w:lang w:val="bg-BG"/>
        </w:rPr>
        <w:t xml:space="preserve"> от предлагането на труд, заплатите нарастват, печалбите намаляват, кривата </w:t>
      </w:r>
      <w:r>
        <w:t xml:space="preserve">AS </w:t>
      </w:r>
      <w:r>
        <w:rPr>
          <w:lang w:val="bg-BG"/>
        </w:rPr>
        <w:t>се измества наляво, новото равновесие е в т. 3, цените нарастват</w:t>
      </w:r>
    </w:p>
    <w:p w:rsidR="00166417" w:rsidRDefault="00166417" w:rsidP="00166417">
      <w:pPr>
        <w:rPr>
          <w:lang w:val="bg-BG"/>
        </w:rPr>
      </w:pPr>
    </w:p>
    <w:p w:rsidR="00166417" w:rsidRDefault="00166417" w:rsidP="00166417">
      <w:pPr>
        <w:rPr>
          <w:lang w:val="bg-BG"/>
        </w:rPr>
      </w:pPr>
      <w:r>
        <w:rPr>
          <w:lang w:val="bg-BG"/>
        </w:rPr>
        <w:t>Причини за промяната на производствените разходи:</w:t>
      </w:r>
    </w:p>
    <w:p w:rsidR="00166417" w:rsidRDefault="00166417" w:rsidP="00166417">
      <w:pPr>
        <w:pStyle w:val="a4"/>
        <w:numPr>
          <w:ilvl w:val="0"/>
          <w:numId w:val="20"/>
        </w:numPr>
        <w:rPr>
          <w:lang w:val="bg-BG"/>
        </w:rPr>
      </w:pPr>
      <w:r>
        <w:rPr>
          <w:lang w:val="bg-BG"/>
        </w:rPr>
        <w:t>Състояние на трудовия пазар – търсене и предлагане на труд</w:t>
      </w:r>
    </w:p>
    <w:p w:rsidR="00166417" w:rsidRDefault="00166417" w:rsidP="00166417">
      <w:pPr>
        <w:pStyle w:val="a4"/>
        <w:numPr>
          <w:ilvl w:val="0"/>
          <w:numId w:val="20"/>
        </w:numPr>
        <w:rPr>
          <w:lang w:val="bg-BG"/>
        </w:rPr>
      </w:pPr>
      <w:r>
        <w:rPr>
          <w:lang w:val="bg-BG"/>
        </w:rPr>
        <w:t>Очаквания за цените – при очаквана инфлация заплатите ще се увеличат, защото хората се интересуват реално колко получават, което ще доведе до увеличаване на производствените разходи и изместване на кривата на съвкупно предлагане наляво</w:t>
      </w:r>
    </w:p>
    <w:p w:rsidR="00166417" w:rsidRDefault="003743EA" w:rsidP="00166417">
      <w:pPr>
        <w:pStyle w:val="a4"/>
        <w:numPr>
          <w:ilvl w:val="0"/>
          <w:numId w:val="20"/>
        </w:numPr>
        <w:rPr>
          <w:lang w:val="bg-BG"/>
        </w:rPr>
      </w:pPr>
      <w:r>
        <w:rPr>
          <w:lang w:val="bg-BG"/>
        </w:rPr>
        <w:t>Увеличаване на реалните заплати поради натиск от синдикатите – ще се намали съвкупното производство, кривата на съвкупно предалгане се измества наляво</w:t>
      </w:r>
    </w:p>
    <w:p w:rsidR="003743EA" w:rsidRDefault="003743EA" w:rsidP="00166417">
      <w:pPr>
        <w:pStyle w:val="a4"/>
        <w:numPr>
          <w:ilvl w:val="0"/>
          <w:numId w:val="20"/>
        </w:numPr>
        <w:rPr>
          <w:lang w:val="bg-BG"/>
        </w:rPr>
      </w:pPr>
      <w:r>
        <w:rPr>
          <w:lang w:val="bg-BG"/>
        </w:rPr>
        <w:t>Разходи несвързани със заплатите (колебания на предлагането на суровини, промени в технологиите)</w:t>
      </w:r>
    </w:p>
    <w:p w:rsidR="003743EA" w:rsidRDefault="003743EA" w:rsidP="003743EA">
      <w:pPr>
        <w:rPr>
          <w:lang w:val="bg-BG"/>
        </w:rPr>
      </w:pPr>
    </w:p>
    <w:p w:rsidR="003743EA" w:rsidRDefault="003743EA" w:rsidP="003743EA">
      <w:pPr>
        <w:pStyle w:val="a4"/>
        <w:numPr>
          <w:ilvl w:val="0"/>
          <w:numId w:val="3"/>
        </w:numPr>
        <w:rPr>
          <w:lang w:val="bg-BG"/>
        </w:rPr>
      </w:pPr>
      <w:r>
        <w:rPr>
          <w:lang w:val="bg-BG"/>
        </w:rPr>
        <w:t xml:space="preserve">Изместване на кривата на съвкупно предлагане – негативен шок върху съвкупното предлагане (намаляване на предлаганите суровини) води до изместване на кривата на съвкупно предлагане наляво </w:t>
      </w:r>
      <w:r>
        <w:t xml:space="preserve">(AS1), </w:t>
      </w:r>
      <w:r>
        <w:rPr>
          <w:lang w:val="bg-BG"/>
        </w:rPr>
        <w:t>точка на равновесие 2, безработицата е над естественото ниво, търсенето на работна ръка е по-малко от предлагането, заплатите намаляват, производствените разходи намаляват, печалбата расте, кривата на съвкупното предлагане се измества надясно</w:t>
      </w:r>
    </w:p>
    <w:p w:rsidR="003743EA" w:rsidRDefault="003743EA" w:rsidP="003743EA">
      <w:pPr>
        <w:rPr>
          <w:lang w:val="bg-BG"/>
        </w:rPr>
      </w:pPr>
    </w:p>
    <w:p w:rsidR="003743EA" w:rsidRDefault="003743EA" w:rsidP="003743EA">
      <w:pPr>
        <w:jc w:val="center"/>
        <w:rPr>
          <w:b/>
          <w:lang w:val="bg-BG"/>
        </w:rPr>
      </w:pPr>
      <w:r w:rsidRPr="003743EA">
        <w:rPr>
          <w:b/>
          <w:lang w:val="bg-BG"/>
        </w:rPr>
        <w:t>Връзка между парите и инфлацията</w:t>
      </w:r>
    </w:p>
    <w:p w:rsidR="003743EA" w:rsidRPr="003743EA" w:rsidRDefault="003743EA" w:rsidP="003743EA">
      <w:pPr>
        <w:jc w:val="center"/>
        <w:rPr>
          <w:b/>
          <w:lang w:val="bg-BG"/>
        </w:rPr>
      </w:pPr>
    </w:p>
    <w:p w:rsidR="003743EA" w:rsidRDefault="003743EA" w:rsidP="003743EA">
      <w:pPr>
        <w:pStyle w:val="a4"/>
        <w:numPr>
          <w:ilvl w:val="0"/>
          <w:numId w:val="21"/>
        </w:numPr>
        <w:rPr>
          <w:lang w:val="bg-BG"/>
        </w:rPr>
      </w:pPr>
      <w:r>
        <w:rPr>
          <w:lang w:val="bg-BG"/>
        </w:rPr>
        <w:lastRenderedPageBreak/>
        <w:t>Инфлация – процесът на продължителни и значително нарастване на цените</w:t>
      </w:r>
      <w:r w:rsidR="00171B67">
        <w:rPr>
          <w:lang w:val="bg-BG"/>
        </w:rPr>
        <w:t>. В резултата на увеличаване на инфлацията, покупателната стойност на парите намалява.</w:t>
      </w:r>
    </w:p>
    <w:p w:rsidR="00171B67" w:rsidRDefault="00171B67" w:rsidP="003743EA">
      <w:pPr>
        <w:pStyle w:val="a4"/>
        <w:numPr>
          <w:ilvl w:val="0"/>
          <w:numId w:val="21"/>
        </w:numPr>
        <w:rPr>
          <w:lang w:val="bg-BG"/>
        </w:rPr>
      </w:pPr>
      <w:r>
        <w:rPr>
          <w:lang w:val="bg-BG"/>
        </w:rPr>
        <w:t>Връзка между парите и инфлацията – наблюдава се силна корелация между паричното предлагане и инфлацията. Това не означава, че нарастването на паричното предлагане е единствената причина за инфлацията. Следователно инфлация не може да има без парична експанзия. Кейнсианци и монетаристи приемата, че инфлацията е парично явление.</w:t>
      </w:r>
    </w:p>
    <w:p w:rsidR="00171B67" w:rsidRDefault="00171B67" w:rsidP="003743EA">
      <w:pPr>
        <w:pStyle w:val="a4"/>
        <w:numPr>
          <w:ilvl w:val="0"/>
          <w:numId w:val="21"/>
        </w:numPr>
        <w:rPr>
          <w:lang w:val="bg-BG"/>
        </w:rPr>
      </w:pPr>
      <w:r>
        <w:rPr>
          <w:lang w:val="bg-BG"/>
        </w:rPr>
        <w:t>Влияние на паричното предлагане върху инфлацията:</w:t>
      </w:r>
    </w:p>
    <w:p w:rsidR="00171B67" w:rsidRDefault="00171B67" w:rsidP="00171B67">
      <w:pPr>
        <w:pStyle w:val="a4"/>
        <w:numPr>
          <w:ilvl w:val="1"/>
          <w:numId w:val="21"/>
        </w:numPr>
        <w:rPr>
          <w:lang w:val="bg-BG"/>
        </w:rPr>
      </w:pPr>
      <w:r>
        <w:rPr>
          <w:lang w:val="bg-BG"/>
        </w:rPr>
        <w:t>Монетаристко</w:t>
      </w:r>
      <w:r w:rsidR="00C53377">
        <w:rPr>
          <w:lang w:val="bg-BG"/>
        </w:rPr>
        <w:t xml:space="preserve"> становище – безработицата е над</w:t>
      </w:r>
      <w:r>
        <w:rPr>
          <w:lang w:val="bg-BG"/>
        </w:rPr>
        <w:t xml:space="preserve"> естественото ниво, </w:t>
      </w:r>
      <w:r>
        <w:t xml:space="preserve">AS </w:t>
      </w:r>
      <w:r>
        <w:rPr>
          <w:lang w:val="bg-BG"/>
        </w:rPr>
        <w:t>се измества наляво. Докато има парична експанзия ще има инфлация. Паричното предлагане е единствения фактор, който води до изместване на съвкупното търсене.</w:t>
      </w:r>
    </w:p>
    <w:p w:rsidR="00B2544A" w:rsidRDefault="00B2544A" w:rsidP="00171B67">
      <w:pPr>
        <w:pStyle w:val="a4"/>
        <w:numPr>
          <w:ilvl w:val="1"/>
          <w:numId w:val="21"/>
        </w:numPr>
        <w:rPr>
          <w:lang w:val="bg-BG"/>
        </w:rPr>
      </w:pPr>
      <w:r>
        <w:rPr>
          <w:lang w:val="bg-BG"/>
        </w:rPr>
        <w:t xml:space="preserve">Кейнсианско становище – в т.2 има краткосрочно равновесие, </w:t>
      </w:r>
      <w:r>
        <w:t xml:space="preserve">AS </w:t>
      </w:r>
      <w:r>
        <w:rPr>
          <w:lang w:val="bg-BG"/>
        </w:rPr>
        <w:t xml:space="preserve">преминава в </w:t>
      </w:r>
      <w:r>
        <w:t xml:space="preserve">AS2. </w:t>
      </w:r>
      <w:r>
        <w:rPr>
          <w:lang w:val="bg-BG"/>
        </w:rPr>
        <w:t>Кейнсианците твърдят, че преминаването на икономиката от т.2. към т.3 става много бавно и икономиката остава дълго време в междинните нива. Не само паричното предлагане влияе върху съвкупното търсене и съвкупното предлагане, но има и други фактори, които обаче водят само до еднократно нарастване на цените.</w:t>
      </w:r>
    </w:p>
    <w:p w:rsidR="00B2544A" w:rsidRDefault="00B2544A" w:rsidP="00B2544A">
      <w:pPr>
        <w:pStyle w:val="a4"/>
        <w:numPr>
          <w:ilvl w:val="0"/>
          <w:numId w:val="21"/>
        </w:numPr>
        <w:rPr>
          <w:lang w:val="bg-BG"/>
        </w:rPr>
      </w:pPr>
      <w:r>
        <w:rPr>
          <w:lang w:val="bg-BG"/>
        </w:rPr>
        <w:t>Видове инфлация – често политиката на по-висока заетост и намаляване на безработицата се оказва несъвместима с ценовата стабилност. 2 типа инфлация:</w:t>
      </w:r>
    </w:p>
    <w:p w:rsidR="00B2544A" w:rsidRDefault="00B2544A" w:rsidP="00B2544A">
      <w:pPr>
        <w:pStyle w:val="a4"/>
        <w:numPr>
          <w:ilvl w:val="1"/>
          <w:numId w:val="21"/>
        </w:numPr>
        <w:rPr>
          <w:lang w:val="bg-BG"/>
        </w:rPr>
      </w:pPr>
      <w:r>
        <w:rPr>
          <w:lang w:val="bg-BG"/>
        </w:rPr>
        <w:t>Инфлация търсене – предизвикана от нарастване на търсенето, възниква тогава, когато политиците се опитват да свалят безработицата под естественото ѝ ниво. Това може да се постигне чрез увеличаването на държавните разходи, което ще доведе до изместване на криват</w:t>
      </w:r>
      <w:r w:rsidR="00E61F4F">
        <w:rPr>
          <w:lang w:val="bg-BG"/>
        </w:rPr>
        <w:t>а на съвкупното търсене надясно</w:t>
      </w:r>
    </w:p>
    <w:p w:rsidR="00E61F4F" w:rsidRDefault="00E61F4F" w:rsidP="00B2544A">
      <w:pPr>
        <w:pStyle w:val="a4"/>
        <w:numPr>
          <w:ilvl w:val="1"/>
          <w:numId w:val="21"/>
        </w:numPr>
        <w:rPr>
          <w:lang w:val="bg-BG"/>
        </w:rPr>
      </w:pPr>
      <w:r>
        <w:rPr>
          <w:lang w:val="bg-BG"/>
        </w:rPr>
        <w:t>Инфлация предлагане/разходи – предизвиква се от спираловидното нарастване на производствените разходи, предимно заплатите</w:t>
      </w:r>
    </w:p>
    <w:p w:rsidR="00E61F4F" w:rsidRPr="00B2544A" w:rsidRDefault="00E61F4F" w:rsidP="00E61F4F">
      <w:pPr>
        <w:pStyle w:val="a4"/>
        <w:numPr>
          <w:ilvl w:val="0"/>
          <w:numId w:val="21"/>
        </w:numPr>
        <w:rPr>
          <w:lang w:val="bg-BG"/>
        </w:rPr>
      </w:pPr>
      <w:r>
        <w:rPr>
          <w:lang w:val="bg-BG"/>
        </w:rPr>
        <w:t>Извод – парична политика, която е експанзионистична и се използва с цел намаляване на безработицата, се нарича акомодационна (приспосо</w:t>
      </w:r>
      <w:bookmarkStart w:id="0" w:name="_GoBack"/>
      <w:bookmarkEnd w:id="0"/>
      <w:r>
        <w:rPr>
          <w:lang w:val="bg-BG"/>
        </w:rPr>
        <w:t>бителна) политика</w:t>
      </w:r>
    </w:p>
    <w:sectPr w:rsidR="00E61F4F" w:rsidRPr="00B25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3CB3"/>
    <w:multiLevelType w:val="hybridMultilevel"/>
    <w:tmpl w:val="9F261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04087"/>
    <w:multiLevelType w:val="hybridMultilevel"/>
    <w:tmpl w:val="7102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2034EB"/>
    <w:multiLevelType w:val="hybridMultilevel"/>
    <w:tmpl w:val="6E8C6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475E9"/>
    <w:multiLevelType w:val="hybridMultilevel"/>
    <w:tmpl w:val="86F8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187DEA"/>
    <w:multiLevelType w:val="hybridMultilevel"/>
    <w:tmpl w:val="6052B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0344E9"/>
    <w:multiLevelType w:val="hybridMultilevel"/>
    <w:tmpl w:val="37425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D7E4E"/>
    <w:multiLevelType w:val="hybridMultilevel"/>
    <w:tmpl w:val="7BE0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D56947"/>
    <w:multiLevelType w:val="hybridMultilevel"/>
    <w:tmpl w:val="86389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0B45B8"/>
    <w:multiLevelType w:val="hybridMultilevel"/>
    <w:tmpl w:val="2E3E7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6C54E6"/>
    <w:multiLevelType w:val="hybridMultilevel"/>
    <w:tmpl w:val="7A769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EE3199"/>
    <w:multiLevelType w:val="hybridMultilevel"/>
    <w:tmpl w:val="FA76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0F125A"/>
    <w:multiLevelType w:val="hybridMultilevel"/>
    <w:tmpl w:val="8E10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33420E"/>
    <w:multiLevelType w:val="multilevel"/>
    <w:tmpl w:val="18A6D9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BAA607B"/>
    <w:multiLevelType w:val="hybridMultilevel"/>
    <w:tmpl w:val="4C32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061429"/>
    <w:multiLevelType w:val="hybridMultilevel"/>
    <w:tmpl w:val="DAA21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5A5944"/>
    <w:multiLevelType w:val="multilevel"/>
    <w:tmpl w:val="ADE254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F685240"/>
    <w:multiLevelType w:val="hybridMultilevel"/>
    <w:tmpl w:val="9BA20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B0300A"/>
    <w:multiLevelType w:val="hybridMultilevel"/>
    <w:tmpl w:val="057A8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AA03CA"/>
    <w:multiLevelType w:val="hybridMultilevel"/>
    <w:tmpl w:val="47A84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777D0C"/>
    <w:multiLevelType w:val="hybridMultilevel"/>
    <w:tmpl w:val="56B24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BA50B6"/>
    <w:multiLevelType w:val="hybridMultilevel"/>
    <w:tmpl w:val="E25A14DE"/>
    <w:lvl w:ilvl="0" w:tplc="BAF4D7A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20"/>
  </w:num>
  <w:num w:numId="4">
    <w:abstractNumId w:val="17"/>
  </w:num>
  <w:num w:numId="5">
    <w:abstractNumId w:val="1"/>
  </w:num>
  <w:num w:numId="6">
    <w:abstractNumId w:val="6"/>
  </w:num>
  <w:num w:numId="7">
    <w:abstractNumId w:val="10"/>
  </w:num>
  <w:num w:numId="8">
    <w:abstractNumId w:val="18"/>
  </w:num>
  <w:num w:numId="9">
    <w:abstractNumId w:val="5"/>
  </w:num>
  <w:num w:numId="10">
    <w:abstractNumId w:val="4"/>
  </w:num>
  <w:num w:numId="11">
    <w:abstractNumId w:val="3"/>
  </w:num>
  <w:num w:numId="12">
    <w:abstractNumId w:val="0"/>
  </w:num>
  <w:num w:numId="13">
    <w:abstractNumId w:val="16"/>
  </w:num>
  <w:num w:numId="14">
    <w:abstractNumId w:val="19"/>
  </w:num>
  <w:num w:numId="15">
    <w:abstractNumId w:val="8"/>
  </w:num>
  <w:num w:numId="16">
    <w:abstractNumId w:val="13"/>
  </w:num>
  <w:num w:numId="17">
    <w:abstractNumId w:val="11"/>
  </w:num>
  <w:num w:numId="18">
    <w:abstractNumId w:val="12"/>
  </w:num>
  <w:num w:numId="19">
    <w:abstractNumId w:val="9"/>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EBB"/>
    <w:rsid w:val="00045762"/>
    <w:rsid w:val="0005437E"/>
    <w:rsid w:val="00082CFE"/>
    <w:rsid w:val="000F6468"/>
    <w:rsid w:val="001074D3"/>
    <w:rsid w:val="001423EB"/>
    <w:rsid w:val="00166417"/>
    <w:rsid w:val="00170F28"/>
    <w:rsid w:val="00171B67"/>
    <w:rsid w:val="0018252D"/>
    <w:rsid w:val="001D00C0"/>
    <w:rsid w:val="0022691A"/>
    <w:rsid w:val="002317E5"/>
    <w:rsid w:val="002519C2"/>
    <w:rsid w:val="00270109"/>
    <w:rsid w:val="002D253A"/>
    <w:rsid w:val="002D2D1C"/>
    <w:rsid w:val="002D7658"/>
    <w:rsid w:val="00304A29"/>
    <w:rsid w:val="003114E2"/>
    <w:rsid w:val="00330D32"/>
    <w:rsid w:val="003463D5"/>
    <w:rsid w:val="00354A7C"/>
    <w:rsid w:val="003743EA"/>
    <w:rsid w:val="00426D56"/>
    <w:rsid w:val="00494D0A"/>
    <w:rsid w:val="004A2413"/>
    <w:rsid w:val="005A6D77"/>
    <w:rsid w:val="005B4EA6"/>
    <w:rsid w:val="00617333"/>
    <w:rsid w:val="00656C44"/>
    <w:rsid w:val="00666660"/>
    <w:rsid w:val="006A5C5B"/>
    <w:rsid w:val="006E3C3C"/>
    <w:rsid w:val="006F1885"/>
    <w:rsid w:val="00751003"/>
    <w:rsid w:val="007726FF"/>
    <w:rsid w:val="007B3D5A"/>
    <w:rsid w:val="00807D3B"/>
    <w:rsid w:val="00866EF7"/>
    <w:rsid w:val="00890E1B"/>
    <w:rsid w:val="008D22F2"/>
    <w:rsid w:val="008F0EBB"/>
    <w:rsid w:val="00914DCC"/>
    <w:rsid w:val="0094207C"/>
    <w:rsid w:val="009645A7"/>
    <w:rsid w:val="009A43A7"/>
    <w:rsid w:val="009D78AD"/>
    <w:rsid w:val="00A47371"/>
    <w:rsid w:val="00AC793E"/>
    <w:rsid w:val="00AF17AC"/>
    <w:rsid w:val="00B027AA"/>
    <w:rsid w:val="00B2544A"/>
    <w:rsid w:val="00B62F80"/>
    <w:rsid w:val="00B7569B"/>
    <w:rsid w:val="00B83FF2"/>
    <w:rsid w:val="00BE73DE"/>
    <w:rsid w:val="00C350FE"/>
    <w:rsid w:val="00C53377"/>
    <w:rsid w:val="00CB7AEE"/>
    <w:rsid w:val="00D53CF9"/>
    <w:rsid w:val="00D55E31"/>
    <w:rsid w:val="00DA1C07"/>
    <w:rsid w:val="00DA6219"/>
    <w:rsid w:val="00DB4D46"/>
    <w:rsid w:val="00E32272"/>
    <w:rsid w:val="00E4115C"/>
    <w:rsid w:val="00E61F4F"/>
    <w:rsid w:val="00E75FC8"/>
    <w:rsid w:val="00E90B04"/>
    <w:rsid w:val="00ED2155"/>
    <w:rsid w:val="00F27AA7"/>
    <w:rsid w:val="00F474E3"/>
    <w:rsid w:val="00FE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B4EA6"/>
    <w:rPr>
      <w:color w:val="0000FF" w:themeColor="hyperlink"/>
      <w:u w:val="single"/>
    </w:rPr>
  </w:style>
  <w:style w:type="paragraph" w:styleId="a4">
    <w:name w:val="List Paragraph"/>
    <w:basedOn w:val="a"/>
    <w:uiPriority w:val="34"/>
    <w:qFormat/>
    <w:rsid w:val="005B4EA6"/>
    <w:pPr>
      <w:ind w:left="720"/>
      <w:contextualSpacing/>
    </w:pPr>
  </w:style>
  <w:style w:type="paragraph" w:styleId="a5">
    <w:name w:val="Balloon Text"/>
    <w:basedOn w:val="a"/>
    <w:link w:val="a6"/>
    <w:uiPriority w:val="99"/>
    <w:semiHidden/>
    <w:unhideWhenUsed/>
    <w:rsid w:val="00330D32"/>
    <w:pPr>
      <w:spacing w:after="0" w:line="240" w:lineRule="auto"/>
    </w:pPr>
    <w:rPr>
      <w:rFonts w:ascii="Tahoma" w:hAnsi="Tahoma" w:cs="Tahoma"/>
      <w:sz w:val="16"/>
      <w:szCs w:val="16"/>
    </w:rPr>
  </w:style>
  <w:style w:type="character" w:customStyle="1" w:styleId="a6">
    <w:name w:val="Изнесен текст Знак"/>
    <w:basedOn w:val="a0"/>
    <w:link w:val="a5"/>
    <w:uiPriority w:val="99"/>
    <w:semiHidden/>
    <w:rsid w:val="00330D32"/>
    <w:rPr>
      <w:rFonts w:ascii="Tahoma" w:hAnsi="Tahoma" w:cs="Tahoma"/>
      <w:sz w:val="16"/>
      <w:szCs w:val="16"/>
    </w:rPr>
  </w:style>
  <w:style w:type="table" w:styleId="a7">
    <w:name w:val="Table Grid"/>
    <w:basedOn w:val="a1"/>
    <w:uiPriority w:val="59"/>
    <w:rsid w:val="002519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Shading"/>
    <w:basedOn w:val="a1"/>
    <w:uiPriority w:val="60"/>
    <w:rsid w:val="00E322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Medium Shading 1 Accent 5"/>
    <w:basedOn w:val="a1"/>
    <w:uiPriority w:val="63"/>
    <w:rsid w:val="006E3C3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
    <w:name w:val="Light Grid Accent 1"/>
    <w:basedOn w:val="a1"/>
    <w:uiPriority w:val="62"/>
    <w:rsid w:val="006E3C3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List Accent 1"/>
    <w:basedOn w:val="a1"/>
    <w:uiPriority w:val="61"/>
    <w:rsid w:val="006E3C3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6E3C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a9">
    <w:name w:val="Placeholder Text"/>
    <w:basedOn w:val="a0"/>
    <w:uiPriority w:val="99"/>
    <w:semiHidden/>
    <w:rsid w:val="004A241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B4EA6"/>
    <w:rPr>
      <w:color w:val="0000FF" w:themeColor="hyperlink"/>
      <w:u w:val="single"/>
    </w:rPr>
  </w:style>
  <w:style w:type="paragraph" w:styleId="a4">
    <w:name w:val="List Paragraph"/>
    <w:basedOn w:val="a"/>
    <w:uiPriority w:val="34"/>
    <w:qFormat/>
    <w:rsid w:val="005B4EA6"/>
    <w:pPr>
      <w:ind w:left="720"/>
      <w:contextualSpacing/>
    </w:pPr>
  </w:style>
  <w:style w:type="paragraph" w:styleId="a5">
    <w:name w:val="Balloon Text"/>
    <w:basedOn w:val="a"/>
    <w:link w:val="a6"/>
    <w:uiPriority w:val="99"/>
    <w:semiHidden/>
    <w:unhideWhenUsed/>
    <w:rsid w:val="00330D32"/>
    <w:pPr>
      <w:spacing w:after="0" w:line="240" w:lineRule="auto"/>
    </w:pPr>
    <w:rPr>
      <w:rFonts w:ascii="Tahoma" w:hAnsi="Tahoma" w:cs="Tahoma"/>
      <w:sz w:val="16"/>
      <w:szCs w:val="16"/>
    </w:rPr>
  </w:style>
  <w:style w:type="character" w:customStyle="1" w:styleId="a6">
    <w:name w:val="Изнесен текст Знак"/>
    <w:basedOn w:val="a0"/>
    <w:link w:val="a5"/>
    <w:uiPriority w:val="99"/>
    <w:semiHidden/>
    <w:rsid w:val="00330D32"/>
    <w:rPr>
      <w:rFonts w:ascii="Tahoma" w:hAnsi="Tahoma" w:cs="Tahoma"/>
      <w:sz w:val="16"/>
      <w:szCs w:val="16"/>
    </w:rPr>
  </w:style>
  <w:style w:type="table" w:styleId="a7">
    <w:name w:val="Table Grid"/>
    <w:basedOn w:val="a1"/>
    <w:uiPriority w:val="59"/>
    <w:rsid w:val="002519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Shading"/>
    <w:basedOn w:val="a1"/>
    <w:uiPriority w:val="60"/>
    <w:rsid w:val="00E322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Medium Shading 1 Accent 5"/>
    <w:basedOn w:val="a1"/>
    <w:uiPriority w:val="63"/>
    <w:rsid w:val="006E3C3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
    <w:name w:val="Light Grid Accent 1"/>
    <w:basedOn w:val="a1"/>
    <w:uiPriority w:val="62"/>
    <w:rsid w:val="006E3C3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List Accent 1"/>
    <w:basedOn w:val="a1"/>
    <w:uiPriority w:val="61"/>
    <w:rsid w:val="006E3C3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6E3C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a9">
    <w:name w:val="Placeholder Text"/>
    <w:basedOn w:val="a0"/>
    <w:uiPriority w:val="99"/>
    <w:semiHidden/>
    <w:rsid w:val="004A24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rym@abv.bg" TargetMode="Externa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21F411-FBEE-4E97-BE40-EE310D225D9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A5A6737-295E-4F0F-B29A-321BD01C387E}">
      <dgm:prSet phldrT="[Text]"/>
      <dgm:spPr/>
      <dgm:t>
        <a:bodyPr/>
        <a:lstStyle/>
        <a:p>
          <a:r>
            <a:rPr lang="bg-BG" b="1"/>
            <a:t>Паричен отчет</a:t>
          </a:r>
          <a:endParaRPr lang="en-US" b="1"/>
        </a:p>
      </dgm:t>
    </dgm:pt>
    <dgm:pt modelId="{8C3245CB-B890-4940-AC74-905AA8A3470F}" type="parTrans" cxnId="{865073B4-DA69-48C2-8529-5EB8C6DAD213}">
      <dgm:prSet/>
      <dgm:spPr/>
      <dgm:t>
        <a:bodyPr/>
        <a:lstStyle/>
        <a:p>
          <a:endParaRPr lang="en-US"/>
        </a:p>
      </dgm:t>
    </dgm:pt>
    <dgm:pt modelId="{57ECFCB5-3F12-4845-B25B-58C257262357}" type="sibTrans" cxnId="{865073B4-DA69-48C2-8529-5EB8C6DAD213}">
      <dgm:prSet/>
      <dgm:spPr/>
      <dgm:t>
        <a:bodyPr/>
        <a:lstStyle/>
        <a:p>
          <a:endParaRPr lang="en-US"/>
        </a:p>
      </dgm:t>
    </dgm:pt>
    <dgm:pt modelId="{588964BA-1ED4-4060-91DE-79E41E85BA18}" type="asst">
      <dgm:prSet phldrT="[Text]"/>
      <dgm:spPr/>
      <dgm:t>
        <a:bodyPr/>
        <a:lstStyle/>
        <a:p>
          <a:r>
            <a:rPr lang="bg-BG"/>
            <a:t>Аналитични отчети на ТБ</a:t>
          </a:r>
          <a:endParaRPr lang="en-US"/>
        </a:p>
      </dgm:t>
    </dgm:pt>
    <dgm:pt modelId="{0ACDC530-1014-4935-A82D-CB816361F643}" type="parTrans" cxnId="{10099860-5DDB-4CBE-A416-4F30EB09524F}">
      <dgm:prSet/>
      <dgm:spPr/>
      <dgm:t>
        <a:bodyPr/>
        <a:lstStyle/>
        <a:p>
          <a:endParaRPr lang="en-US"/>
        </a:p>
      </dgm:t>
    </dgm:pt>
    <dgm:pt modelId="{D7E454F8-49F5-4571-BCD5-DD464367D2CA}" type="sibTrans" cxnId="{10099860-5DDB-4CBE-A416-4F30EB09524F}">
      <dgm:prSet/>
      <dgm:spPr/>
      <dgm:t>
        <a:bodyPr/>
        <a:lstStyle/>
        <a:p>
          <a:endParaRPr lang="en-US"/>
        </a:p>
      </dgm:t>
    </dgm:pt>
    <dgm:pt modelId="{C8B36577-8465-4302-9560-65F2A905292C}" type="asst">
      <dgm:prSet/>
      <dgm:spPr/>
      <dgm:t>
        <a:bodyPr/>
        <a:lstStyle/>
        <a:p>
          <a:r>
            <a:rPr lang="bg-BG"/>
            <a:t>Аналитична отчетност на БНБ</a:t>
          </a:r>
          <a:endParaRPr lang="en-US"/>
        </a:p>
      </dgm:t>
    </dgm:pt>
    <dgm:pt modelId="{504A28BE-08DB-45D6-B159-3CD9DC7DA840}" type="parTrans" cxnId="{0EFBEAE9-5473-49EF-9E12-C9D7942530CE}">
      <dgm:prSet/>
      <dgm:spPr/>
      <dgm:t>
        <a:bodyPr/>
        <a:lstStyle/>
        <a:p>
          <a:endParaRPr lang="en-US"/>
        </a:p>
      </dgm:t>
    </dgm:pt>
    <dgm:pt modelId="{6F195D7A-C278-4E44-8FF0-EAD539D4325D}" type="sibTrans" cxnId="{0EFBEAE9-5473-49EF-9E12-C9D7942530CE}">
      <dgm:prSet/>
      <dgm:spPr/>
      <dgm:t>
        <a:bodyPr/>
        <a:lstStyle/>
        <a:p>
          <a:endParaRPr lang="en-US"/>
        </a:p>
      </dgm:t>
    </dgm:pt>
    <dgm:pt modelId="{5CFFF204-15D4-45CD-A510-112DF9BCD6F6}" type="asst">
      <dgm:prSet/>
      <dgm:spPr/>
      <dgm:t>
        <a:bodyPr/>
        <a:lstStyle/>
        <a:p>
          <a:r>
            <a:rPr lang="bg-BG"/>
            <a:t>Баланс на ТБ1</a:t>
          </a:r>
          <a:endParaRPr lang="en-US"/>
        </a:p>
      </dgm:t>
    </dgm:pt>
    <dgm:pt modelId="{D11099F0-BAC5-49D2-A2D3-7DA2964BB812}" type="parTrans" cxnId="{31DF90B6-FF96-43C9-9B1A-682BC0D26D7E}">
      <dgm:prSet/>
      <dgm:spPr/>
      <dgm:t>
        <a:bodyPr/>
        <a:lstStyle/>
        <a:p>
          <a:endParaRPr lang="en-US"/>
        </a:p>
      </dgm:t>
    </dgm:pt>
    <dgm:pt modelId="{F090CC9A-8FFA-4F93-BEA8-79E6D4546461}" type="sibTrans" cxnId="{31DF90B6-FF96-43C9-9B1A-682BC0D26D7E}">
      <dgm:prSet/>
      <dgm:spPr/>
      <dgm:t>
        <a:bodyPr/>
        <a:lstStyle/>
        <a:p>
          <a:endParaRPr lang="en-US"/>
        </a:p>
      </dgm:t>
    </dgm:pt>
    <dgm:pt modelId="{FBA9A865-642F-4060-9A2B-D68594BBC8B3}" type="asst">
      <dgm:prSet/>
      <dgm:spPr/>
      <dgm:t>
        <a:bodyPr/>
        <a:lstStyle/>
        <a:p>
          <a:r>
            <a:rPr lang="bg-BG"/>
            <a:t>Баланс на ТБ2</a:t>
          </a:r>
          <a:endParaRPr lang="en-US"/>
        </a:p>
      </dgm:t>
    </dgm:pt>
    <dgm:pt modelId="{B528C0DF-D29B-4E48-B46D-F208F6208CD4}" type="parTrans" cxnId="{AED4C556-44FD-41C5-9806-7B703265CD34}">
      <dgm:prSet/>
      <dgm:spPr/>
      <dgm:t>
        <a:bodyPr/>
        <a:lstStyle/>
        <a:p>
          <a:endParaRPr lang="en-US"/>
        </a:p>
      </dgm:t>
    </dgm:pt>
    <dgm:pt modelId="{7AD1997E-0693-4AA8-AD47-01FC88B88179}" type="sibTrans" cxnId="{AED4C556-44FD-41C5-9806-7B703265CD34}">
      <dgm:prSet/>
      <dgm:spPr/>
      <dgm:t>
        <a:bodyPr/>
        <a:lstStyle/>
        <a:p>
          <a:endParaRPr lang="en-US"/>
        </a:p>
      </dgm:t>
    </dgm:pt>
    <dgm:pt modelId="{D04E7799-92B4-4C7C-8E17-3442B78C2423}" type="asst">
      <dgm:prSet/>
      <dgm:spPr/>
      <dgm:t>
        <a:bodyPr/>
        <a:lstStyle/>
        <a:p>
          <a:r>
            <a:rPr lang="bg-BG"/>
            <a:t>Баланс на управление емисионно</a:t>
          </a:r>
          <a:endParaRPr lang="en-US"/>
        </a:p>
      </dgm:t>
    </dgm:pt>
    <dgm:pt modelId="{CEFA68F9-857B-4CEE-AA61-EC7D076010DC}" type="parTrans" cxnId="{4B22CE0D-D640-4297-9378-80D0759F0EB7}">
      <dgm:prSet/>
      <dgm:spPr/>
      <dgm:t>
        <a:bodyPr/>
        <a:lstStyle/>
        <a:p>
          <a:endParaRPr lang="en-US"/>
        </a:p>
      </dgm:t>
    </dgm:pt>
    <dgm:pt modelId="{A524D724-70F7-40EA-9CB3-41FAA7E04DB3}" type="sibTrans" cxnId="{4B22CE0D-D640-4297-9378-80D0759F0EB7}">
      <dgm:prSet/>
      <dgm:spPr/>
      <dgm:t>
        <a:bodyPr/>
        <a:lstStyle/>
        <a:p>
          <a:endParaRPr lang="en-US"/>
        </a:p>
      </dgm:t>
    </dgm:pt>
    <dgm:pt modelId="{2A90D516-C8B2-43C5-AAA9-9903E5B70E33}" type="asst">
      <dgm:prSet/>
      <dgm:spPr/>
      <dgm:t>
        <a:bodyPr/>
        <a:lstStyle/>
        <a:p>
          <a:r>
            <a:rPr lang="bg-BG"/>
            <a:t>Баланс на управление банково</a:t>
          </a:r>
          <a:endParaRPr lang="en-US"/>
        </a:p>
      </dgm:t>
    </dgm:pt>
    <dgm:pt modelId="{C438AB5F-FF46-46E6-AE4D-D658529D0DCF}" type="parTrans" cxnId="{44507432-958B-48FD-827A-981191F3D580}">
      <dgm:prSet/>
      <dgm:spPr/>
      <dgm:t>
        <a:bodyPr/>
        <a:lstStyle/>
        <a:p>
          <a:endParaRPr lang="en-US"/>
        </a:p>
      </dgm:t>
    </dgm:pt>
    <dgm:pt modelId="{8CCED379-79CD-4C8F-8D5E-DF21277D51CD}" type="sibTrans" cxnId="{44507432-958B-48FD-827A-981191F3D580}">
      <dgm:prSet/>
      <dgm:spPr/>
      <dgm:t>
        <a:bodyPr/>
        <a:lstStyle/>
        <a:p>
          <a:endParaRPr lang="en-US"/>
        </a:p>
      </dgm:t>
    </dgm:pt>
    <dgm:pt modelId="{2CD3C71E-775C-4BBD-A413-45D9A15B0E73}" type="pres">
      <dgm:prSet presAssocID="{2D21F411-FBEE-4E97-BE40-EE310D225D9D}" presName="hierChild1" presStyleCnt="0">
        <dgm:presLayoutVars>
          <dgm:orgChart val="1"/>
          <dgm:chPref val="1"/>
          <dgm:dir/>
          <dgm:animOne val="branch"/>
          <dgm:animLvl val="lvl"/>
          <dgm:resizeHandles/>
        </dgm:presLayoutVars>
      </dgm:prSet>
      <dgm:spPr/>
      <dgm:t>
        <a:bodyPr/>
        <a:lstStyle/>
        <a:p>
          <a:endParaRPr lang="en-US"/>
        </a:p>
      </dgm:t>
    </dgm:pt>
    <dgm:pt modelId="{C4E23166-4D6A-4734-913F-E4D8EA7937AE}" type="pres">
      <dgm:prSet presAssocID="{4A5A6737-295E-4F0F-B29A-321BD01C387E}" presName="hierRoot1" presStyleCnt="0">
        <dgm:presLayoutVars>
          <dgm:hierBranch val="init"/>
        </dgm:presLayoutVars>
      </dgm:prSet>
      <dgm:spPr/>
    </dgm:pt>
    <dgm:pt modelId="{0C3F137C-A6DA-4E7B-A65D-D4D90E1944B7}" type="pres">
      <dgm:prSet presAssocID="{4A5A6737-295E-4F0F-B29A-321BD01C387E}" presName="rootComposite1" presStyleCnt="0"/>
      <dgm:spPr/>
    </dgm:pt>
    <dgm:pt modelId="{0ECDFFEF-E06A-4325-BFC0-9C51D6BA0E0F}" type="pres">
      <dgm:prSet presAssocID="{4A5A6737-295E-4F0F-B29A-321BD01C387E}" presName="rootText1" presStyleLbl="node0" presStyleIdx="0" presStyleCnt="1">
        <dgm:presLayoutVars>
          <dgm:chPref val="3"/>
        </dgm:presLayoutVars>
      </dgm:prSet>
      <dgm:spPr/>
      <dgm:t>
        <a:bodyPr/>
        <a:lstStyle/>
        <a:p>
          <a:endParaRPr lang="en-US"/>
        </a:p>
      </dgm:t>
    </dgm:pt>
    <dgm:pt modelId="{866F8DF4-32A2-4370-BD98-B81F197766DC}" type="pres">
      <dgm:prSet presAssocID="{4A5A6737-295E-4F0F-B29A-321BD01C387E}" presName="rootConnector1" presStyleLbl="node1" presStyleIdx="0" presStyleCnt="0"/>
      <dgm:spPr/>
      <dgm:t>
        <a:bodyPr/>
        <a:lstStyle/>
        <a:p>
          <a:endParaRPr lang="en-US"/>
        </a:p>
      </dgm:t>
    </dgm:pt>
    <dgm:pt modelId="{6B53D38B-BC01-41D7-8F27-CB59368AC997}" type="pres">
      <dgm:prSet presAssocID="{4A5A6737-295E-4F0F-B29A-321BD01C387E}" presName="hierChild2" presStyleCnt="0"/>
      <dgm:spPr/>
    </dgm:pt>
    <dgm:pt modelId="{1ABD6D5B-D0B2-4932-8306-B3E515DB42D1}" type="pres">
      <dgm:prSet presAssocID="{4A5A6737-295E-4F0F-B29A-321BD01C387E}" presName="hierChild3" presStyleCnt="0"/>
      <dgm:spPr/>
    </dgm:pt>
    <dgm:pt modelId="{5398EBED-268F-4D57-AD4C-86C32AE7C714}" type="pres">
      <dgm:prSet presAssocID="{0ACDC530-1014-4935-A82D-CB816361F643}" presName="Name111" presStyleLbl="parChTrans1D2" presStyleIdx="0" presStyleCnt="2"/>
      <dgm:spPr/>
      <dgm:t>
        <a:bodyPr/>
        <a:lstStyle/>
        <a:p>
          <a:endParaRPr lang="en-US"/>
        </a:p>
      </dgm:t>
    </dgm:pt>
    <dgm:pt modelId="{39723AA2-5596-4C07-B9E2-FC1E7780E07C}" type="pres">
      <dgm:prSet presAssocID="{588964BA-1ED4-4060-91DE-79E41E85BA18}" presName="hierRoot3" presStyleCnt="0">
        <dgm:presLayoutVars>
          <dgm:hierBranch val="init"/>
        </dgm:presLayoutVars>
      </dgm:prSet>
      <dgm:spPr/>
    </dgm:pt>
    <dgm:pt modelId="{8CDD2AC5-A3B3-44F5-82D9-45DBB7B9328F}" type="pres">
      <dgm:prSet presAssocID="{588964BA-1ED4-4060-91DE-79E41E85BA18}" presName="rootComposite3" presStyleCnt="0"/>
      <dgm:spPr/>
    </dgm:pt>
    <dgm:pt modelId="{7512C87C-5BB4-4F1B-9212-3862A959AB46}" type="pres">
      <dgm:prSet presAssocID="{588964BA-1ED4-4060-91DE-79E41E85BA18}" presName="rootText3" presStyleLbl="asst1" presStyleIdx="0" presStyleCnt="6">
        <dgm:presLayoutVars>
          <dgm:chPref val="3"/>
        </dgm:presLayoutVars>
      </dgm:prSet>
      <dgm:spPr/>
      <dgm:t>
        <a:bodyPr/>
        <a:lstStyle/>
        <a:p>
          <a:endParaRPr lang="en-US"/>
        </a:p>
      </dgm:t>
    </dgm:pt>
    <dgm:pt modelId="{E7CA47E6-63B2-456B-8397-21DA9DA9F487}" type="pres">
      <dgm:prSet presAssocID="{588964BA-1ED4-4060-91DE-79E41E85BA18}" presName="rootConnector3" presStyleLbl="asst1" presStyleIdx="0" presStyleCnt="6"/>
      <dgm:spPr/>
      <dgm:t>
        <a:bodyPr/>
        <a:lstStyle/>
        <a:p>
          <a:endParaRPr lang="en-US"/>
        </a:p>
      </dgm:t>
    </dgm:pt>
    <dgm:pt modelId="{4D7F8E10-707B-4D9A-AFF6-13B2D88A0CC0}" type="pres">
      <dgm:prSet presAssocID="{588964BA-1ED4-4060-91DE-79E41E85BA18}" presName="hierChild6" presStyleCnt="0"/>
      <dgm:spPr/>
    </dgm:pt>
    <dgm:pt modelId="{0E06468C-A0E3-4F78-9434-93D775867768}" type="pres">
      <dgm:prSet presAssocID="{588964BA-1ED4-4060-91DE-79E41E85BA18}" presName="hierChild7" presStyleCnt="0"/>
      <dgm:spPr/>
    </dgm:pt>
    <dgm:pt modelId="{82A4E2CB-2682-4826-AC4E-5E02E3645C8F}" type="pres">
      <dgm:prSet presAssocID="{D11099F0-BAC5-49D2-A2D3-7DA2964BB812}" presName="Name111" presStyleLbl="parChTrans1D3" presStyleIdx="0" presStyleCnt="4"/>
      <dgm:spPr/>
      <dgm:t>
        <a:bodyPr/>
        <a:lstStyle/>
        <a:p>
          <a:endParaRPr lang="en-US"/>
        </a:p>
      </dgm:t>
    </dgm:pt>
    <dgm:pt modelId="{AEC25A3A-FD68-49A0-AA65-BFE700FCF7BF}" type="pres">
      <dgm:prSet presAssocID="{5CFFF204-15D4-45CD-A510-112DF9BCD6F6}" presName="hierRoot3" presStyleCnt="0">
        <dgm:presLayoutVars>
          <dgm:hierBranch val="init"/>
        </dgm:presLayoutVars>
      </dgm:prSet>
      <dgm:spPr/>
    </dgm:pt>
    <dgm:pt modelId="{DB260A6B-E09D-48A6-893B-6D6D7F17918B}" type="pres">
      <dgm:prSet presAssocID="{5CFFF204-15D4-45CD-A510-112DF9BCD6F6}" presName="rootComposite3" presStyleCnt="0"/>
      <dgm:spPr/>
    </dgm:pt>
    <dgm:pt modelId="{1FA10F23-99E1-4738-A156-FD2A8AEF8846}" type="pres">
      <dgm:prSet presAssocID="{5CFFF204-15D4-45CD-A510-112DF9BCD6F6}" presName="rootText3" presStyleLbl="asst1" presStyleIdx="1" presStyleCnt="6">
        <dgm:presLayoutVars>
          <dgm:chPref val="3"/>
        </dgm:presLayoutVars>
      </dgm:prSet>
      <dgm:spPr/>
      <dgm:t>
        <a:bodyPr/>
        <a:lstStyle/>
        <a:p>
          <a:endParaRPr lang="en-US"/>
        </a:p>
      </dgm:t>
    </dgm:pt>
    <dgm:pt modelId="{8477EBB0-F9A3-47F4-88E8-0EA48516C0AB}" type="pres">
      <dgm:prSet presAssocID="{5CFFF204-15D4-45CD-A510-112DF9BCD6F6}" presName="rootConnector3" presStyleLbl="asst1" presStyleIdx="1" presStyleCnt="6"/>
      <dgm:spPr/>
      <dgm:t>
        <a:bodyPr/>
        <a:lstStyle/>
        <a:p>
          <a:endParaRPr lang="en-US"/>
        </a:p>
      </dgm:t>
    </dgm:pt>
    <dgm:pt modelId="{C0595054-6EEB-4090-8146-4CF3312370AC}" type="pres">
      <dgm:prSet presAssocID="{5CFFF204-15D4-45CD-A510-112DF9BCD6F6}" presName="hierChild6" presStyleCnt="0"/>
      <dgm:spPr/>
    </dgm:pt>
    <dgm:pt modelId="{D78C8A4A-9E2F-4C59-AB41-BEC5336539F6}" type="pres">
      <dgm:prSet presAssocID="{5CFFF204-15D4-45CD-A510-112DF9BCD6F6}" presName="hierChild7" presStyleCnt="0"/>
      <dgm:spPr/>
    </dgm:pt>
    <dgm:pt modelId="{7A9CCEE4-777C-42A9-B35A-C64314BE57FC}" type="pres">
      <dgm:prSet presAssocID="{B528C0DF-D29B-4E48-B46D-F208F6208CD4}" presName="Name111" presStyleLbl="parChTrans1D3" presStyleIdx="1" presStyleCnt="4"/>
      <dgm:spPr/>
      <dgm:t>
        <a:bodyPr/>
        <a:lstStyle/>
        <a:p>
          <a:endParaRPr lang="en-US"/>
        </a:p>
      </dgm:t>
    </dgm:pt>
    <dgm:pt modelId="{1E334C23-9823-49CC-8661-ADC86108B20D}" type="pres">
      <dgm:prSet presAssocID="{FBA9A865-642F-4060-9A2B-D68594BBC8B3}" presName="hierRoot3" presStyleCnt="0">
        <dgm:presLayoutVars>
          <dgm:hierBranch val="init"/>
        </dgm:presLayoutVars>
      </dgm:prSet>
      <dgm:spPr/>
    </dgm:pt>
    <dgm:pt modelId="{A84A0E9D-78BE-4A87-9C3B-9FA685B75411}" type="pres">
      <dgm:prSet presAssocID="{FBA9A865-642F-4060-9A2B-D68594BBC8B3}" presName="rootComposite3" presStyleCnt="0"/>
      <dgm:spPr/>
    </dgm:pt>
    <dgm:pt modelId="{06BBCEC1-155C-4086-9B45-0439B31FE5A2}" type="pres">
      <dgm:prSet presAssocID="{FBA9A865-642F-4060-9A2B-D68594BBC8B3}" presName="rootText3" presStyleLbl="asst1" presStyleIdx="2" presStyleCnt="6">
        <dgm:presLayoutVars>
          <dgm:chPref val="3"/>
        </dgm:presLayoutVars>
      </dgm:prSet>
      <dgm:spPr/>
      <dgm:t>
        <a:bodyPr/>
        <a:lstStyle/>
        <a:p>
          <a:endParaRPr lang="en-US"/>
        </a:p>
      </dgm:t>
    </dgm:pt>
    <dgm:pt modelId="{2BA2E056-F2B8-4E42-B310-4F54BAC9B9C2}" type="pres">
      <dgm:prSet presAssocID="{FBA9A865-642F-4060-9A2B-D68594BBC8B3}" presName="rootConnector3" presStyleLbl="asst1" presStyleIdx="2" presStyleCnt="6"/>
      <dgm:spPr/>
      <dgm:t>
        <a:bodyPr/>
        <a:lstStyle/>
        <a:p>
          <a:endParaRPr lang="en-US"/>
        </a:p>
      </dgm:t>
    </dgm:pt>
    <dgm:pt modelId="{0374D33B-2721-4FC0-BA70-73DF6C9C14BF}" type="pres">
      <dgm:prSet presAssocID="{FBA9A865-642F-4060-9A2B-D68594BBC8B3}" presName="hierChild6" presStyleCnt="0"/>
      <dgm:spPr/>
    </dgm:pt>
    <dgm:pt modelId="{FE12F8E7-DDC7-4420-8FA0-76DB252C1699}" type="pres">
      <dgm:prSet presAssocID="{FBA9A865-642F-4060-9A2B-D68594BBC8B3}" presName="hierChild7" presStyleCnt="0"/>
      <dgm:spPr/>
    </dgm:pt>
    <dgm:pt modelId="{CDBE3495-2CF1-4F8C-9A62-4147EB1B270B}" type="pres">
      <dgm:prSet presAssocID="{504A28BE-08DB-45D6-B159-3CD9DC7DA840}" presName="Name111" presStyleLbl="parChTrans1D2" presStyleIdx="1" presStyleCnt="2"/>
      <dgm:spPr/>
      <dgm:t>
        <a:bodyPr/>
        <a:lstStyle/>
        <a:p>
          <a:endParaRPr lang="en-US"/>
        </a:p>
      </dgm:t>
    </dgm:pt>
    <dgm:pt modelId="{8793BF7D-F85E-41E8-88C5-97A4E9E34307}" type="pres">
      <dgm:prSet presAssocID="{C8B36577-8465-4302-9560-65F2A905292C}" presName="hierRoot3" presStyleCnt="0">
        <dgm:presLayoutVars>
          <dgm:hierBranch val="init"/>
        </dgm:presLayoutVars>
      </dgm:prSet>
      <dgm:spPr/>
    </dgm:pt>
    <dgm:pt modelId="{ABF2F338-E6BE-4915-BCDF-251D4830C755}" type="pres">
      <dgm:prSet presAssocID="{C8B36577-8465-4302-9560-65F2A905292C}" presName="rootComposite3" presStyleCnt="0"/>
      <dgm:spPr/>
    </dgm:pt>
    <dgm:pt modelId="{F268E1CB-943F-458F-A97A-C9F031E03936}" type="pres">
      <dgm:prSet presAssocID="{C8B36577-8465-4302-9560-65F2A905292C}" presName="rootText3" presStyleLbl="asst1" presStyleIdx="3" presStyleCnt="6" custScaleX="111764">
        <dgm:presLayoutVars>
          <dgm:chPref val="3"/>
        </dgm:presLayoutVars>
      </dgm:prSet>
      <dgm:spPr/>
      <dgm:t>
        <a:bodyPr/>
        <a:lstStyle/>
        <a:p>
          <a:endParaRPr lang="en-US"/>
        </a:p>
      </dgm:t>
    </dgm:pt>
    <dgm:pt modelId="{F0CC878C-B131-47D0-ABA5-7E1BB72BC222}" type="pres">
      <dgm:prSet presAssocID="{C8B36577-8465-4302-9560-65F2A905292C}" presName="rootConnector3" presStyleLbl="asst1" presStyleIdx="3" presStyleCnt="6"/>
      <dgm:spPr/>
      <dgm:t>
        <a:bodyPr/>
        <a:lstStyle/>
        <a:p>
          <a:endParaRPr lang="en-US"/>
        </a:p>
      </dgm:t>
    </dgm:pt>
    <dgm:pt modelId="{8CB7A357-E116-46D1-BFA9-1865C32F79AF}" type="pres">
      <dgm:prSet presAssocID="{C8B36577-8465-4302-9560-65F2A905292C}" presName="hierChild6" presStyleCnt="0"/>
      <dgm:spPr/>
    </dgm:pt>
    <dgm:pt modelId="{323D8677-5976-41CB-A28D-B1C11F31833E}" type="pres">
      <dgm:prSet presAssocID="{C8B36577-8465-4302-9560-65F2A905292C}" presName="hierChild7" presStyleCnt="0"/>
      <dgm:spPr/>
    </dgm:pt>
    <dgm:pt modelId="{6968BE61-B2B9-4E9C-88D5-FCCE3C16AE00}" type="pres">
      <dgm:prSet presAssocID="{CEFA68F9-857B-4CEE-AA61-EC7D076010DC}" presName="Name111" presStyleLbl="parChTrans1D3" presStyleIdx="2" presStyleCnt="4"/>
      <dgm:spPr/>
      <dgm:t>
        <a:bodyPr/>
        <a:lstStyle/>
        <a:p>
          <a:endParaRPr lang="en-US"/>
        </a:p>
      </dgm:t>
    </dgm:pt>
    <dgm:pt modelId="{616AC3F2-9374-427E-97AD-382481843A4D}" type="pres">
      <dgm:prSet presAssocID="{D04E7799-92B4-4C7C-8E17-3442B78C2423}" presName="hierRoot3" presStyleCnt="0">
        <dgm:presLayoutVars>
          <dgm:hierBranch val="init"/>
        </dgm:presLayoutVars>
      </dgm:prSet>
      <dgm:spPr/>
    </dgm:pt>
    <dgm:pt modelId="{6F6D05EA-E1E5-40B5-AF43-890310BE9EC7}" type="pres">
      <dgm:prSet presAssocID="{D04E7799-92B4-4C7C-8E17-3442B78C2423}" presName="rootComposite3" presStyleCnt="0"/>
      <dgm:spPr/>
    </dgm:pt>
    <dgm:pt modelId="{33AE0648-F3B7-4C46-99B5-D01230CCF3BF}" type="pres">
      <dgm:prSet presAssocID="{D04E7799-92B4-4C7C-8E17-3442B78C2423}" presName="rootText3" presStyleLbl="asst1" presStyleIdx="4" presStyleCnt="6">
        <dgm:presLayoutVars>
          <dgm:chPref val="3"/>
        </dgm:presLayoutVars>
      </dgm:prSet>
      <dgm:spPr/>
      <dgm:t>
        <a:bodyPr/>
        <a:lstStyle/>
        <a:p>
          <a:endParaRPr lang="en-US"/>
        </a:p>
      </dgm:t>
    </dgm:pt>
    <dgm:pt modelId="{BD6289CD-D666-4798-850E-116C973E66A0}" type="pres">
      <dgm:prSet presAssocID="{D04E7799-92B4-4C7C-8E17-3442B78C2423}" presName="rootConnector3" presStyleLbl="asst1" presStyleIdx="4" presStyleCnt="6"/>
      <dgm:spPr/>
      <dgm:t>
        <a:bodyPr/>
        <a:lstStyle/>
        <a:p>
          <a:endParaRPr lang="en-US"/>
        </a:p>
      </dgm:t>
    </dgm:pt>
    <dgm:pt modelId="{C984C610-BF3A-4BA0-8EC0-62BA533995A6}" type="pres">
      <dgm:prSet presAssocID="{D04E7799-92B4-4C7C-8E17-3442B78C2423}" presName="hierChild6" presStyleCnt="0"/>
      <dgm:spPr/>
    </dgm:pt>
    <dgm:pt modelId="{41E9E2A4-301E-4E61-8DFA-3AFA7D4F4A6E}" type="pres">
      <dgm:prSet presAssocID="{D04E7799-92B4-4C7C-8E17-3442B78C2423}" presName="hierChild7" presStyleCnt="0"/>
      <dgm:spPr/>
    </dgm:pt>
    <dgm:pt modelId="{CF99562D-69D8-42A7-84C8-FA81B92A7227}" type="pres">
      <dgm:prSet presAssocID="{C438AB5F-FF46-46E6-AE4D-D658529D0DCF}" presName="Name111" presStyleLbl="parChTrans1D3" presStyleIdx="3" presStyleCnt="4"/>
      <dgm:spPr/>
      <dgm:t>
        <a:bodyPr/>
        <a:lstStyle/>
        <a:p>
          <a:endParaRPr lang="en-US"/>
        </a:p>
      </dgm:t>
    </dgm:pt>
    <dgm:pt modelId="{D85F0578-C42E-4A04-A8C0-2F5C3E0B0778}" type="pres">
      <dgm:prSet presAssocID="{2A90D516-C8B2-43C5-AAA9-9903E5B70E33}" presName="hierRoot3" presStyleCnt="0">
        <dgm:presLayoutVars>
          <dgm:hierBranch val="init"/>
        </dgm:presLayoutVars>
      </dgm:prSet>
      <dgm:spPr/>
    </dgm:pt>
    <dgm:pt modelId="{A7C117D5-C54E-4803-8FFC-6815BD2B1AF6}" type="pres">
      <dgm:prSet presAssocID="{2A90D516-C8B2-43C5-AAA9-9903E5B70E33}" presName="rootComposite3" presStyleCnt="0"/>
      <dgm:spPr/>
    </dgm:pt>
    <dgm:pt modelId="{9EE08DA3-ED5E-4A0D-BC9D-C53712C3F262}" type="pres">
      <dgm:prSet presAssocID="{2A90D516-C8B2-43C5-AAA9-9903E5B70E33}" presName="rootText3" presStyleLbl="asst1" presStyleIdx="5" presStyleCnt="6">
        <dgm:presLayoutVars>
          <dgm:chPref val="3"/>
        </dgm:presLayoutVars>
      </dgm:prSet>
      <dgm:spPr/>
      <dgm:t>
        <a:bodyPr/>
        <a:lstStyle/>
        <a:p>
          <a:endParaRPr lang="en-US"/>
        </a:p>
      </dgm:t>
    </dgm:pt>
    <dgm:pt modelId="{45DC57F6-81F7-4E77-8908-D6FE9E22F664}" type="pres">
      <dgm:prSet presAssocID="{2A90D516-C8B2-43C5-AAA9-9903E5B70E33}" presName="rootConnector3" presStyleLbl="asst1" presStyleIdx="5" presStyleCnt="6"/>
      <dgm:spPr/>
      <dgm:t>
        <a:bodyPr/>
        <a:lstStyle/>
        <a:p>
          <a:endParaRPr lang="en-US"/>
        </a:p>
      </dgm:t>
    </dgm:pt>
    <dgm:pt modelId="{4E8B7C33-79EE-45C5-88B6-02DF8399E246}" type="pres">
      <dgm:prSet presAssocID="{2A90D516-C8B2-43C5-AAA9-9903E5B70E33}" presName="hierChild6" presStyleCnt="0"/>
      <dgm:spPr/>
    </dgm:pt>
    <dgm:pt modelId="{E8643A70-04F6-4417-A841-C5CA2869FCD9}" type="pres">
      <dgm:prSet presAssocID="{2A90D516-C8B2-43C5-AAA9-9903E5B70E33}" presName="hierChild7" presStyleCnt="0"/>
      <dgm:spPr/>
    </dgm:pt>
  </dgm:ptLst>
  <dgm:cxnLst>
    <dgm:cxn modelId="{84F59D75-6F11-4F3D-9F3F-39EE425D25B9}" type="presOf" srcId="{4A5A6737-295E-4F0F-B29A-321BD01C387E}" destId="{0ECDFFEF-E06A-4325-BFC0-9C51D6BA0E0F}" srcOrd="0" destOrd="0" presId="urn:microsoft.com/office/officeart/2005/8/layout/orgChart1"/>
    <dgm:cxn modelId="{F70807CD-330B-437D-8933-6FA60DC0A371}" type="presOf" srcId="{FBA9A865-642F-4060-9A2B-D68594BBC8B3}" destId="{06BBCEC1-155C-4086-9B45-0439B31FE5A2}" srcOrd="0" destOrd="0" presId="urn:microsoft.com/office/officeart/2005/8/layout/orgChart1"/>
    <dgm:cxn modelId="{264E0760-9011-4082-9AE1-1894F77A293B}" type="presOf" srcId="{2D21F411-FBEE-4E97-BE40-EE310D225D9D}" destId="{2CD3C71E-775C-4BBD-A413-45D9A15B0E73}" srcOrd="0" destOrd="0" presId="urn:microsoft.com/office/officeart/2005/8/layout/orgChart1"/>
    <dgm:cxn modelId="{258FAB98-7627-40F4-82A5-BAA5FCED1126}" type="presOf" srcId="{2A90D516-C8B2-43C5-AAA9-9903E5B70E33}" destId="{45DC57F6-81F7-4E77-8908-D6FE9E22F664}" srcOrd="1" destOrd="0" presId="urn:microsoft.com/office/officeart/2005/8/layout/orgChart1"/>
    <dgm:cxn modelId="{FFB8E28C-BCCA-46B6-806F-D5683437AC2D}" type="presOf" srcId="{C438AB5F-FF46-46E6-AE4D-D658529D0DCF}" destId="{CF99562D-69D8-42A7-84C8-FA81B92A7227}" srcOrd="0" destOrd="0" presId="urn:microsoft.com/office/officeart/2005/8/layout/orgChart1"/>
    <dgm:cxn modelId="{5E80BC4A-AEB7-4CA8-866C-4FD0B3E52328}" type="presOf" srcId="{5CFFF204-15D4-45CD-A510-112DF9BCD6F6}" destId="{1FA10F23-99E1-4738-A156-FD2A8AEF8846}" srcOrd="0" destOrd="0" presId="urn:microsoft.com/office/officeart/2005/8/layout/orgChart1"/>
    <dgm:cxn modelId="{4B22CE0D-D640-4297-9378-80D0759F0EB7}" srcId="{C8B36577-8465-4302-9560-65F2A905292C}" destId="{D04E7799-92B4-4C7C-8E17-3442B78C2423}" srcOrd="0" destOrd="0" parTransId="{CEFA68F9-857B-4CEE-AA61-EC7D076010DC}" sibTransId="{A524D724-70F7-40EA-9CB3-41FAA7E04DB3}"/>
    <dgm:cxn modelId="{35848805-02A8-456A-9ADE-F364562855D8}" type="presOf" srcId="{FBA9A865-642F-4060-9A2B-D68594BBC8B3}" destId="{2BA2E056-F2B8-4E42-B310-4F54BAC9B9C2}" srcOrd="1" destOrd="0" presId="urn:microsoft.com/office/officeart/2005/8/layout/orgChart1"/>
    <dgm:cxn modelId="{6798BBBC-B66F-420E-BAC8-FFF894AB023F}" type="presOf" srcId="{D11099F0-BAC5-49D2-A2D3-7DA2964BB812}" destId="{82A4E2CB-2682-4826-AC4E-5E02E3645C8F}" srcOrd="0" destOrd="0" presId="urn:microsoft.com/office/officeart/2005/8/layout/orgChart1"/>
    <dgm:cxn modelId="{7A2435D4-E4B7-45ED-83A2-E9C16F6FB006}" type="presOf" srcId="{0ACDC530-1014-4935-A82D-CB816361F643}" destId="{5398EBED-268F-4D57-AD4C-86C32AE7C714}" srcOrd="0" destOrd="0" presId="urn:microsoft.com/office/officeart/2005/8/layout/orgChart1"/>
    <dgm:cxn modelId="{A5B61276-45D6-4399-9079-2D444F6E15DB}" type="presOf" srcId="{5CFFF204-15D4-45CD-A510-112DF9BCD6F6}" destId="{8477EBB0-F9A3-47F4-88E8-0EA48516C0AB}" srcOrd="1" destOrd="0" presId="urn:microsoft.com/office/officeart/2005/8/layout/orgChart1"/>
    <dgm:cxn modelId="{B806A728-5DB8-49CB-BAC9-E8991B0BAD40}" type="presOf" srcId="{2A90D516-C8B2-43C5-AAA9-9903E5B70E33}" destId="{9EE08DA3-ED5E-4A0D-BC9D-C53712C3F262}" srcOrd="0" destOrd="0" presId="urn:microsoft.com/office/officeart/2005/8/layout/orgChart1"/>
    <dgm:cxn modelId="{963E6C8C-54D9-4426-A56B-3DF78C09A32A}" type="presOf" srcId="{B528C0DF-D29B-4E48-B46D-F208F6208CD4}" destId="{7A9CCEE4-777C-42A9-B35A-C64314BE57FC}" srcOrd="0" destOrd="0" presId="urn:microsoft.com/office/officeart/2005/8/layout/orgChart1"/>
    <dgm:cxn modelId="{10099860-5DDB-4CBE-A416-4F30EB09524F}" srcId="{4A5A6737-295E-4F0F-B29A-321BD01C387E}" destId="{588964BA-1ED4-4060-91DE-79E41E85BA18}" srcOrd="0" destOrd="0" parTransId="{0ACDC530-1014-4935-A82D-CB816361F643}" sibTransId="{D7E454F8-49F5-4571-BCD5-DD464367D2CA}"/>
    <dgm:cxn modelId="{93C2B3A7-E543-4B0C-9E53-4F67D63564F2}" type="presOf" srcId="{C8B36577-8465-4302-9560-65F2A905292C}" destId="{F268E1CB-943F-458F-A97A-C9F031E03936}" srcOrd="0" destOrd="0" presId="urn:microsoft.com/office/officeart/2005/8/layout/orgChart1"/>
    <dgm:cxn modelId="{6511664E-7EAD-4621-8A62-95D7ACD080D6}" type="presOf" srcId="{588964BA-1ED4-4060-91DE-79E41E85BA18}" destId="{7512C87C-5BB4-4F1B-9212-3862A959AB46}" srcOrd="0" destOrd="0" presId="urn:microsoft.com/office/officeart/2005/8/layout/orgChart1"/>
    <dgm:cxn modelId="{10384E84-E93E-441C-9423-E314C0F463D0}" type="presOf" srcId="{D04E7799-92B4-4C7C-8E17-3442B78C2423}" destId="{33AE0648-F3B7-4C46-99B5-D01230CCF3BF}" srcOrd="0" destOrd="0" presId="urn:microsoft.com/office/officeart/2005/8/layout/orgChart1"/>
    <dgm:cxn modelId="{AED4C556-44FD-41C5-9806-7B703265CD34}" srcId="{588964BA-1ED4-4060-91DE-79E41E85BA18}" destId="{FBA9A865-642F-4060-9A2B-D68594BBC8B3}" srcOrd="1" destOrd="0" parTransId="{B528C0DF-D29B-4E48-B46D-F208F6208CD4}" sibTransId="{7AD1997E-0693-4AA8-AD47-01FC88B88179}"/>
    <dgm:cxn modelId="{31DF90B6-FF96-43C9-9B1A-682BC0D26D7E}" srcId="{588964BA-1ED4-4060-91DE-79E41E85BA18}" destId="{5CFFF204-15D4-45CD-A510-112DF9BCD6F6}" srcOrd="0" destOrd="0" parTransId="{D11099F0-BAC5-49D2-A2D3-7DA2964BB812}" sibTransId="{F090CC9A-8FFA-4F93-BEA8-79E6D4546461}"/>
    <dgm:cxn modelId="{0EFBEAE9-5473-49EF-9E12-C9D7942530CE}" srcId="{4A5A6737-295E-4F0F-B29A-321BD01C387E}" destId="{C8B36577-8465-4302-9560-65F2A905292C}" srcOrd="1" destOrd="0" parTransId="{504A28BE-08DB-45D6-B159-3CD9DC7DA840}" sibTransId="{6F195D7A-C278-4E44-8FF0-EAD539D4325D}"/>
    <dgm:cxn modelId="{4926BEB6-0D8C-45AC-939D-8DE4CD666ED9}" type="presOf" srcId="{CEFA68F9-857B-4CEE-AA61-EC7D076010DC}" destId="{6968BE61-B2B9-4E9C-88D5-FCCE3C16AE00}" srcOrd="0" destOrd="0" presId="urn:microsoft.com/office/officeart/2005/8/layout/orgChart1"/>
    <dgm:cxn modelId="{2B68775C-48D0-4510-8C1C-1AFE62C7FBC0}" type="presOf" srcId="{C8B36577-8465-4302-9560-65F2A905292C}" destId="{F0CC878C-B131-47D0-ABA5-7E1BB72BC222}" srcOrd="1" destOrd="0" presId="urn:microsoft.com/office/officeart/2005/8/layout/orgChart1"/>
    <dgm:cxn modelId="{865073B4-DA69-48C2-8529-5EB8C6DAD213}" srcId="{2D21F411-FBEE-4E97-BE40-EE310D225D9D}" destId="{4A5A6737-295E-4F0F-B29A-321BD01C387E}" srcOrd="0" destOrd="0" parTransId="{8C3245CB-B890-4940-AC74-905AA8A3470F}" sibTransId="{57ECFCB5-3F12-4845-B25B-58C257262357}"/>
    <dgm:cxn modelId="{44507432-958B-48FD-827A-981191F3D580}" srcId="{C8B36577-8465-4302-9560-65F2A905292C}" destId="{2A90D516-C8B2-43C5-AAA9-9903E5B70E33}" srcOrd="1" destOrd="0" parTransId="{C438AB5F-FF46-46E6-AE4D-D658529D0DCF}" sibTransId="{8CCED379-79CD-4C8F-8D5E-DF21277D51CD}"/>
    <dgm:cxn modelId="{280A04D9-4474-40E0-8452-AEA75751481A}" type="presOf" srcId="{588964BA-1ED4-4060-91DE-79E41E85BA18}" destId="{E7CA47E6-63B2-456B-8397-21DA9DA9F487}" srcOrd="1" destOrd="0" presId="urn:microsoft.com/office/officeart/2005/8/layout/orgChart1"/>
    <dgm:cxn modelId="{7F2A6C60-7C55-469F-B045-B55F9A91D18F}" type="presOf" srcId="{4A5A6737-295E-4F0F-B29A-321BD01C387E}" destId="{866F8DF4-32A2-4370-BD98-B81F197766DC}" srcOrd="1" destOrd="0" presId="urn:microsoft.com/office/officeart/2005/8/layout/orgChart1"/>
    <dgm:cxn modelId="{029C388D-70FB-4141-896E-6B03D4EA866D}" type="presOf" srcId="{504A28BE-08DB-45D6-B159-3CD9DC7DA840}" destId="{CDBE3495-2CF1-4F8C-9A62-4147EB1B270B}" srcOrd="0" destOrd="0" presId="urn:microsoft.com/office/officeart/2005/8/layout/orgChart1"/>
    <dgm:cxn modelId="{E5CDA4BD-B14F-42B8-B00A-E419CE0D1920}" type="presOf" srcId="{D04E7799-92B4-4C7C-8E17-3442B78C2423}" destId="{BD6289CD-D666-4798-850E-116C973E66A0}" srcOrd="1" destOrd="0" presId="urn:microsoft.com/office/officeart/2005/8/layout/orgChart1"/>
    <dgm:cxn modelId="{7E770911-20CC-4E6B-8721-0284C488BBC4}" type="presParOf" srcId="{2CD3C71E-775C-4BBD-A413-45D9A15B0E73}" destId="{C4E23166-4D6A-4734-913F-E4D8EA7937AE}" srcOrd="0" destOrd="0" presId="urn:microsoft.com/office/officeart/2005/8/layout/orgChart1"/>
    <dgm:cxn modelId="{D0A9A521-A0FA-44AC-991F-AE5DBFBDAED2}" type="presParOf" srcId="{C4E23166-4D6A-4734-913F-E4D8EA7937AE}" destId="{0C3F137C-A6DA-4E7B-A65D-D4D90E1944B7}" srcOrd="0" destOrd="0" presId="urn:microsoft.com/office/officeart/2005/8/layout/orgChart1"/>
    <dgm:cxn modelId="{64A6EB55-252B-4936-B7D9-0DEB713A218D}" type="presParOf" srcId="{0C3F137C-A6DA-4E7B-A65D-D4D90E1944B7}" destId="{0ECDFFEF-E06A-4325-BFC0-9C51D6BA0E0F}" srcOrd="0" destOrd="0" presId="urn:microsoft.com/office/officeart/2005/8/layout/orgChart1"/>
    <dgm:cxn modelId="{5C660AB1-CCE2-4EEA-9EC8-09B152D62E49}" type="presParOf" srcId="{0C3F137C-A6DA-4E7B-A65D-D4D90E1944B7}" destId="{866F8DF4-32A2-4370-BD98-B81F197766DC}" srcOrd="1" destOrd="0" presId="urn:microsoft.com/office/officeart/2005/8/layout/orgChart1"/>
    <dgm:cxn modelId="{D1B0129A-DAC9-4CBE-9371-212471D5EFA4}" type="presParOf" srcId="{C4E23166-4D6A-4734-913F-E4D8EA7937AE}" destId="{6B53D38B-BC01-41D7-8F27-CB59368AC997}" srcOrd="1" destOrd="0" presId="urn:microsoft.com/office/officeart/2005/8/layout/orgChart1"/>
    <dgm:cxn modelId="{31CF5439-D864-4E97-9D5C-EDFA89F91E55}" type="presParOf" srcId="{C4E23166-4D6A-4734-913F-E4D8EA7937AE}" destId="{1ABD6D5B-D0B2-4932-8306-B3E515DB42D1}" srcOrd="2" destOrd="0" presId="urn:microsoft.com/office/officeart/2005/8/layout/orgChart1"/>
    <dgm:cxn modelId="{339F537C-5B3C-4567-9350-C3BE4B1CD5D8}" type="presParOf" srcId="{1ABD6D5B-D0B2-4932-8306-B3E515DB42D1}" destId="{5398EBED-268F-4D57-AD4C-86C32AE7C714}" srcOrd="0" destOrd="0" presId="urn:microsoft.com/office/officeart/2005/8/layout/orgChart1"/>
    <dgm:cxn modelId="{45D22175-698C-42A3-8840-1CA8BDD67E0D}" type="presParOf" srcId="{1ABD6D5B-D0B2-4932-8306-B3E515DB42D1}" destId="{39723AA2-5596-4C07-B9E2-FC1E7780E07C}" srcOrd="1" destOrd="0" presId="urn:microsoft.com/office/officeart/2005/8/layout/orgChart1"/>
    <dgm:cxn modelId="{7D597539-CE52-48B4-BA30-BA540250072B}" type="presParOf" srcId="{39723AA2-5596-4C07-B9E2-FC1E7780E07C}" destId="{8CDD2AC5-A3B3-44F5-82D9-45DBB7B9328F}" srcOrd="0" destOrd="0" presId="urn:microsoft.com/office/officeart/2005/8/layout/orgChart1"/>
    <dgm:cxn modelId="{B934DC41-C36F-4D79-ACA7-8D64804FE679}" type="presParOf" srcId="{8CDD2AC5-A3B3-44F5-82D9-45DBB7B9328F}" destId="{7512C87C-5BB4-4F1B-9212-3862A959AB46}" srcOrd="0" destOrd="0" presId="urn:microsoft.com/office/officeart/2005/8/layout/orgChart1"/>
    <dgm:cxn modelId="{B2EAFCC7-A6C6-4414-A149-315262DA388B}" type="presParOf" srcId="{8CDD2AC5-A3B3-44F5-82D9-45DBB7B9328F}" destId="{E7CA47E6-63B2-456B-8397-21DA9DA9F487}" srcOrd="1" destOrd="0" presId="urn:microsoft.com/office/officeart/2005/8/layout/orgChart1"/>
    <dgm:cxn modelId="{600E240B-289F-457A-84B7-EEFB2F80E560}" type="presParOf" srcId="{39723AA2-5596-4C07-B9E2-FC1E7780E07C}" destId="{4D7F8E10-707B-4D9A-AFF6-13B2D88A0CC0}" srcOrd="1" destOrd="0" presId="urn:microsoft.com/office/officeart/2005/8/layout/orgChart1"/>
    <dgm:cxn modelId="{1AE63901-053B-4560-A67A-F2F7ABF29D96}" type="presParOf" srcId="{39723AA2-5596-4C07-B9E2-FC1E7780E07C}" destId="{0E06468C-A0E3-4F78-9434-93D775867768}" srcOrd="2" destOrd="0" presId="urn:microsoft.com/office/officeart/2005/8/layout/orgChart1"/>
    <dgm:cxn modelId="{306D37B7-D9DC-4B6A-96F2-4FA267807343}" type="presParOf" srcId="{0E06468C-A0E3-4F78-9434-93D775867768}" destId="{82A4E2CB-2682-4826-AC4E-5E02E3645C8F}" srcOrd="0" destOrd="0" presId="urn:microsoft.com/office/officeart/2005/8/layout/orgChart1"/>
    <dgm:cxn modelId="{4EF10B32-66A9-446F-836B-185935509E39}" type="presParOf" srcId="{0E06468C-A0E3-4F78-9434-93D775867768}" destId="{AEC25A3A-FD68-49A0-AA65-BFE700FCF7BF}" srcOrd="1" destOrd="0" presId="urn:microsoft.com/office/officeart/2005/8/layout/orgChart1"/>
    <dgm:cxn modelId="{2C23A0F6-85F0-4F4F-B739-70B4547A4171}" type="presParOf" srcId="{AEC25A3A-FD68-49A0-AA65-BFE700FCF7BF}" destId="{DB260A6B-E09D-48A6-893B-6D6D7F17918B}" srcOrd="0" destOrd="0" presId="urn:microsoft.com/office/officeart/2005/8/layout/orgChart1"/>
    <dgm:cxn modelId="{8EACE242-59A4-4EFD-BB63-370701A80E10}" type="presParOf" srcId="{DB260A6B-E09D-48A6-893B-6D6D7F17918B}" destId="{1FA10F23-99E1-4738-A156-FD2A8AEF8846}" srcOrd="0" destOrd="0" presId="urn:microsoft.com/office/officeart/2005/8/layout/orgChart1"/>
    <dgm:cxn modelId="{DB13F4A4-86E1-4097-AD6B-FF232083B9D7}" type="presParOf" srcId="{DB260A6B-E09D-48A6-893B-6D6D7F17918B}" destId="{8477EBB0-F9A3-47F4-88E8-0EA48516C0AB}" srcOrd="1" destOrd="0" presId="urn:microsoft.com/office/officeart/2005/8/layout/orgChart1"/>
    <dgm:cxn modelId="{6C6A1133-B5BC-4E9A-8BE5-CF94585AF560}" type="presParOf" srcId="{AEC25A3A-FD68-49A0-AA65-BFE700FCF7BF}" destId="{C0595054-6EEB-4090-8146-4CF3312370AC}" srcOrd="1" destOrd="0" presId="urn:microsoft.com/office/officeart/2005/8/layout/orgChart1"/>
    <dgm:cxn modelId="{67DA447B-DBA4-416E-90AD-49C61FD0C141}" type="presParOf" srcId="{AEC25A3A-FD68-49A0-AA65-BFE700FCF7BF}" destId="{D78C8A4A-9E2F-4C59-AB41-BEC5336539F6}" srcOrd="2" destOrd="0" presId="urn:microsoft.com/office/officeart/2005/8/layout/orgChart1"/>
    <dgm:cxn modelId="{0B655E0C-C5D1-4917-8DA7-29555FBB2EA7}" type="presParOf" srcId="{0E06468C-A0E3-4F78-9434-93D775867768}" destId="{7A9CCEE4-777C-42A9-B35A-C64314BE57FC}" srcOrd="2" destOrd="0" presId="urn:microsoft.com/office/officeart/2005/8/layout/orgChart1"/>
    <dgm:cxn modelId="{BE0F7597-6938-4737-B296-AF15197195B2}" type="presParOf" srcId="{0E06468C-A0E3-4F78-9434-93D775867768}" destId="{1E334C23-9823-49CC-8661-ADC86108B20D}" srcOrd="3" destOrd="0" presId="urn:microsoft.com/office/officeart/2005/8/layout/orgChart1"/>
    <dgm:cxn modelId="{72DAE6A4-3E9C-41E4-B5F9-4E84588D8702}" type="presParOf" srcId="{1E334C23-9823-49CC-8661-ADC86108B20D}" destId="{A84A0E9D-78BE-4A87-9C3B-9FA685B75411}" srcOrd="0" destOrd="0" presId="urn:microsoft.com/office/officeart/2005/8/layout/orgChart1"/>
    <dgm:cxn modelId="{586242E8-18DE-47EC-BED0-7E8D8AEB0D50}" type="presParOf" srcId="{A84A0E9D-78BE-4A87-9C3B-9FA685B75411}" destId="{06BBCEC1-155C-4086-9B45-0439B31FE5A2}" srcOrd="0" destOrd="0" presId="urn:microsoft.com/office/officeart/2005/8/layout/orgChart1"/>
    <dgm:cxn modelId="{E5098A19-C83D-401A-A081-463F00CB18E2}" type="presParOf" srcId="{A84A0E9D-78BE-4A87-9C3B-9FA685B75411}" destId="{2BA2E056-F2B8-4E42-B310-4F54BAC9B9C2}" srcOrd="1" destOrd="0" presId="urn:microsoft.com/office/officeart/2005/8/layout/orgChart1"/>
    <dgm:cxn modelId="{35B45C57-8617-4A2C-A57D-99BA49718247}" type="presParOf" srcId="{1E334C23-9823-49CC-8661-ADC86108B20D}" destId="{0374D33B-2721-4FC0-BA70-73DF6C9C14BF}" srcOrd="1" destOrd="0" presId="urn:microsoft.com/office/officeart/2005/8/layout/orgChart1"/>
    <dgm:cxn modelId="{BD0837FB-CBD2-4E32-A672-7092E1366F82}" type="presParOf" srcId="{1E334C23-9823-49CC-8661-ADC86108B20D}" destId="{FE12F8E7-DDC7-4420-8FA0-76DB252C1699}" srcOrd="2" destOrd="0" presId="urn:microsoft.com/office/officeart/2005/8/layout/orgChart1"/>
    <dgm:cxn modelId="{7C86E5B8-32DA-4064-B30A-ECF06E3B9C5D}" type="presParOf" srcId="{1ABD6D5B-D0B2-4932-8306-B3E515DB42D1}" destId="{CDBE3495-2CF1-4F8C-9A62-4147EB1B270B}" srcOrd="2" destOrd="0" presId="urn:microsoft.com/office/officeart/2005/8/layout/orgChart1"/>
    <dgm:cxn modelId="{A6C1915E-3180-4591-B49F-69EAFD404BF9}" type="presParOf" srcId="{1ABD6D5B-D0B2-4932-8306-B3E515DB42D1}" destId="{8793BF7D-F85E-41E8-88C5-97A4E9E34307}" srcOrd="3" destOrd="0" presId="urn:microsoft.com/office/officeart/2005/8/layout/orgChart1"/>
    <dgm:cxn modelId="{88C14D6A-A8E2-4D8B-9ED8-0308AE11D9FA}" type="presParOf" srcId="{8793BF7D-F85E-41E8-88C5-97A4E9E34307}" destId="{ABF2F338-E6BE-4915-BCDF-251D4830C755}" srcOrd="0" destOrd="0" presId="urn:microsoft.com/office/officeart/2005/8/layout/orgChart1"/>
    <dgm:cxn modelId="{00C08734-35F2-4444-99F5-8568AD25A9D8}" type="presParOf" srcId="{ABF2F338-E6BE-4915-BCDF-251D4830C755}" destId="{F268E1CB-943F-458F-A97A-C9F031E03936}" srcOrd="0" destOrd="0" presId="urn:microsoft.com/office/officeart/2005/8/layout/orgChart1"/>
    <dgm:cxn modelId="{A5DA313D-78C0-49A0-8F22-5C465407D78E}" type="presParOf" srcId="{ABF2F338-E6BE-4915-BCDF-251D4830C755}" destId="{F0CC878C-B131-47D0-ABA5-7E1BB72BC222}" srcOrd="1" destOrd="0" presId="urn:microsoft.com/office/officeart/2005/8/layout/orgChart1"/>
    <dgm:cxn modelId="{2BD815C0-B25B-436C-AFE9-1806ECBD5472}" type="presParOf" srcId="{8793BF7D-F85E-41E8-88C5-97A4E9E34307}" destId="{8CB7A357-E116-46D1-BFA9-1865C32F79AF}" srcOrd="1" destOrd="0" presId="urn:microsoft.com/office/officeart/2005/8/layout/orgChart1"/>
    <dgm:cxn modelId="{61911E15-09B0-4987-9BFE-201EA673929C}" type="presParOf" srcId="{8793BF7D-F85E-41E8-88C5-97A4E9E34307}" destId="{323D8677-5976-41CB-A28D-B1C11F31833E}" srcOrd="2" destOrd="0" presId="urn:microsoft.com/office/officeart/2005/8/layout/orgChart1"/>
    <dgm:cxn modelId="{1633FF7D-9FF7-428A-9F4F-A3D1BA37D652}" type="presParOf" srcId="{323D8677-5976-41CB-A28D-B1C11F31833E}" destId="{6968BE61-B2B9-4E9C-88D5-FCCE3C16AE00}" srcOrd="0" destOrd="0" presId="urn:microsoft.com/office/officeart/2005/8/layout/orgChart1"/>
    <dgm:cxn modelId="{6EC7A07E-90DA-41D6-8247-57D21301C380}" type="presParOf" srcId="{323D8677-5976-41CB-A28D-B1C11F31833E}" destId="{616AC3F2-9374-427E-97AD-382481843A4D}" srcOrd="1" destOrd="0" presId="urn:microsoft.com/office/officeart/2005/8/layout/orgChart1"/>
    <dgm:cxn modelId="{28CA041E-F3AF-46ED-9C5A-70E5EACD0E71}" type="presParOf" srcId="{616AC3F2-9374-427E-97AD-382481843A4D}" destId="{6F6D05EA-E1E5-40B5-AF43-890310BE9EC7}" srcOrd="0" destOrd="0" presId="urn:microsoft.com/office/officeart/2005/8/layout/orgChart1"/>
    <dgm:cxn modelId="{AE8C33BF-AFCC-4D63-8401-1669E8B1D7E8}" type="presParOf" srcId="{6F6D05EA-E1E5-40B5-AF43-890310BE9EC7}" destId="{33AE0648-F3B7-4C46-99B5-D01230CCF3BF}" srcOrd="0" destOrd="0" presId="urn:microsoft.com/office/officeart/2005/8/layout/orgChart1"/>
    <dgm:cxn modelId="{2F972588-AD83-439C-AB77-87FF728848DC}" type="presParOf" srcId="{6F6D05EA-E1E5-40B5-AF43-890310BE9EC7}" destId="{BD6289CD-D666-4798-850E-116C973E66A0}" srcOrd="1" destOrd="0" presId="urn:microsoft.com/office/officeart/2005/8/layout/orgChart1"/>
    <dgm:cxn modelId="{D4D37594-E0B8-4450-97BD-560AE7C0EBD2}" type="presParOf" srcId="{616AC3F2-9374-427E-97AD-382481843A4D}" destId="{C984C610-BF3A-4BA0-8EC0-62BA533995A6}" srcOrd="1" destOrd="0" presId="urn:microsoft.com/office/officeart/2005/8/layout/orgChart1"/>
    <dgm:cxn modelId="{E3967C00-952D-46A3-8F5F-E996B3C822CD}" type="presParOf" srcId="{616AC3F2-9374-427E-97AD-382481843A4D}" destId="{41E9E2A4-301E-4E61-8DFA-3AFA7D4F4A6E}" srcOrd="2" destOrd="0" presId="urn:microsoft.com/office/officeart/2005/8/layout/orgChart1"/>
    <dgm:cxn modelId="{363628F2-D5EA-43B9-B13D-15A91F634934}" type="presParOf" srcId="{323D8677-5976-41CB-A28D-B1C11F31833E}" destId="{CF99562D-69D8-42A7-84C8-FA81B92A7227}" srcOrd="2" destOrd="0" presId="urn:microsoft.com/office/officeart/2005/8/layout/orgChart1"/>
    <dgm:cxn modelId="{6C326199-E70F-4EEB-BC25-6BCD5CC0AEEB}" type="presParOf" srcId="{323D8677-5976-41CB-A28D-B1C11F31833E}" destId="{D85F0578-C42E-4A04-A8C0-2F5C3E0B0778}" srcOrd="3" destOrd="0" presId="urn:microsoft.com/office/officeart/2005/8/layout/orgChart1"/>
    <dgm:cxn modelId="{9C9F6E06-8214-4BBB-A9D2-EEAE404E5CA9}" type="presParOf" srcId="{D85F0578-C42E-4A04-A8C0-2F5C3E0B0778}" destId="{A7C117D5-C54E-4803-8FFC-6815BD2B1AF6}" srcOrd="0" destOrd="0" presId="urn:microsoft.com/office/officeart/2005/8/layout/orgChart1"/>
    <dgm:cxn modelId="{01B5772E-84CA-41DB-BAF7-3431D6135572}" type="presParOf" srcId="{A7C117D5-C54E-4803-8FFC-6815BD2B1AF6}" destId="{9EE08DA3-ED5E-4A0D-BC9D-C53712C3F262}" srcOrd="0" destOrd="0" presId="urn:microsoft.com/office/officeart/2005/8/layout/orgChart1"/>
    <dgm:cxn modelId="{3D70089F-4E8C-49EA-83FC-F4D413B2E872}" type="presParOf" srcId="{A7C117D5-C54E-4803-8FFC-6815BD2B1AF6}" destId="{45DC57F6-81F7-4E77-8908-D6FE9E22F664}" srcOrd="1" destOrd="0" presId="urn:microsoft.com/office/officeart/2005/8/layout/orgChart1"/>
    <dgm:cxn modelId="{03C7D4D1-79D1-421B-847C-136D6550EC2C}" type="presParOf" srcId="{D85F0578-C42E-4A04-A8C0-2F5C3E0B0778}" destId="{4E8B7C33-79EE-45C5-88B6-02DF8399E246}" srcOrd="1" destOrd="0" presId="urn:microsoft.com/office/officeart/2005/8/layout/orgChart1"/>
    <dgm:cxn modelId="{1EA0D1BF-EC37-4CCD-A033-1553DF92E461}" type="presParOf" srcId="{D85F0578-C42E-4A04-A8C0-2F5C3E0B0778}" destId="{E8643A70-04F6-4417-A841-C5CA2869FCD9}"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99562D-69D8-42A7-84C8-FA81B92A7227}">
      <dsp:nvSpPr>
        <dsp:cNvPr id="0" name=""/>
        <dsp:cNvSpPr/>
      </dsp:nvSpPr>
      <dsp:spPr>
        <a:xfrm>
          <a:off x="4777209" y="1672078"/>
          <a:ext cx="142203" cy="622985"/>
        </a:xfrm>
        <a:custGeom>
          <a:avLst/>
          <a:gdLst/>
          <a:ahLst/>
          <a:cxnLst/>
          <a:rect l="0" t="0" r="0" b="0"/>
          <a:pathLst>
            <a:path>
              <a:moveTo>
                <a:pt x="0" y="0"/>
              </a:moveTo>
              <a:lnTo>
                <a:pt x="0" y="622985"/>
              </a:lnTo>
              <a:lnTo>
                <a:pt x="142203" y="622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8BE61-B2B9-4E9C-88D5-FCCE3C16AE00}">
      <dsp:nvSpPr>
        <dsp:cNvPr id="0" name=""/>
        <dsp:cNvSpPr/>
      </dsp:nvSpPr>
      <dsp:spPr>
        <a:xfrm>
          <a:off x="4635006" y="1672078"/>
          <a:ext cx="142203" cy="622985"/>
        </a:xfrm>
        <a:custGeom>
          <a:avLst/>
          <a:gdLst/>
          <a:ahLst/>
          <a:cxnLst/>
          <a:rect l="0" t="0" r="0" b="0"/>
          <a:pathLst>
            <a:path>
              <a:moveTo>
                <a:pt x="142203" y="0"/>
              </a:moveTo>
              <a:lnTo>
                <a:pt x="142203" y="622985"/>
              </a:lnTo>
              <a:lnTo>
                <a:pt x="0" y="622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BE3495-2CF1-4F8C-9A62-4147EB1B270B}">
      <dsp:nvSpPr>
        <dsp:cNvPr id="0" name=""/>
        <dsp:cNvSpPr/>
      </dsp:nvSpPr>
      <dsp:spPr>
        <a:xfrm>
          <a:off x="3138487" y="710514"/>
          <a:ext cx="881903" cy="622985"/>
        </a:xfrm>
        <a:custGeom>
          <a:avLst/>
          <a:gdLst/>
          <a:ahLst/>
          <a:cxnLst/>
          <a:rect l="0" t="0" r="0" b="0"/>
          <a:pathLst>
            <a:path>
              <a:moveTo>
                <a:pt x="0" y="0"/>
              </a:moveTo>
              <a:lnTo>
                <a:pt x="0" y="622985"/>
              </a:lnTo>
              <a:lnTo>
                <a:pt x="881903" y="622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9CCEE4-777C-42A9-B35A-C64314BE57FC}">
      <dsp:nvSpPr>
        <dsp:cNvPr id="0" name=""/>
        <dsp:cNvSpPr/>
      </dsp:nvSpPr>
      <dsp:spPr>
        <a:xfrm>
          <a:off x="1499765" y="1672078"/>
          <a:ext cx="142203" cy="622985"/>
        </a:xfrm>
        <a:custGeom>
          <a:avLst/>
          <a:gdLst/>
          <a:ahLst/>
          <a:cxnLst/>
          <a:rect l="0" t="0" r="0" b="0"/>
          <a:pathLst>
            <a:path>
              <a:moveTo>
                <a:pt x="0" y="0"/>
              </a:moveTo>
              <a:lnTo>
                <a:pt x="0" y="622985"/>
              </a:lnTo>
              <a:lnTo>
                <a:pt x="142203" y="622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4E2CB-2682-4826-AC4E-5E02E3645C8F}">
      <dsp:nvSpPr>
        <dsp:cNvPr id="0" name=""/>
        <dsp:cNvSpPr/>
      </dsp:nvSpPr>
      <dsp:spPr>
        <a:xfrm>
          <a:off x="1357562" y="1672078"/>
          <a:ext cx="142203" cy="622985"/>
        </a:xfrm>
        <a:custGeom>
          <a:avLst/>
          <a:gdLst/>
          <a:ahLst/>
          <a:cxnLst/>
          <a:rect l="0" t="0" r="0" b="0"/>
          <a:pathLst>
            <a:path>
              <a:moveTo>
                <a:pt x="142203" y="0"/>
              </a:moveTo>
              <a:lnTo>
                <a:pt x="142203" y="622985"/>
              </a:lnTo>
              <a:lnTo>
                <a:pt x="0" y="622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98EBED-268F-4D57-AD4C-86C32AE7C714}">
      <dsp:nvSpPr>
        <dsp:cNvPr id="0" name=""/>
        <dsp:cNvSpPr/>
      </dsp:nvSpPr>
      <dsp:spPr>
        <a:xfrm>
          <a:off x="2176923" y="710514"/>
          <a:ext cx="961564" cy="622985"/>
        </a:xfrm>
        <a:custGeom>
          <a:avLst/>
          <a:gdLst/>
          <a:ahLst/>
          <a:cxnLst/>
          <a:rect l="0" t="0" r="0" b="0"/>
          <a:pathLst>
            <a:path>
              <a:moveTo>
                <a:pt x="961564" y="0"/>
              </a:moveTo>
              <a:lnTo>
                <a:pt x="961564" y="622985"/>
              </a:lnTo>
              <a:lnTo>
                <a:pt x="0" y="622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FFEF-E06A-4325-BFC0-9C51D6BA0E0F}">
      <dsp:nvSpPr>
        <dsp:cNvPr id="0" name=""/>
        <dsp:cNvSpPr/>
      </dsp:nvSpPr>
      <dsp:spPr>
        <a:xfrm>
          <a:off x="2461329" y="33357"/>
          <a:ext cx="1354315" cy="6771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bg-BG" sz="1500" b="1" kern="1200"/>
            <a:t>Паричен отчет</a:t>
          </a:r>
          <a:endParaRPr lang="en-US" sz="1500" b="1" kern="1200"/>
        </a:p>
      </dsp:txBody>
      <dsp:txXfrm>
        <a:off x="2461329" y="33357"/>
        <a:ext cx="1354315" cy="677157"/>
      </dsp:txXfrm>
    </dsp:sp>
    <dsp:sp modelId="{7512C87C-5BB4-4F1B-9212-3862A959AB46}">
      <dsp:nvSpPr>
        <dsp:cNvPr id="0" name=""/>
        <dsp:cNvSpPr/>
      </dsp:nvSpPr>
      <dsp:spPr>
        <a:xfrm>
          <a:off x="822607" y="994921"/>
          <a:ext cx="1354315" cy="6771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bg-BG" sz="1500" kern="1200"/>
            <a:t>Аналитични отчети на ТБ</a:t>
          </a:r>
          <a:endParaRPr lang="en-US" sz="1500" kern="1200"/>
        </a:p>
      </dsp:txBody>
      <dsp:txXfrm>
        <a:off x="822607" y="994921"/>
        <a:ext cx="1354315" cy="677157"/>
      </dsp:txXfrm>
    </dsp:sp>
    <dsp:sp modelId="{1FA10F23-99E1-4738-A156-FD2A8AEF8846}">
      <dsp:nvSpPr>
        <dsp:cNvPr id="0" name=""/>
        <dsp:cNvSpPr/>
      </dsp:nvSpPr>
      <dsp:spPr>
        <a:xfrm>
          <a:off x="3246" y="1956485"/>
          <a:ext cx="1354315" cy="6771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bg-BG" sz="1500" kern="1200"/>
            <a:t>Баланс на ТБ1</a:t>
          </a:r>
          <a:endParaRPr lang="en-US" sz="1500" kern="1200"/>
        </a:p>
      </dsp:txBody>
      <dsp:txXfrm>
        <a:off x="3246" y="1956485"/>
        <a:ext cx="1354315" cy="677157"/>
      </dsp:txXfrm>
    </dsp:sp>
    <dsp:sp modelId="{06BBCEC1-155C-4086-9B45-0439B31FE5A2}">
      <dsp:nvSpPr>
        <dsp:cNvPr id="0" name=""/>
        <dsp:cNvSpPr/>
      </dsp:nvSpPr>
      <dsp:spPr>
        <a:xfrm>
          <a:off x="1641968" y="1956485"/>
          <a:ext cx="1354315" cy="6771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bg-BG" sz="1500" kern="1200"/>
            <a:t>Баланс на ТБ2</a:t>
          </a:r>
          <a:endParaRPr lang="en-US" sz="1500" kern="1200"/>
        </a:p>
      </dsp:txBody>
      <dsp:txXfrm>
        <a:off x="1641968" y="1956485"/>
        <a:ext cx="1354315" cy="677157"/>
      </dsp:txXfrm>
    </dsp:sp>
    <dsp:sp modelId="{F268E1CB-943F-458F-A97A-C9F031E03936}">
      <dsp:nvSpPr>
        <dsp:cNvPr id="0" name=""/>
        <dsp:cNvSpPr/>
      </dsp:nvSpPr>
      <dsp:spPr>
        <a:xfrm>
          <a:off x="4020390" y="994921"/>
          <a:ext cx="1513637" cy="6771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bg-BG" sz="1500" kern="1200"/>
            <a:t>Аналитична отчетност на БНБ</a:t>
          </a:r>
          <a:endParaRPr lang="en-US" sz="1500" kern="1200"/>
        </a:p>
      </dsp:txBody>
      <dsp:txXfrm>
        <a:off x="4020390" y="994921"/>
        <a:ext cx="1513637" cy="677157"/>
      </dsp:txXfrm>
    </dsp:sp>
    <dsp:sp modelId="{33AE0648-F3B7-4C46-99B5-D01230CCF3BF}">
      <dsp:nvSpPr>
        <dsp:cNvPr id="0" name=""/>
        <dsp:cNvSpPr/>
      </dsp:nvSpPr>
      <dsp:spPr>
        <a:xfrm>
          <a:off x="3280690" y="1956485"/>
          <a:ext cx="1354315" cy="6771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bg-BG" sz="1500" kern="1200"/>
            <a:t>Баланс на управление емисионно</a:t>
          </a:r>
          <a:endParaRPr lang="en-US" sz="1500" kern="1200"/>
        </a:p>
      </dsp:txBody>
      <dsp:txXfrm>
        <a:off x="3280690" y="1956485"/>
        <a:ext cx="1354315" cy="677157"/>
      </dsp:txXfrm>
    </dsp:sp>
    <dsp:sp modelId="{9EE08DA3-ED5E-4A0D-BC9D-C53712C3F262}">
      <dsp:nvSpPr>
        <dsp:cNvPr id="0" name=""/>
        <dsp:cNvSpPr/>
      </dsp:nvSpPr>
      <dsp:spPr>
        <a:xfrm>
          <a:off x="4919412" y="1956485"/>
          <a:ext cx="1354315" cy="6771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bg-BG" sz="1500" kern="1200"/>
            <a:t>Баланс на управление банково</a:t>
          </a:r>
          <a:endParaRPr lang="en-US" sz="1500" kern="1200"/>
        </a:p>
      </dsp:txBody>
      <dsp:txXfrm>
        <a:off x="4919412" y="1956485"/>
        <a:ext cx="1354315" cy="6771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2192</TotalTime>
  <Pages>1</Pages>
  <Words>4758</Words>
  <Characters>27127</Characters>
  <Application>Microsoft Office Word</Application>
  <DocSecurity>0</DocSecurity>
  <Lines>226</Lines>
  <Paragraphs>63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IVAN</cp:lastModifiedBy>
  <cp:revision>12</cp:revision>
  <dcterms:created xsi:type="dcterms:W3CDTF">2013-03-12T07:17:00Z</dcterms:created>
  <dcterms:modified xsi:type="dcterms:W3CDTF">2013-06-01T21:44:00Z</dcterms:modified>
</cp:coreProperties>
</file>