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u w:val="single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 xml:space="preserve">1. </w:t>
      </w:r>
      <w:r w:rsidRPr="00AD63EE">
        <w:rPr>
          <w:rFonts w:ascii="Arial" w:hAnsi="Arial" w:cs="Arial"/>
          <w:b/>
          <w:sz w:val="36"/>
          <w:szCs w:val="36"/>
          <w:u w:val="single"/>
          <w:lang w:val="es-CU"/>
        </w:rPr>
        <w:t>HONORARIOS (POR EL TRABAJO PROFESIONAL)</w:t>
      </w:r>
    </w:p>
    <w:p w:rsidR="007823AD" w:rsidRPr="00AD63EE" w:rsidRDefault="007823AD" w:rsidP="00AD63EE">
      <w:pPr>
        <w:jc w:val="both"/>
        <w:rPr>
          <w:rFonts w:ascii="Arial" w:hAnsi="Arial" w:cs="Arial"/>
          <w:b/>
          <w:sz w:val="36"/>
          <w:szCs w:val="36"/>
          <w:u w:val="single"/>
          <w:lang w:val="es-CU"/>
        </w:rPr>
      </w:pPr>
      <w:bookmarkStart w:id="0" w:name="_GoBack"/>
      <w:bookmarkEnd w:id="0"/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>· Fijos o por hora: Se puede cobrar una tarifa plana por obra o un precio por hora de trabajo.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>· Basados en el proyecto: El costo final se ajusta a la complejidad, la investigación de mercado del artista y el tiempo</w:t>
      </w:r>
      <w:r w:rsidRPr="00AD63EE">
        <w:rPr>
          <w:rFonts w:ascii="Arial" w:hAnsi="Arial" w:cs="Arial"/>
          <w:b/>
          <w:sz w:val="36"/>
          <w:szCs w:val="36"/>
          <w:lang w:val="es-CU"/>
        </w:rPr>
        <w:t xml:space="preserve"> requerido.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>· Sin vínculo con el valor: Es una práctica ética que los honorarios no dependan del valor de la obra para garantizar la objetividad del tasador.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>· Caso judicial: Si es una tasación solicitada por un tribunal, los honorarios suelen ser "convenc</w:t>
      </w:r>
      <w:r w:rsidRPr="00AD63EE">
        <w:rPr>
          <w:rFonts w:ascii="Arial" w:hAnsi="Arial" w:cs="Arial"/>
          <w:b/>
          <w:sz w:val="36"/>
          <w:szCs w:val="36"/>
          <w:lang w:val="es-CU"/>
        </w:rPr>
        <w:t>ionales" (acordados entre las partes).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u w:val="single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 xml:space="preserve">2. </w:t>
      </w:r>
      <w:r w:rsidRPr="00AD63EE">
        <w:rPr>
          <w:rFonts w:ascii="Arial" w:hAnsi="Arial" w:cs="Arial"/>
          <w:b/>
          <w:sz w:val="36"/>
          <w:szCs w:val="36"/>
          <w:u w:val="single"/>
          <w:lang w:val="es-CU"/>
        </w:rPr>
        <w:t>GASTOS DEL SERVICIO (TELÉFONO, TRANSPORTE, ETC.)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>Estos son los costos operativos en los que incurre para realizar la tasación y, por lo general, se facturan por separado:</w:t>
      </w:r>
    </w:p>
    <w:p w:rsidR="007823AD" w:rsidRPr="00AD63EE" w:rsidRDefault="007823AD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 xml:space="preserve">· Investigación y documentación: Gastos </w:t>
      </w:r>
      <w:r w:rsidRPr="00AD63EE">
        <w:rPr>
          <w:rFonts w:ascii="Arial" w:hAnsi="Arial" w:cs="Arial"/>
          <w:b/>
          <w:sz w:val="36"/>
          <w:szCs w:val="36"/>
          <w:lang w:val="es-CU"/>
        </w:rPr>
        <w:t>por acceso a bases de datos, obtención de certificados o fotografía especializada.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lastRenderedPageBreak/>
        <w:t>· Desplazamiento: Transporte, viáticos y dietas si debe trasladarse para inspeccionar la obra en persona.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 xml:space="preserve">· Servicios externos: Costos de exámenes científicos, restauración </w:t>
      </w:r>
      <w:r w:rsidRPr="00AD63EE">
        <w:rPr>
          <w:rFonts w:ascii="Arial" w:hAnsi="Arial" w:cs="Arial"/>
          <w:b/>
          <w:sz w:val="36"/>
          <w:szCs w:val="36"/>
          <w:lang w:val="es-CU"/>
        </w:rPr>
        <w:t>o seguros durante el proceso.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>· Comunicaciones: Gastos de teléfono, internet o mensajería relacionados directamente con el caso.</w:t>
      </w:r>
    </w:p>
    <w:p w:rsidR="007823AD" w:rsidRPr="00AD63EE" w:rsidRDefault="007823AD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u w:val="single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 xml:space="preserve">3. </w:t>
      </w:r>
      <w:r w:rsidRPr="00AD63EE">
        <w:rPr>
          <w:rFonts w:ascii="Arial" w:hAnsi="Arial" w:cs="Arial"/>
          <w:b/>
          <w:sz w:val="36"/>
          <w:szCs w:val="36"/>
          <w:u w:val="single"/>
          <w:lang w:val="es-CU"/>
        </w:rPr>
        <w:t>COBRO DEL SERVICIO (FACTURACIÓN Y PAGO)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>· Presupuesto previo: Es fundamental entregar un presupuesto detallado que desglos</w:t>
      </w:r>
      <w:r w:rsidRPr="00AD63EE">
        <w:rPr>
          <w:rFonts w:ascii="Arial" w:hAnsi="Arial" w:cs="Arial"/>
          <w:b/>
          <w:sz w:val="36"/>
          <w:szCs w:val="36"/>
          <w:lang w:val="es-CU"/>
        </w:rPr>
        <w:t>e honorarios y gastos antes de comenzar.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>· Formas de pago: Se puede solicitar un anticipo (por ejemplo, del 50%) para cubrir los gastos iniciales y el resto al finalizar la entrega del informe.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>· Facturación: Emita un documento formal (factura o recibo) qu</w:t>
      </w:r>
      <w:r w:rsidRPr="00AD63EE">
        <w:rPr>
          <w:rFonts w:ascii="Arial" w:hAnsi="Arial" w:cs="Arial"/>
          <w:b/>
          <w:sz w:val="36"/>
          <w:szCs w:val="36"/>
          <w:lang w:val="es-CU"/>
        </w:rPr>
        <w:t>e detalle ambos conceptos, incluyendo sus datos y los del cliente.</w:t>
      </w: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 xml:space="preserve">· Moneda: En Cuba, es clave acordar si el cobro será </w:t>
      </w:r>
      <w:r w:rsidRPr="00AD63EE">
        <w:rPr>
          <w:rFonts w:ascii="Arial" w:hAnsi="Arial" w:cs="Arial"/>
          <w:b/>
          <w:sz w:val="36"/>
          <w:szCs w:val="36"/>
          <w:lang w:val="es-CU"/>
        </w:rPr>
        <w:t>en divisas, según el acuerdo con el cliente.</w:t>
      </w:r>
    </w:p>
    <w:p w:rsidR="007823AD" w:rsidRPr="00AD63EE" w:rsidRDefault="007823AD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 xml:space="preserve">En resumen: La clave está en la transparencia. Se recomienda dejar claro en </w:t>
      </w:r>
      <w:r w:rsidRPr="00AD63EE">
        <w:rPr>
          <w:rFonts w:ascii="Arial" w:hAnsi="Arial" w:cs="Arial"/>
          <w:b/>
          <w:sz w:val="36"/>
          <w:szCs w:val="36"/>
          <w:lang w:val="es-CU"/>
        </w:rPr>
        <w:t xml:space="preserve">un contrato o presupuesto que los honorarios son por su conocimiento y tiempo, </w:t>
      </w:r>
      <w:r w:rsidRPr="00AD63EE">
        <w:rPr>
          <w:rFonts w:ascii="Arial" w:hAnsi="Arial" w:cs="Arial"/>
          <w:b/>
          <w:sz w:val="36"/>
          <w:szCs w:val="36"/>
          <w:lang w:val="es-CU"/>
        </w:rPr>
        <w:lastRenderedPageBreak/>
        <w:t>y que los gastos (como transporte o llamadas) se cobran a coste, documentándolos adecuadamente.</w:t>
      </w:r>
    </w:p>
    <w:p w:rsidR="007823AD" w:rsidRPr="00AD63EE" w:rsidRDefault="007823AD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</w:p>
    <w:p w:rsidR="007823AD" w:rsidRPr="00AD63EE" w:rsidRDefault="00AD63EE" w:rsidP="00AD63EE">
      <w:pPr>
        <w:jc w:val="both"/>
        <w:rPr>
          <w:rFonts w:ascii="Arial" w:hAnsi="Arial" w:cs="Arial"/>
          <w:b/>
          <w:sz w:val="36"/>
          <w:szCs w:val="36"/>
          <w:lang w:val="es-CU"/>
        </w:rPr>
      </w:pPr>
      <w:r w:rsidRPr="00AD63EE">
        <w:rPr>
          <w:rFonts w:ascii="Arial" w:hAnsi="Arial" w:cs="Arial"/>
          <w:b/>
          <w:sz w:val="36"/>
          <w:szCs w:val="36"/>
          <w:lang w:val="es-CU"/>
        </w:rPr>
        <w:t>Espero que esta guía le sea de utilidad. ¿Necesita que profundice en algún punto</w:t>
      </w:r>
      <w:r w:rsidRPr="00AD63EE">
        <w:rPr>
          <w:rFonts w:ascii="Arial" w:hAnsi="Arial" w:cs="Arial"/>
          <w:b/>
          <w:sz w:val="36"/>
          <w:szCs w:val="36"/>
          <w:lang w:val="es-CU"/>
        </w:rPr>
        <w:t xml:space="preserve"> en particular?</w:t>
      </w:r>
    </w:p>
    <w:sectPr w:rsidR="007823AD" w:rsidRPr="00AD63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3AD"/>
    <w:rsid w:val="007823AD"/>
    <w:rsid w:val="00AD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810A95"/>
  <w15:docId w15:val="{357F15E1-947C-4F2D-A265-C7AD5EEF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305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SM-A156M</dc:creator>
  <cp:lastModifiedBy>Almeida</cp:lastModifiedBy>
  <cp:revision>2</cp:revision>
  <dcterms:created xsi:type="dcterms:W3CDTF">2026-09-07T06:06:00Z</dcterms:created>
  <dcterms:modified xsi:type="dcterms:W3CDTF">2026-09-07T06:06:00Z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ee31fceaac2144c18ef45165723273d3</vt:lpwstr>
  </property>
</Properties>
</file>