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A91" w:rsidRPr="0045402A" w:rsidRDefault="0045402A" w:rsidP="0045402A">
      <w:pPr>
        <w:jc w:val="both"/>
        <w:rPr>
          <w:b/>
          <w:sz w:val="36"/>
          <w:szCs w:val="36"/>
          <w:u w:val="single"/>
          <w:lang w:val="es-CU"/>
        </w:rPr>
      </w:pPr>
      <w:r w:rsidRPr="0045402A">
        <w:rPr>
          <w:b/>
          <w:sz w:val="36"/>
          <w:szCs w:val="36"/>
          <w:u w:val="single"/>
          <w:lang w:val="es-CU"/>
        </w:rPr>
        <w:t>FORMATO CONTRACTUAL PROFESIONAL, PARA DE PRESTACIÓN DE SERVICIOS CON EL TASADOR. SON CLÁUSULAS EXIGIBLES, CON LENGUAJE JURÍDICO Y TÉCNICO.</w:t>
      </w:r>
    </w:p>
    <w:p w:rsidR="00351A91" w:rsidRPr="0045402A" w:rsidRDefault="00351A91" w:rsidP="0045402A">
      <w:pPr>
        <w:jc w:val="both"/>
        <w:rPr>
          <w:b/>
          <w:sz w:val="36"/>
          <w:szCs w:val="36"/>
          <w:u w:val="single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CLÁUSULAS TÉCNICAS Y DE DEBIDA DILIGENCIA PARA EL SERVICIO DE TASACIÓN DE COLECCIÓN DE ARTE CUBANO</w:t>
      </w:r>
    </w:p>
    <w:p w:rsidR="00351A91" w:rsidRPr="0045402A" w:rsidRDefault="002F3B04" w:rsidP="0045402A">
      <w:pPr>
        <w:jc w:val="both"/>
        <w:rPr>
          <w:b/>
          <w:sz w:val="32"/>
          <w:szCs w:val="32"/>
          <w:u w:val="single"/>
          <w:lang w:val="es-CU"/>
        </w:rPr>
      </w:pPr>
      <w:r w:rsidRPr="0045402A">
        <w:rPr>
          <w:b/>
          <w:sz w:val="32"/>
          <w:szCs w:val="32"/>
          <w:u w:val="single"/>
          <w:lang w:val="es-CU"/>
        </w:rPr>
        <w:t>Cláusula Primera – Objeto y alcance del encargo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45402A" w:rsidP="0045402A">
      <w:pPr>
        <w:jc w:val="both"/>
        <w:rPr>
          <w:b/>
          <w:sz w:val="32"/>
          <w:szCs w:val="32"/>
          <w:lang w:val="es-CU"/>
        </w:rPr>
      </w:pPr>
      <w:r>
        <w:rPr>
          <w:b/>
          <w:sz w:val="32"/>
          <w:szCs w:val="32"/>
          <w:lang w:val="es-CU"/>
        </w:rPr>
        <w:t>El tasador</w:t>
      </w:r>
      <w:r w:rsidR="002F3B04" w:rsidRPr="00423771">
        <w:rPr>
          <w:b/>
          <w:sz w:val="32"/>
          <w:szCs w:val="32"/>
          <w:lang w:val="es-CU"/>
        </w:rPr>
        <w:t xml:space="preserve"> se compromete a </w:t>
      </w:r>
      <w:r w:rsidR="002F3B04" w:rsidRPr="00423771">
        <w:rPr>
          <w:b/>
          <w:sz w:val="32"/>
          <w:szCs w:val="32"/>
          <w:lang w:val="es-CU"/>
        </w:rPr>
        <w:t xml:space="preserve">elaborar un informe de valoración de la colección de arte cubano, con destino a su comercialización en el mercado europeo, que cumplirá con los estándares internacionales de la profesión (USPAP, ASA, ISA o RICS). El informe incluirá, como parte sustancial </w:t>
      </w:r>
      <w:r w:rsidR="002F3B04" w:rsidRPr="00423771">
        <w:rPr>
          <w:b/>
          <w:sz w:val="32"/>
          <w:szCs w:val="32"/>
          <w:lang w:val="es-CU"/>
        </w:rPr>
        <w:t>del mismo, un estudio de mercado comparativo asistido por herramientas digitales e inteligencia artificial, siempre que dichas herramientas sean utilizadas como soporte y no como sustituto del criterio profesional del tasador.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5402A">
        <w:rPr>
          <w:b/>
          <w:sz w:val="32"/>
          <w:szCs w:val="32"/>
          <w:u w:val="single"/>
          <w:lang w:val="es-CU"/>
        </w:rPr>
        <w:t>Cláusula Segunda</w:t>
      </w:r>
      <w:r w:rsidRPr="00423771">
        <w:rPr>
          <w:b/>
          <w:sz w:val="32"/>
          <w:szCs w:val="32"/>
          <w:lang w:val="es-CU"/>
        </w:rPr>
        <w:t xml:space="preserve"> – Equi</w:t>
      </w:r>
      <w:r w:rsidRPr="00423771">
        <w:rPr>
          <w:b/>
          <w:sz w:val="32"/>
          <w:szCs w:val="32"/>
          <w:lang w:val="es-CU"/>
        </w:rPr>
        <w:t>librio geográfico y ponderación de fuentes (Prohibición de sesgo EE.UU.)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estudio de mercado deberá extraer datos de, al menos, las siguientes plazas, garantizando que ninguna región geográfica supere el 60% del total de comparables utilizados: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lastRenderedPageBreak/>
        <w:t>· Europ</w:t>
      </w:r>
      <w:r w:rsidRPr="00423771">
        <w:rPr>
          <w:b/>
          <w:sz w:val="32"/>
          <w:szCs w:val="32"/>
          <w:lang w:val="es-CU"/>
        </w:rPr>
        <w:t>a continental: Christie's París, Sotheby's Londres, Dorotheum (Viena), Sala Duran (Madrid) y subastas locales en Alemania, Suiza o Italia.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América del Norte: Sotheby's y Christie's Nueva York, limitado a un máximo del 40% de la muestra total.</w:t>
      </w:r>
    </w:p>
    <w:p w:rsidR="00351A9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Latinoamé</w:t>
      </w:r>
      <w:r w:rsidRPr="00423771">
        <w:rPr>
          <w:b/>
          <w:sz w:val="32"/>
          <w:szCs w:val="32"/>
          <w:lang w:val="es-CU"/>
        </w:rPr>
        <w:t>rica: Subastas en México, Colombia o Argentina (para contexto histórico, limitado al 10% de la muestra).</w:t>
      </w:r>
    </w:p>
    <w:p w:rsidR="0045402A" w:rsidRPr="0045402A" w:rsidRDefault="0045402A" w:rsidP="0045402A">
      <w:pPr>
        <w:jc w:val="both"/>
        <w:rPr>
          <w:b/>
          <w:sz w:val="32"/>
          <w:szCs w:val="32"/>
          <w:lang w:val="es-CU"/>
        </w:rPr>
      </w:pPr>
      <w:r>
        <w:rPr>
          <w:b/>
          <w:sz w:val="32"/>
          <w:szCs w:val="32"/>
          <w:lang w:val="es-CU"/>
        </w:rPr>
        <w:t xml:space="preserve"> - Subasta Habana. Ediciones 2002 al 2014. FCBC. La Habana. Cuba.</w:t>
      </w:r>
    </w:p>
    <w:p w:rsidR="0045402A" w:rsidRPr="0045402A" w:rsidRDefault="0045402A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informe deberá adjuntar tabla detallada con el origen geográfico de cada comparable, y explicar por escrito los factores de corrección aplicados (e</w:t>
      </w:r>
      <w:r w:rsidRPr="00423771">
        <w:rPr>
          <w:b/>
          <w:sz w:val="32"/>
          <w:szCs w:val="32"/>
          <w:lang w:val="es-CU"/>
        </w:rPr>
        <w:t>j. ajuste a la baja de precios de Nueva York entre un -10% y un -20% para reflejar la elasticidad de la demanda en el mercado europeo).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Efecto: El incumplimiento de este equilibrio será causa de rechazo del informe y de resolución del contrato sin penaliz</w:t>
      </w:r>
      <w:r w:rsidRPr="00423771">
        <w:rPr>
          <w:b/>
          <w:sz w:val="32"/>
          <w:szCs w:val="32"/>
          <w:lang w:val="es-CU"/>
        </w:rPr>
        <w:t>ación para el contratante.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---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u w:val="single"/>
          <w:lang w:val="es-CU"/>
        </w:rPr>
        <w:lastRenderedPageBreak/>
        <w:t>Cláusula Tercera</w:t>
      </w:r>
      <w:r w:rsidRPr="00423771">
        <w:rPr>
          <w:b/>
          <w:sz w:val="32"/>
          <w:szCs w:val="32"/>
          <w:lang w:val="es-CU"/>
        </w:rPr>
        <w:t xml:space="preserve"> – Segmentación cualitativa obligatoria (diferenciación obra núcleo vs. obra menor)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La valoración no podrá agrupar todas las obras de un mismo artista en un único rango de precios. El tasador deberá aplicar</w:t>
      </w:r>
      <w:r w:rsidRPr="00423771">
        <w:rPr>
          <w:b/>
          <w:sz w:val="32"/>
          <w:szCs w:val="32"/>
          <w:lang w:val="es-CU"/>
        </w:rPr>
        <w:t xml:space="preserve"> filtros excluyentes para cada obra, atendiendo al menos a los siguientes criterios: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Técnica y soporte: Óleo sobre lienzo vs. gouache, acuarela, pastel o dibujo sobre papel, con diferenciación explícita en los rangos de valor.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Dimensiones: Clasificaci</w:t>
      </w:r>
      <w:r w:rsidRPr="00423771">
        <w:rPr>
          <w:b/>
          <w:sz w:val="32"/>
          <w:szCs w:val="32"/>
          <w:lang w:val="es-CU"/>
        </w:rPr>
        <w:t>ón por formato (gran &gt;80 cm, medio, pequeño &lt;40 cm).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Etapa creativa: Identificación y ponderación del periodo artístico (temprano, maduro, tardío).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Procedencia: Si la obra proviene de colección reputada, se consignará y justificará un posible increment</w:t>
      </w:r>
      <w:r w:rsidRPr="00423771">
        <w:rPr>
          <w:b/>
          <w:sz w:val="32"/>
          <w:szCs w:val="32"/>
          <w:lang w:val="es-CU"/>
        </w:rPr>
        <w:t>o de valor.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informe incluirá una lista de exclusiones de obras comparables descartadas, con su justificación.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u w:val="single"/>
          <w:lang w:val="es-CU"/>
        </w:rPr>
        <w:t>Cláusula Cuarta</w:t>
      </w:r>
      <w:r w:rsidRPr="00423771">
        <w:rPr>
          <w:b/>
          <w:sz w:val="32"/>
          <w:szCs w:val="32"/>
          <w:lang w:val="es-CU"/>
        </w:rPr>
        <w:t xml:space="preserve"> – Inteligencia explicable (XAI) y justificación individual de comparables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highlight w:val="yellow"/>
          <w:lang w:val="es-CU"/>
        </w:rPr>
        <w:t>El estudio de mercado no podrá limitarse a of</w:t>
      </w:r>
      <w:r w:rsidRPr="0019369D">
        <w:rPr>
          <w:b/>
          <w:sz w:val="32"/>
          <w:szCs w:val="32"/>
          <w:highlight w:val="yellow"/>
          <w:lang w:val="es-CU"/>
        </w:rPr>
        <w:t>recer un precio promedio o una horquilla sin desglose. Para cada obra a tasar, el informe deberá incluir una tabla con al menos 5 obras comparables que contenga obligatoriamente: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1. Autor y título de la obra comparable.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lastRenderedPageBreak/>
        <w:t>2. Fecha de venta y casa de subasta</w:t>
      </w:r>
      <w:r w:rsidRPr="00423771">
        <w:rPr>
          <w:b/>
          <w:sz w:val="32"/>
          <w:szCs w:val="32"/>
          <w:lang w:val="es-CU"/>
        </w:rPr>
        <w:t>s o galería.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3. Precio de adjudicación (hammer price) y precio total con comisiones.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4. Columna "Razonamiento de comparabilidad", redactada personalmente por el tasador (no por la IA), que explique las similitudes y diferencias con la obra objeto de tasaci</w:t>
      </w:r>
      <w:r w:rsidRPr="00423771">
        <w:rPr>
          <w:b/>
          <w:sz w:val="32"/>
          <w:szCs w:val="32"/>
          <w:lang w:val="es-CU"/>
        </w:rPr>
        <w:t>ón y los ajustes aplicados (ej. estado de conservación, calidad compositiva, rareza).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highlight w:val="cyan"/>
          <w:lang w:val="es-CU"/>
        </w:rPr>
        <w:t>La ausencia de esta justificación individualizada se considerará falta de diligencia profesional grave.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u w:val="single"/>
          <w:lang w:val="es-CU"/>
        </w:rPr>
        <w:t>Cláusula Quinta</w:t>
      </w:r>
      <w:r w:rsidRPr="00423771">
        <w:rPr>
          <w:b/>
          <w:sz w:val="32"/>
          <w:szCs w:val="32"/>
          <w:lang w:val="es-CU"/>
        </w:rPr>
        <w:t xml:space="preserve"> – Ajuste temporal y factor de condición (es</w:t>
      </w:r>
      <w:r w:rsidRPr="00423771">
        <w:rPr>
          <w:b/>
          <w:sz w:val="32"/>
          <w:szCs w:val="32"/>
          <w:lang w:val="es-CU"/>
        </w:rPr>
        <w:t>tado de conservación)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Todos los datos de ventas anteriores a 24 meses desde la fecha de emisión del informe deberán ser actualizados mediante un índice de precios de arte reconocido internacionalmente (ArtMarket Insight, Artprice Global Index o índice </w:t>
      </w:r>
      <w:r w:rsidRPr="00423771">
        <w:rPr>
          <w:b/>
          <w:sz w:val="32"/>
          <w:szCs w:val="32"/>
          <w:lang w:val="es-CU"/>
        </w:rPr>
        <w:t>específico de arte latinoamericano). La fórmula aplicada será explícita en el informe: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Precio ajustado = Precio histórico x (Índice en fecha del informe / Índice en fecha de la venta comparable).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Asimismo, si la obra presenta restauraciones, intervencion</w:t>
      </w:r>
      <w:r w:rsidRPr="00423771">
        <w:rPr>
          <w:b/>
          <w:sz w:val="32"/>
          <w:szCs w:val="32"/>
          <w:lang w:val="es-CU"/>
        </w:rPr>
        <w:t>es, rasgaduras, pérdidas de pigmento o cualquier otro deterioro, se aplicará un coeficiente reductor (entre el 10% y el 30%) justificado por el tasador y, en su caso, por un restaurador externo si el tasador no posee dicha competencia.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19369D">
        <w:rPr>
          <w:b/>
          <w:sz w:val="32"/>
          <w:szCs w:val="32"/>
          <w:u w:val="single"/>
          <w:lang w:val="es-CU"/>
        </w:rPr>
        <w:t>Cláusula Sexta</w:t>
      </w:r>
      <w:r w:rsidRPr="00423771">
        <w:rPr>
          <w:b/>
          <w:sz w:val="32"/>
          <w:szCs w:val="32"/>
          <w:lang w:val="es-CU"/>
        </w:rPr>
        <w:t xml:space="preserve"> – Contraste obligatorio entre subastas y ventas privadas de galerías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estudio deberá incluir un análisis comparativo que contraste los precios obtenidos en subastas públicas con al menos dos (2) transacciones privadas recientes, obtenidas mediante cons</w:t>
      </w:r>
      <w:r w:rsidRPr="00423771">
        <w:rPr>
          <w:b/>
          <w:sz w:val="32"/>
          <w:szCs w:val="32"/>
          <w:lang w:val="es-CU"/>
        </w:rPr>
        <w:t>ulta directa a galerías especializadas en arte cubano con sede en Madrid, París, Londres o Barcelona.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informe explicará las diferencias entre ambos canales y justificará el rango final propuesto, teniendo en cuenta que, en mercados de baja demanda como</w:t>
      </w:r>
      <w:r w:rsidRPr="00423771">
        <w:rPr>
          <w:b/>
          <w:sz w:val="32"/>
          <w:szCs w:val="32"/>
          <w:lang w:val="es-CU"/>
        </w:rPr>
        <w:t xml:space="preserve"> el europeo, </w:t>
      </w:r>
      <w:r w:rsidRPr="008F19A4">
        <w:rPr>
          <w:b/>
          <w:sz w:val="32"/>
          <w:szCs w:val="32"/>
          <w:highlight w:val="cyan"/>
          <w:lang w:val="es-CU"/>
        </w:rPr>
        <w:t>los precios de galería suelen situarse entre un 15% y un 25% por debajo de los precios de subasta.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8F19A4">
        <w:rPr>
          <w:b/>
          <w:sz w:val="32"/>
          <w:szCs w:val="32"/>
          <w:u w:val="single"/>
          <w:lang w:val="es-CU"/>
        </w:rPr>
        <w:t>Cláusula Séptima</w:t>
      </w:r>
      <w:r w:rsidRPr="00423771">
        <w:rPr>
          <w:b/>
          <w:sz w:val="32"/>
          <w:szCs w:val="32"/>
          <w:lang w:val="es-CU"/>
        </w:rPr>
        <w:t xml:space="preserve"> – Supervisión humana certificada y responsabilidad ética (Human-in-the-loop)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tasador declara y garantiza que: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1. La </w:t>
      </w:r>
      <w:r w:rsidRPr="00423771">
        <w:rPr>
          <w:b/>
          <w:sz w:val="32"/>
          <w:szCs w:val="32"/>
          <w:lang w:val="es-CU"/>
        </w:rPr>
        <w:t>inteligencia artificial o herramientas automatizadas utilizadas han sido empleadas exclusivamente como herramientas de soporte para la recopilación y organización de datos.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2. Ningún valor final ha sido emitido automáticamente por la IA sin su revisión, an</w:t>
      </w:r>
      <w:r w:rsidRPr="00423771">
        <w:rPr>
          <w:b/>
          <w:sz w:val="32"/>
          <w:szCs w:val="32"/>
          <w:lang w:val="es-CU"/>
        </w:rPr>
        <w:t>álisis crítico y ajuste manual.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3. El informe incluirá una Declaración de Validación Humana, firmada por el tasador, con la siguiente redacción literal: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"Certifico que he revisado personalmente cada comparable seleccionado por el sistema automatizado, he </w:t>
      </w:r>
      <w:r w:rsidRPr="00423771">
        <w:rPr>
          <w:b/>
          <w:sz w:val="32"/>
          <w:szCs w:val="32"/>
          <w:lang w:val="es-CU"/>
        </w:rPr>
        <w:t xml:space="preserve">ajustado los valores según mi experiencia en el mercado europeo para arte cubano, y asumo plena responsabilidad ética, profesional y legal sobre la cifra </w:t>
      </w:r>
      <w:r w:rsidRPr="00423771">
        <w:rPr>
          <w:b/>
          <w:sz w:val="32"/>
          <w:szCs w:val="32"/>
          <w:lang w:val="es-CU"/>
        </w:rPr>
        <w:lastRenderedPageBreak/>
        <w:t>final emitida. La IA ha sido utilizada únicamente como herramienta de soporte, no como emisor de la op</w:t>
      </w:r>
      <w:r w:rsidRPr="00423771">
        <w:rPr>
          <w:b/>
          <w:sz w:val="32"/>
          <w:szCs w:val="32"/>
          <w:lang w:val="es-CU"/>
        </w:rPr>
        <w:t>inión de valor."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La ausencia de esta declaración dejará el informe sin validez a los efectos del presente contrato.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8F19A4">
        <w:rPr>
          <w:b/>
          <w:sz w:val="32"/>
          <w:szCs w:val="32"/>
          <w:u w:val="single"/>
          <w:lang w:val="es-CU"/>
        </w:rPr>
        <w:t>Cláusula Octava</w:t>
      </w:r>
      <w:r w:rsidRPr="00423771">
        <w:rPr>
          <w:b/>
          <w:sz w:val="32"/>
          <w:szCs w:val="32"/>
          <w:lang w:val="es-CU"/>
        </w:rPr>
        <w:t xml:space="preserve"> – Horquilla de sensibilidad y escenarios de venta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Dada la baja liquidez del mercado de arte cubano en Europa, el </w:t>
      </w:r>
      <w:r w:rsidRPr="00423771">
        <w:rPr>
          <w:b/>
          <w:sz w:val="32"/>
          <w:szCs w:val="32"/>
          <w:lang w:val="es-CU"/>
        </w:rPr>
        <w:t>informe entregará el valor estimado en tres (3) escenarios claramente diferenciados: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Escenario Conservador: Precio estimado para una venta rápida (3 meses), considerando descuentos por urgencia.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Escenario Realista: Precio estimado para una venta en pl</w:t>
      </w:r>
      <w:r w:rsidRPr="00423771">
        <w:rPr>
          <w:b/>
          <w:sz w:val="32"/>
          <w:szCs w:val="32"/>
          <w:lang w:val="es-CU"/>
        </w:rPr>
        <w:t>azo ordinario (12-18 meses).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Escenario Optimista: Precio estimado para una venta a coleccionista especializado dispuesto a esperar el tiempo necesario.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La diferencia entre el escenario realista y el optimista no podrá superar el 30%, y en todo caso debe</w:t>
      </w:r>
      <w:r w:rsidRPr="00423771">
        <w:rPr>
          <w:b/>
          <w:sz w:val="32"/>
          <w:szCs w:val="32"/>
          <w:lang w:val="es-CU"/>
        </w:rPr>
        <w:t>rá estar justificada por el tasador en base a la volatilidad histórica del segmento.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8F19A4">
        <w:rPr>
          <w:b/>
          <w:sz w:val="32"/>
          <w:szCs w:val="32"/>
          <w:u w:val="single"/>
          <w:lang w:val="es-CU"/>
        </w:rPr>
        <w:t>Cláusula Novena</w:t>
      </w:r>
      <w:r w:rsidRPr="00423771">
        <w:rPr>
          <w:b/>
          <w:sz w:val="32"/>
          <w:szCs w:val="32"/>
          <w:lang w:val="es-CU"/>
        </w:rPr>
        <w:t xml:space="preserve"> – Confidencialidad de los datos y propiedad intelectual de la metodología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tasador se obliga a mantener absoluta confidencialidad sobre la colecci</w:t>
      </w:r>
      <w:r w:rsidRPr="00423771">
        <w:rPr>
          <w:b/>
          <w:sz w:val="32"/>
          <w:szCs w:val="32"/>
          <w:lang w:val="es-CU"/>
        </w:rPr>
        <w:t>ón, su propietario, las cifras de valoración y cualquier dato interno del proceso. Asimismo, la metodología empleada (incluidos los prompts utilizados, las bases de datos consultadas y los criterios de selección) podrá ser revisada por el contratante a efe</w:t>
      </w:r>
      <w:r w:rsidRPr="00423771">
        <w:rPr>
          <w:b/>
          <w:sz w:val="32"/>
          <w:szCs w:val="32"/>
          <w:lang w:val="es-CU"/>
        </w:rPr>
        <w:t xml:space="preserve">ctos de auditoría, </w:t>
      </w:r>
      <w:r w:rsidRPr="00423771">
        <w:rPr>
          <w:b/>
          <w:sz w:val="32"/>
          <w:szCs w:val="32"/>
          <w:lang w:val="es-CU"/>
        </w:rPr>
        <w:lastRenderedPageBreak/>
        <w:t>sin que ello suponga cesión de propiedad intelectual sobre el software utilizado, pero sí sobre el criterio aplicado.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8F19A4">
        <w:rPr>
          <w:b/>
          <w:sz w:val="32"/>
          <w:szCs w:val="32"/>
          <w:u w:val="single"/>
          <w:lang w:val="es-CU"/>
        </w:rPr>
        <w:t>Cláusula Décima</w:t>
      </w:r>
      <w:r w:rsidRPr="00423771">
        <w:rPr>
          <w:b/>
          <w:sz w:val="32"/>
          <w:szCs w:val="32"/>
          <w:lang w:val="es-CU"/>
        </w:rPr>
        <w:t xml:space="preserve"> – Aceptación y consecuencias del incumplimiento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El contratante podrá requerir al tasador, en cua</w:t>
      </w:r>
      <w:r w:rsidRPr="00423771">
        <w:rPr>
          <w:b/>
          <w:sz w:val="32"/>
          <w:szCs w:val="32"/>
          <w:lang w:val="es-CU"/>
        </w:rPr>
        <w:t xml:space="preserve">lquier momento antes de la entrega del informe definitivo, una demostración del cumplimiento de las presentes cláusulas. </w:t>
      </w:r>
      <w:r w:rsidRPr="008F19A4">
        <w:rPr>
          <w:b/>
          <w:sz w:val="32"/>
          <w:szCs w:val="32"/>
          <w:highlight w:val="cyan"/>
          <w:lang w:val="es-CU"/>
        </w:rPr>
        <w:t xml:space="preserve">En caso de que el informe final no cumpla con uno o más de los requisitos establecidos en las Cláusulas Segunda a Octava, se entenderá </w:t>
      </w:r>
      <w:r w:rsidRPr="008F19A4">
        <w:rPr>
          <w:b/>
          <w:sz w:val="32"/>
          <w:szCs w:val="32"/>
          <w:highlight w:val="cyan"/>
          <w:lang w:val="es-CU"/>
        </w:rPr>
        <w:t>que el servicio no ha sido prestado conforme a lo pactado, pudiendo el contratante</w:t>
      </w:r>
      <w:r w:rsidRPr="00423771">
        <w:rPr>
          <w:b/>
          <w:sz w:val="32"/>
          <w:szCs w:val="32"/>
          <w:lang w:val="es-CU"/>
        </w:rPr>
        <w:t>: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Rechazar el informe sin penalización.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· Exigir la corrección total del mismo en un plazo no superior a 15 días hábiles.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· En caso de no corrección, resolver el contrato </w:t>
      </w:r>
      <w:r w:rsidRPr="00423771">
        <w:rPr>
          <w:b/>
          <w:sz w:val="32"/>
          <w:szCs w:val="32"/>
          <w:lang w:val="es-CU"/>
        </w:rPr>
        <w:t>con devolución íntegra de las cantidades abonadas.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Firma y aceptación del tasador:</w:t>
      </w:r>
      <w:bookmarkStart w:id="0" w:name="_GoBack"/>
      <w:bookmarkEnd w:id="0"/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Declaro haber leído y aceptado las presentes cláusulas técnicas, comprometiéndome a cumplirlas en su totalidad.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Firma: ____________________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 xml:space="preserve">Fecha: </w:t>
      </w:r>
      <w:r w:rsidRPr="00423771">
        <w:rPr>
          <w:b/>
          <w:sz w:val="32"/>
          <w:szCs w:val="32"/>
          <w:lang w:val="es-CU"/>
        </w:rPr>
        <w:t>____________________</w:t>
      </w: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Número de colegiado o acreditación profesional: ____________________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---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Recomendación final: Si el tasador se niega a firmar estas cláusulas o intenta diluir su contenido, eso le dará una señal muy clara de que no está ante el profe</w:t>
      </w:r>
      <w:r w:rsidRPr="00423771">
        <w:rPr>
          <w:b/>
          <w:sz w:val="32"/>
          <w:szCs w:val="32"/>
          <w:lang w:val="es-CU"/>
        </w:rPr>
        <w:t>sional adecuado. Un buen tasador, confiado en su método, no tendrá problema en suscribirlas.</w:t>
      </w:r>
    </w:p>
    <w:p w:rsidR="00351A91" w:rsidRPr="00423771" w:rsidRDefault="00351A91" w:rsidP="0045402A">
      <w:pPr>
        <w:jc w:val="both"/>
        <w:rPr>
          <w:b/>
          <w:sz w:val="32"/>
          <w:szCs w:val="32"/>
          <w:lang w:val="es-CU"/>
        </w:rPr>
      </w:pPr>
    </w:p>
    <w:p w:rsidR="00351A91" w:rsidRPr="00423771" w:rsidRDefault="002F3B04" w:rsidP="0045402A">
      <w:pPr>
        <w:jc w:val="both"/>
        <w:rPr>
          <w:b/>
          <w:sz w:val="32"/>
          <w:szCs w:val="32"/>
          <w:lang w:val="es-CU"/>
        </w:rPr>
      </w:pPr>
      <w:r w:rsidRPr="00423771">
        <w:rPr>
          <w:b/>
          <w:sz w:val="32"/>
          <w:szCs w:val="32"/>
          <w:lang w:val="es-CU"/>
        </w:rPr>
        <w:t>¿Necesita que redacte también una carta de presentación para acompañar estas cláusulas, o que le ayude a identificar qué acreditaciones profesionales (ASA, ISA, R</w:t>
      </w:r>
      <w:r w:rsidRPr="00423771">
        <w:rPr>
          <w:b/>
          <w:sz w:val="32"/>
          <w:szCs w:val="32"/>
          <w:lang w:val="es-CU"/>
        </w:rPr>
        <w:t>ICS) son más recomendables para este perfil de tasador?</w:t>
      </w:r>
    </w:p>
    <w:sectPr w:rsidR="00351A91" w:rsidRPr="0042377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B04" w:rsidRDefault="002F3B04" w:rsidP="0019369D">
      <w:pPr>
        <w:spacing w:after="0" w:line="240" w:lineRule="auto"/>
      </w:pPr>
      <w:r>
        <w:separator/>
      </w:r>
    </w:p>
  </w:endnote>
  <w:endnote w:type="continuationSeparator" w:id="0">
    <w:p w:rsidR="002F3B04" w:rsidRDefault="002F3B04" w:rsidP="00193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7472168"/>
      <w:docPartObj>
        <w:docPartGallery w:val="Page Numbers (Bottom of Page)"/>
        <w:docPartUnique/>
      </w:docPartObj>
    </w:sdtPr>
    <w:sdtContent>
      <w:p w:rsidR="0019369D" w:rsidRDefault="0019369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19A4" w:rsidRPr="008F19A4">
          <w:rPr>
            <w:noProof/>
            <w:lang w:val="es-ES"/>
          </w:rPr>
          <w:t>8</w:t>
        </w:r>
        <w:r>
          <w:fldChar w:fldCharType="end"/>
        </w:r>
      </w:p>
    </w:sdtContent>
  </w:sdt>
  <w:p w:rsidR="0019369D" w:rsidRDefault="001936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B04" w:rsidRDefault="002F3B04" w:rsidP="0019369D">
      <w:pPr>
        <w:spacing w:after="0" w:line="240" w:lineRule="auto"/>
      </w:pPr>
      <w:r>
        <w:separator/>
      </w:r>
    </w:p>
  </w:footnote>
  <w:footnote w:type="continuationSeparator" w:id="0">
    <w:p w:rsidR="002F3B04" w:rsidRDefault="002F3B04" w:rsidP="00193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F1A"/>
    <w:multiLevelType w:val="hybridMultilevel"/>
    <w:tmpl w:val="05BAF87E"/>
    <w:lvl w:ilvl="0" w:tplc="E64CB34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A56C1"/>
    <w:multiLevelType w:val="hybridMultilevel"/>
    <w:tmpl w:val="8A0EAC8E"/>
    <w:lvl w:ilvl="0" w:tplc="AAC6F56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F22B1"/>
    <w:multiLevelType w:val="hybridMultilevel"/>
    <w:tmpl w:val="8EB8CD5C"/>
    <w:lvl w:ilvl="0" w:tplc="F38CD49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A91"/>
    <w:rsid w:val="0019369D"/>
    <w:rsid w:val="002F3B04"/>
    <w:rsid w:val="00351A91"/>
    <w:rsid w:val="00423771"/>
    <w:rsid w:val="0045402A"/>
    <w:rsid w:val="008F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2E1C2"/>
  <w15:docId w15:val="{A18B7FA8-E980-4E32-B543-E55EFCE8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40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36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69D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1936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69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SM-A156M</dc:creator>
  <cp:lastModifiedBy>Almeida</cp:lastModifiedBy>
  <cp:revision>6</cp:revision>
  <dcterms:created xsi:type="dcterms:W3CDTF">2026-09-06T12:28:00Z</dcterms:created>
  <dcterms:modified xsi:type="dcterms:W3CDTF">2026-09-06T12:47:00Z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efd35d946e884c918ca1d6943d6938a5</vt:lpwstr>
  </property>
</Properties>
</file>