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Quality-Driven Development (QDD)</w:t>
      </w:r>
    </w:p>
    <w:p>
      <w:pPr>
        <w:jc w:val="center"/>
      </w:pPr>
      <w:r>
        <w:rPr>
          <w:b/>
          <w:sz w:val="28"/>
        </w:rPr>
        <w:t xml:space="preserve">Documentación Oficial del Framework (Agentic Harness)</w:t>
      </w:r>
    </w:p>
    <w:p/>
    <w:p>
      <w:r>
        <w:t xml:space="preserve">Fecha: 19 de Julio, 2026</w:t>
      </w:r>
    </w:p>
    <w:p>
      <w:r>
        <w:t xml:space="preserve">Tipo de Documento: Arquitectura y Gobernanza</w:t>
      </w:r>
    </w:p>
    <w:p>
      <w:r>
        <w:t xml:space="preserve">Institución: Trdago</w:t>
      </w:r>
    </w:p>
    <w:p/>
    <w:p>
      <w:pPr>
        <w:pStyle w:val="Heading1"/>
      </w:pPr>
      <w:r>
        <w:t>Integrantes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Antigravity (Google DeepMind)</w:t>
            </w:r>
          </w:p>
        </w:tc>
        <w:tc>
          <w:tcPr>
            <w:tcW w:type="dxa" w:w="4320"/>
          </w:tcPr>
          <w:p>
            <w:r>
              <w:t xml:space="preserve">IA Residente y Core Maintainer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QDD Architecture Team</w:t>
            </w:r>
          </w:p>
        </w:tc>
        <w:tc>
          <w:tcPr>
            <w:tcW w:type="dxa" w:w="4320"/>
          </w:tcPr>
          <w:p>
            <w:r>
              <w:t xml:space="preserve">Creadores del Framework</w:t>
            </w:r>
          </w:p>
        </w:tc>
      </w:tr>
    </w:tbl>
    <w:p/>
    <w:p>
      <w:r>
        <w:t xml:space="preserve">El QDD Framework se enfoca en proteger el ciclo de vida del software con validaciones estrictas, Zero-Else y un modelo Agentic Harness mediante MCP (Model Context Protocol). A continuación se describe la arquitectura detallada, incluyendo sus capacidades cognitivas para orquestar extensiones mediante el QDD PR Protocol y la compilación auto-evaluada de Core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