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xmlns:w="http://schemas.openxmlformats.org/wordprocessingml/2006/main" ns1:Ignorable="w14 w15 w16se w16cid w16 w16cex w16sdtdh w16sdtfl w16du wp14">
  <w:body>
    <w:p ns2:paraId="03036773" ns2:textId="77777777" w:rsidR="00826B9E" w:rsidRDefault="00826B9E" w:rsidP="00826B9E">
      <w:pPr>
        <w:widowControl w:val="0"/>
        <w:ind w:left="-284" w:right="142"/>
        <w:jc w:val="center"/>
        <w:rPr>
          <w:b/>
          <w:bCs/>
          <w:sz w:val="24"/>
          <w:szCs w:val="24"/>
        </w:rPr>
      </w:pPr>
      <w:r>
        <w:t>Evaluating Pull Requests: An Early Warning Model for Global Open-Source vs. Academic Projects</w:t>
      </w:r>
    </w:p>
    <w:p ns2:paraId="34A44AE5" ns2:textId="77777777" w:rsidR="00826B9E" w:rsidRDefault="00826B9E" w:rsidP="001A183C">
      <w:pPr>
        <w:pStyle w:val="author"/>
        <w:rPr>
          <w:b/>
          <w:lang w:eastAsia="ko-KR"/>
        </w:rPr>
      </w:pPr>
    </w:p>
    <w:p ns2:paraId="1DD9FBCD" ns2:textId="45A26EBB" w:rsidR="00F03A34" w:rsidRPr="001A183C" w:rsidRDefault="00826B9E" w:rsidP="00826B9E">
      <w:pPr>
        <w:pStyle w:val="author"/>
        <w:spacing w:after="0"/>
        <w:ind w:firstLine="230"/>
        <w:rPr>
          <w:b/>
          <w:lang w:eastAsia="ko-KR"/>
        </w:rPr>
      </w:pPr>
      <w:r>
        <w:t>Cao-Cuong Dang</w:t>
      </w:r>
      <w:r w:rsidRPr="007868A8">
        <w:rPr>
          <w:vertAlign w:val="superscript"/>
        </w:rPr>
        <w:t>1</w:t>
      </w:r>
      <w:r>
        <w:t>, The-Viet Dao</w:t>
      </w:r>
      <w:r w:rsidRPr="007868A8">
        <w:rPr>
          <w:vertAlign w:val="superscript"/>
        </w:rPr>
        <w:t>1</w:t>
      </w:r>
      <w:r>
        <w:t>, Duc-Thinh Tran</w:t>
      </w:r>
      <w:r w:rsidRPr="007868A8">
        <w:rPr>
          <w:vertAlign w:val="superscript"/>
        </w:rPr>
        <w:t>1</w:t>
      </w:r>
      <w:r>
        <w:t>, Van-Hieu Dang</w:t>
      </w:r>
      <w:r w:rsidRPr="007868A8">
        <w:rPr>
          <w:vertAlign w:val="superscript"/>
        </w:rPr>
        <w:t>1</w:t>
      </w:r>
      <w:r w:rsidR="007868A8">
        <w:rPr>
          <w:vertAlign w:val="superscript"/>
        </w:rPr>
        <w:t>, *</w:t>
      </w:r>
    </w:p>
    <w:p ns2:paraId="4E9DB253" ns2:textId="77777777" w:rsidR="00F03A34" w:rsidRPr="006E02EE" w:rsidRDefault="001A183C" w:rsidP="00826B9E">
      <w:pPr>
        <w:pStyle w:val="authorinfo"/>
        <w:ind w:firstLine="230"/>
        <w:rPr>
          <w:lang w:eastAsia="ko-KR"/>
        </w:rPr>
      </w:pPr>
      <w:r w:rsidRPr="007868A8">
        <w:rPr>
          <w:vertAlign w:val="superscript"/>
        </w:rPr>
        <w:t>1</w:t>
      </w:r>
      <w:r>
        <w:t>FPT University, Hoa Lac High-Tech Park, Km29 Thang Long Boulevard, Thach That, Hanoi, Vietnam</w:t>
      </w:r>
    </w:p>
    <w:p ns2:paraId="12CF059A" ns2:textId="2A85866B" w:rsidR="000E4EF4" w:rsidRPr="006E02EE" w:rsidRDefault="007868A8" w:rsidP="00826B9E">
      <w:pPr>
        <w:pStyle w:val="authorinfo"/>
        <w:ind w:firstLine="230"/>
        <w:rPr>
          <w:lang w:eastAsia="ko-KR"/>
        </w:rPr>
      </w:pPr>
      <w:r w:rsidRPr="007868A8">
        <w:rPr>
          <w:vertAlign w:val="superscript"/>
        </w:rPr>
        <w:t>*</w:t>
      </w:r>
      <w:r w:rsidR="001A183C">
        <w:t>Corresponding author: hieudv@fpt.edu.vn</w:t>
      </w:r>
    </w:p>
    <w:p ns2:paraId="2B16AA8E" ns2:textId="77777777" w:rsidR="000E4EF4" w:rsidRPr="007F64F3" w:rsidRDefault="009B1D59" w:rsidP="001A183C">
      <w:pPr>
        <w:pStyle w:val="abstract"/>
        <w:rPr>
          <w:lang w:eastAsia="ko-KR"/>
        </w:rPr>
      </w:pPr>
      <w:r>
        <w:t>Abstract. Modern software development relies heavily on the Pull Request (PR) workflow for code integration and quality assurance. However, code review practices and PR characteristics vary significantly across different development environments. This paper presents a comparative analysis of PR review cultures between global open-source software (OSS) projects and academic student projects at FPT University. By analyzing a dataset of 1,771 cleaned PRs, we highlight key behavioral differences in review time, code change sizes, review comments, and rejection rates. Based on these insights, we develop and evaluate an Early Warning System to predict the probability of PR rejection on the FPT academic dataset. To prevent target leakage, post-merge duration features are removed. We compare a multivariate Gaussian Anomaly Detection model, a standard Random Forest Classifier, an Average Voting Ensemble, and a Random Forest Classifier enhanced with SMOTE oversampling. Our findings show that the standard Random Forest Classifier achieves a macro-average F1-score of 66.60% (Precision of 96.93%, Recall of 61.11%). By incorporating SMOTE oversampling, the Random Forest model's macro-average F1-score increases to 68.26% (Recall of 67.34%), demonstrating a better operational balance for predicting overall PR outcomes. The Gaussian Anomaly Detection and Ensemble models prioritize maximum Recall (100.00% on unmerged). We discuss model comparisons, trade-offs, and critical implications for code review in academic settings.</w:t>
      </w:r>
    </w:p>
    <w:p ns2:paraId="1F99D99D" ns2:textId="77777777" w:rsidR="001A183C" w:rsidRPr="001A183C" w:rsidRDefault="000E4EF4" w:rsidP="001A183C">
      <w:pPr>
        <w:pStyle w:val="abstract"/>
        <w:spacing w:before="120"/>
        <w:rPr>
          <w:lang w:eastAsia="ko-KR"/>
        </w:rPr>
      </w:pPr>
      <w:r>
        <w:t>Keywords: Pull Request, Code Review, Early Warning System, Software Quality, Anomaly Detection, Random Forest, Ensemble Learning, Academic Projects</w:t>
      </w:r>
    </w:p>
    <w:p ns2:paraId="6C3E0F35" ns2:textId="77777777" w:rsidR="00E81908" w:rsidRDefault="00000000">
      <w:pPr>
        <w:pStyle w:val="heading10"/>
      </w:pPr>
      <w:r>
        <w:t>1   Introduction</w:t>
      </w:r>
    </w:p>
    <w:p ns2:paraId="23DA66C8" ns2:textId="77777777" w:rsidR="00E81908" w:rsidRDefault="00000000">
      <w:pPr>
        <w:pStyle w:val="p1a"/>
      </w:pPr>
      <w:r>
        <w:t>Modern software engineering is highly collaborative, with platforms like GitHub serving as the standard infrastructure for version control and peer code review. In this ecosystem, the Pull Request (PR) workflow is the cornerstone of quality assurance, allowing developers to propose code changes that are subsequently reviewed, tested, and integrated [1]. Despite its widespread adoption, the execution of the PR workflow is deeply influenced by organizational culture, developers’ experience, and project constraints [5].</w:t>
      </w:r>
    </w:p>
    <w:p ns2:paraId="0CA5CA52" ns2:textId="77777777" w:rsidR="00E81908" w:rsidRDefault="00000000">
      <w:pPr>
        <w:pStyle w:val="p1a"/>
      </w:pPr>
      <w:r>
        <w:t>Specifically, there exists a stark contrast between professional global open-source software (OSS) communities and academic environments (such as university courses). Global OSS projects are characterized by distributed, asynchronous communication, rigorous continuous integration (CI) tests, and strict review standards. In contrast, academic projects—run by students under tight semester deadlines—often exhibit different behavior due to limited experience and the pressure of immediate course evaluations.</w:t>
      </w:r>
    </w:p>
    <w:p ns2:paraId="4F4F6017" ns2:textId="77777777" w:rsidR="00E81908" w:rsidRDefault="00000000">
      <w:pPr>
        <w:pStyle w:val="p1a"/>
      </w:pPr>
      <w:r>
        <w:t>Understanding these differences is crucial for two main reasons. First, it helps educators identify common anti-patterns in students’ Git workflows, enabling them to align academic training with industry standards. Second, it allows the creation of automated assistance systems to optimize the code review process.</w:t>
      </w:r>
    </w:p>
    <w:p ns2:paraId="332623F4" ns2:textId="77777777" w:rsidR="00E81908" w:rsidRDefault="00000000">
      <w:pPr>
        <w:pStyle w:val="p1a"/>
      </w:pPr>
      <w:r>
        <w:t>Additionally, we propose an Early Warning System utilizing a multivariate Gaussian Anomaly Detection model, a supervised Random Forest Classifier, an Average Voting Ensemble, and a Random Forest Classifier with SMOTE oversampling to predict PR rejection risks based on pre-merge metrics, assisting reviewers in prioritizing high-risk changes.</w:t>
      </w:r>
    </w:p>
    <w:p ns2:paraId="593E1A0F" ns2:textId="77777777" w:rsidR="00E81908" w:rsidRDefault="00000000">
      <w:pPr>
        <w:pStyle w:val="p1a"/>
      </w:pPr>
      <w:r>
        <w:t>The rest of this paper is organized as follows: Section II discusses the related work. Section III outlines our data collection methodology and statistical comparative findings. Section IV describes the development and evaluation of our Early Warning Models. Section V discusses the results, model trade-offs, and critical data leakage limitations. Section VI summarizes our findings and proposes future research directions.</w:t>
      </w:r>
    </w:p>
    <w:p ns2:paraId="3E7AAA29" ns2:textId="77777777" w:rsidR="00E81908" w:rsidRDefault="00000000">
      <w:pPr>
        <w:pStyle w:val="heading10"/>
      </w:pPr>
      <w:r>
        <w:t>2   Literature Review</w:t>
      </w:r>
    </w:p>
    <w:p ns2:paraId="02DEB247" ns2:textId="77777777" w:rsidR="00E81908" w:rsidRDefault="00000000">
      <w:pPr>
        <w:pStyle w:val="p1a"/>
      </w:pPr>
      <w:r>
        <w:t>Collaborative software development relies extensively on peer code reviews, a practice pioneered and popularized in open-source software (OSS) communities and subsequently adopted across the industry [2]. Extensive research has examined code review workflows on platforms like GitHub. Studies show that code reviews not only improve code quality but also foster knowledge sharing within development teams [4].</w:t>
      </w:r>
    </w:p>
    <w:p ns2:paraId="3469F6EE" ns2:textId="77777777" w:rsidR="00E81908" w:rsidRDefault="00000000">
      <w:pPr>
        <w:pStyle w:val="p1a"/>
      </w:pPr>
      <w:r>
        <w:t>However, the majority of literature focuses on professional settings or large-scale global OSS projects. Academic software development practices—specifically those in university courses—remain understudied. In university environments, students often face constraints such as immediate deadlines and lack of professional experience, which lead to distinct development behaviors. Understanding the gap between academic code review practices and industry standards is key to improving computer science pedagogy.</w:t>
      </w:r>
    </w:p>
    <w:p ns2:paraId="6032D796" ns2:textId="77777777" w:rsidR="00E81908" w:rsidRDefault="00000000">
      <w:pPr>
        <w:pStyle w:val="p1a"/>
      </w:pPr>
      <w:r>
        <w:t xml:space="preserve">Furthermore, automated tools to evaluate Pull Request (PR) quality and predict integration risks are gaining traction. Predictive models have been built to estimate review time or the likelihood of a PR being merged [3]. However, many of these models utilize complex machine learning pipelines that are difficult to interpret. In this paper, we propose and compare highly interpretable models, including Gaussian Anomaly Detection and Random Forest, to serve as an early warning system, using </w:t>
      </w:r>
      <w:r>
        <w:lastRenderedPageBreak/>
        <w:t>basic pre-merge characteristics of PRs to predict rejection risks, which is suitable for both student training and developer assistance.</w:t>
      </w:r>
    </w:p>
    <w:p ns2:paraId="19857F25" ns2:textId="77777777" w:rsidR="00E81908" w:rsidRDefault="00000000">
      <w:pPr>
        <w:pStyle w:val="heading10"/>
      </w:pPr>
      <w:r>
        <w:t>3   Methodology and Comparative Analysis</w:t>
      </w:r>
    </w:p>
    <w:p ns2:paraId="316B6644" ns2:textId="77777777" w:rsidR="00E81908" w:rsidRDefault="00000000">
      <w:pPr>
        <w:pStyle w:val="p1a"/>
      </w:pPr>
      <w:r>
        <w:t>In this section, we describe our data collection methodology, database storage schema, data cleaning pipeline, and present a comparative analysis of PR characteristics between global OSS projects and academic student projects at FPT University.</w:t>
      </w:r>
    </w:p>
    <w:p ns2:paraId="003EFE8C" ns2:textId="77777777" w:rsidR="00E81908" w:rsidRDefault="00000000">
      <w:pPr>
        <w:pStyle w:val="heading20"/>
      </w:pPr>
      <w:r>
        <w:t>3.1   Data Collection and Storage Schema</w:t>
      </w:r>
    </w:p>
    <w:p ns2:paraId="0BB7EB0C" ns2:textId="77777777" w:rsidR="00E81908" w:rsidRDefault="00000000">
      <w:pPr>
        <w:pStyle w:val="p1a"/>
      </w:pPr>
      <w:r>
        <w:t>We developed Python scripts utilizing the GitHub REST API to collect PR data. The raw dataset consists of two groups:</w:t>
      </w:r>
    </w:p>
    <w:p ns2:paraId="29C0E8F4" ns2:textId="77777777" w:rsidR="00E81908" w:rsidRDefault="00000000">
      <w:pPr>
        <w:pStyle w:val="p1a"/>
      </w:pPr>
      <w:r>
        <w:rPr>
          <w:rFonts w:ascii="Times New Roman" w:hAnsi="Times New Roman"/>
          <w:b/>
        </w:rPr>
        <w:t>•</w:t>
      </w:r>
      <w:r>
        <w:t xml:space="preserve"> Global OSS Dataset: 1,000 randomly sampled PRs from popular open-source repositories on GitHub.</w:t>
      </w:r>
    </w:p>
    <w:p ns2:paraId="68B5A654" ns2:textId="77777777" w:rsidR="00E81908" w:rsidRDefault="00000000">
      <w:pPr>
        <w:pStyle w:val="p1a"/>
      </w:pPr>
      <w:r>
        <w:rPr>
          <w:rFonts w:ascii="Times New Roman" w:hAnsi="Times New Roman"/>
          <w:b/>
        </w:rPr>
        <w:t>•</w:t>
      </w:r>
      <w:r>
        <w:t xml:space="preserve"> FPT Academic Dataset: 1,000 randomly sampled PRs from student repositories at FPT University, primarily from courses such as SWP391 (Software Development Project) and Capstone Projects.</w:t>
      </w:r>
    </w:p>
    <w:p ns2:paraId="1BBAE356" ns2:textId="77777777" w:rsidR="00E81908" w:rsidRDefault="00000000">
      <w:pPr>
        <w:pStyle w:val="p1a"/>
      </w:pPr>
      <w:r>
        <w:t>To store and query the collected data efficiently while avoiding data redundancy, we designed a relational SQLite database structure comprising two main entities: repositories and pull_requests, linked via a one-to-many relationship. The schema consists of:</w:t>
      </w:r>
    </w:p>
    <w:p ns2:paraId="6BB00AF1" ns2:textId="77777777" w:rsidR="00E81908" w:rsidRDefault="00000000">
      <w:pPr>
        <w:pStyle w:val="p1a"/>
      </w:pPr>
      <w:r>
        <w:rPr>
          <w:rFonts w:ascii="Times New Roman" w:hAnsi="Times New Roman"/>
          <w:b/>
        </w:rPr>
        <w:t>•</w:t>
      </w:r>
      <w:r>
        <w:t xml:space="preserve"> repositories: Stores repo metadata, including repo_name (unique key), repo_language, repo_stars, and repo_forks.</w:t>
      </w:r>
    </w:p>
    <w:p ns2:paraId="5BA0C24D" ns2:textId="77777777" w:rsidR="00E81908" w:rsidRDefault="00000000">
      <w:pPr>
        <w:pStyle w:val="p1a"/>
      </w:pPr>
      <w:r>
        <w:rPr>
          <w:rFonts w:ascii="Times New Roman" w:hAnsi="Times New Roman"/>
          <w:b/>
        </w:rPr>
        <w:t>•</w:t>
      </w:r>
      <w:r>
        <w:t xml:space="preserve"> pull_requests: Stores PR metrics, including pr_id (primary key), repo_id (foreign key), pr_number, title, body_len, user_login, user_type, created_at, closed_at, merged_at, duration_minutes, comments, review_comments, commits, additions, deletions, changed_files, is_fpt, and search query keyword.</w:t>
      </w:r>
    </w:p>
    <w:p ns2:paraId="414ADC77" ns2:textId="77777777" w:rsidR="00E81908" w:rsidRDefault="00000000">
      <w:pPr>
        <w:pStyle w:val="p1a"/>
      </w:pPr>
      <w:r>
        <w:t>We implemented a database view named view_pr_clean to standardize datetime formats, compute duration in hours, and define the binary target variable is_merged (1 if merged_at is not null, indicating a successful merge, and 0 if null, indicating a rejected or closed PR).</w:t>
      </w:r>
    </w:p>
    <w:p ns2:paraId="6FF8888F" ns2:textId="77777777" w:rsidR="00E81908" w:rsidRDefault="00000000">
      <w:pPr>
        <w:jc w:val="center"/>
      </w:pPr>
      <w:r>
        <w:rPr>
          <w:noProof/>
        </w:rPr>
        <w:drawing>
          <ns3:inline distT="0" distB="0" distL="0" distR="0" ns4:anchorId="5A98F77C" ns4:editId="395B2B03">
            <ns3:extent cx="4572000" cy="2413074"/>
            <ns3:effectExtent l="0" t="0" r="0" b="0"/>
            <ns3:docPr id="1" name="Picture 1"/>
            <ns3:cNvGraphicFramePr>
              <ns5:graphicFrameLocks noChangeAspect="1"/>
            </ns3:cNvGraphicFramePr>
            <ns5:graphic>
              <ns5:graphicData uri="http://schemas.openxmlformats.org/drawingml/2006/picture">
                <ns6:pic>
                  <ns6:nvPicPr>
                    <ns6:cNvPr id="0" name="image.png"/>
                    <ns6:cNvPicPr/>
                  </ns6:nvPicPr>
                  <ns6:blipFill>
                    <ns5:blip ns7:embed="rId7"/>
                    <ns5:stretch>
                      <ns5:fillRect/>
                    </ns5:stretch>
                  </ns6:blipFill>
                  <ns6:spPr>
                    <ns5:xfrm>
                      <ns5:off x="0" y="0"/>
                      <ns5:ext cx="4572000" cy="2413074"/>
                    </ns5:xfrm>
                    <ns5:prstGeom prst="rect">
                      <ns5:avLst/>
                    </ns5:prstGeom>
                  </ns6:spPr>
                </ns6:pic>
              </ns5:graphicData>
            </ns5:graphic>
          </ns3:inline>
        </w:drawing>
      </w:r>
    </w:p>
    <w:p ns2:paraId="2C9BD328" ns2:textId="77777777" w:rsidR="00E81908" w:rsidRDefault="00000000">
      <w:pPr>
        <w:spacing w:after="240"/>
        <w:jc w:val="center"/>
      </w:pPr>
      <w:r>
        <w:t>Fig. 1. Logical database schema and entities relationships.</w:t>
      </w:r>
    </w:p>
    <w:p ns2:paraId="71006D16" ns2:textId="77777777" w:rsidR="00E81908" w:rsidRDefault="00000000">
      <w:pPr>
        <w:pStyle w:val="heading20"/>
      </w:pPr>
      <w:r>
        <w:t>3.2   Data Preprocessing and Outliers Removal</w:t>
      </w:r>
    </w:p>
    <w:p ns2:paraId="3865D0BD" ns2:textId="77777777" w:rsidR="00E81908" w:rsidRDefault="00000000">
      <w:pPr>
        <w:pStyle w:val="p1a"/>
      </w:pPr>
      <w:r>
        <w:t>A critical step in the data pipeline is removing extreme outliers. In software development, metrics like additions, deletions, commits, and changed files follow a heavily right-skewed power-law distribution. Large PRs (e.g., automated code changes or importing massive external libraries) do not represent typical human programming behavior and can bias machine learning models. We established strict thresholds based on domain knowledge:</w:t>
      </w:r>
    </w:p>
    <w:p ns2:paraId="3505C44B" ns2:textId="77777777" w:rsidR="00E81908" w:rsidRDefault="00000000">
      <w:pPr>
        <w:pStyle w:val="p1a"/>
      </w:pPr>
      <w:r>
        <w:rPr>
          <w:rFonts w:ascii="Times New Roman" w:hAnsi="Times New Roman"/>
          <w:b/>
        </w:rPr>
        <w:t>•</w:t>
      </w:r>
      <w:r>
        <w:t xml:space="preserve"> additions ≤ 5,000 lines of code</w:t>
      </w:r>
    </w:p>
    <w:p ns2:paraId="39483EB9" ns2:textId="77777777" w:rsidR="00E81908" w:rsidRDefault="00000000">
      <w:pPr>
        <w:pStyle w:val="p1a"/>
      </w:pPr>
      <w:r>
        <w:rPr>
          <w:rFonts w:ascii="Times New Roman" w:hAnsi="Times New Roman"/>
          <w:b/>
        </w:rPr>
        <w:t>•</w:t>
      </w:r>
      <w:r>
        <w:t xml:space="preserve"> deletions ≤ 5,000 lines of code</w:t>
      </w:r>
    </w:p>
    <w:p ns2:paraId="239B1201" ns2:textId="77777777" w:rsidR="00E81908" w:rsidRDefault="00000000">
      <w:pPr>
        <w:pStyle w:val="p1a"/>
      </w:pPr>
      <w:r>
        <w:rPr>
          <w:rFonts w:ascii="Times New Roman" w:hAnsi="Times New Roman"/>
          <w:b/>
        </w:rPr>
        <w:t>•</w:t>
      </w:r>
      <w:r>
        <w:t xml:space="preserve"> changed files ≤ 50 files</w:t>
      </w:r>
    </w:p>
    <w:p ns2:paraId="0F0E7F31" ns2:textId="77777777" w:rsidR="00E81908" w:rsidRDefault="00000000">
      <w:pPr>
        <w:pStyle w:val="p1a"/>
      </w:pPr>
      <w:r>
        <w:rPr>
          <w:rFonts w:ascii="Times New Roman" w:hAnsi="Times New Roman"/>
          <w:b/>
        </w:rPr>
        <w:t>•</w:t>
      </w:r>
      <w:r>
        <w:t xml:space="preserve"> commits ≤ 50 commits</w:t>
      </w:r>
    </w:p>
    <w:p ns2:paraId="3A323193" ns2:textId="77777777" w:rsidR="00E81908" w:rsidRDefault="00000000">
      <w:pPr>
        <w:pStyle w:val="p1a"/>
      </w:pPr>
      <w:r>
        <w:t>Applying these filters resulted in a cleaned dataset of 1,771 PRs (929 Global OSS and 842 FPT Academic), removing 10.60% of the raw data. Interestingly, the outliers removal rate was much higher for the FPT student dataset (15.80% of FPT samples removed) compared to the Global dataset (only 5.30% of Global samples removed). This quantitatively highlights the lack of structured Git practices among students, who frequently commit massive, unstructured blocks of code rather than modular, incremental changes.</w:t>
      </w:r>
    </w:p>
    <w:p ns2:paraId="32A4A5C7" ns2:textId="77777777" w:rsidR="00E81908" w:rsidRDefault="00000000">
      <w:pPr>
        <w:pStyle w:val="heading20"/>
      </w:pPr>
      <w:r>
        <w:lastRenderedPageBreak/>
        <w:t>3.3   Comparative Analysis</w:t>
      </w:r>
    </w:p>
    <w:p ns2:paraId="717880CE" ns2:textId="77777777" w:rsidR="00E81908" w:rsidRDefault="00000000">
      <w:pPr>
        <w:pStyle w:val="p1a"/>
      </w:pPr>
      <w:r>
        <w:t>We conducted statistical comparisons based on four primary aspects of the PR lifecycle:</w:t>
      </w:r>
    </w:p>
    <w:p ns2:paraId="36F263E9" ns2:textId="77777777" w:rsidR="00E81908" w:rsidRDefault="00000000">
      <w:pPr>
        <w:pStyle w:val="p1a"/>
      </w:pPr>
      <w:r>
        <w:rPr>
          <w:rFonts w:ascii="Times New Roman" w:hAnsi="Times New Roman"/>
          <w:b/>
        </w:rPr>
        <w:t>1) Pull Request Lifecycle:</w:t>
      </w:r>
      <w:r>
        <w:t xml:space="preserve"> The median lifetime (from creation to merge/close) of student PRs is significantly lower than that of global OSS projects. Under the pressure of short academic course deadlines, students exhibit a tendency to rush approvals, merging PRs quickly. Conversely, global OSS projects undergo extensive asynchronous reviews and automatic checks, leading to longer lifespans.</w:t>
      </w:r>
    </w:p>
    <w:p ns2:paraId="0BEFABE7" ns2:textId="77777777" w:rsidR="00E81908" w:rsidRDefault="00000000">
      <w:pPr>
        <w:jc w:val="center"/>
      </w:pPr>
      <w:r>
        <w:rPr>
          <w:noProof/>
        </w:rPr>
        <w:drawing>
          <ns3:inline distT="0" distB="0" distL="0" distR="0" ns4:anchorId="798DD932" ns4:editId="51D23B77">
            <ns3:extent cx="4572000" cy="3664943"/>
            <ns3:effectExtent l="0" t="0" r="0" b="0"/>
            <ns3:docPr id="2" name="Picture 2"/>
            <ns3:cNvGraphicFramePr>
              <ns5:graphicFrameLocks noChangeAspect="1"/>
            </ns3:cNvGraphicFramePr>
            <ns5:graphic>
              <ns5:graphicData uri="http://schemas.openxmlformats.org/drawingml/2006/picture">
                <ns6:pic>
                  <ns6:nvPicPr>
                    <ns6:cNvPr id="0" name="image.png"/>
                    <ns6:cNvPicPr/>
                  </ns6:nvPicPr>
                  <ns6:blipFill>
                    <ns5:blip ns7:embed="rId8"/>
                    <ns5:stretch>
                      <ns5:fillRect/>
                    </ns5:stretch>
                  </ns6:blipFill>
                  <ns6:spPr>
                    <ns5:xfrm>
                      <ns5:off x="0" y="0"/>
                      <ns5:ext cx="4572000" cy="3664943"/>
                    </ns5:xfrm>
                    <ns5:prstGeom prst="rect">
                      <ns5:avLst/>
                    </ns5:prstGeom>
                  </ns6:spPr>
                </ns6:pic>
              </ns5:graphicData>
            </ns5:graphic>
          </ns3:inline>
        </w:drawing>
      </w:r>
    </w:p>
    <w:p ns2:paraId="04A2709F" ns2:textId="77777777" w:rsidR="00E81908" w:rsidRDefault="00000000">
      <w:pPr>
        <w:spacing w:after="240"/>
        <w:jc w:val="center"/>
      </w:pPr>
      <w:r>
        <w:t>Fig. 2. Pull Request Lifecycle Comparison (Global OSS vs. FPT Student Projects).</w:t>
      </w:r>
    </w:p>
    <w:p ns2:paraId="66C743F9" ns2:textId="77777777" w:rsidR="00E81908" w:rsidRDefault="00000000">
      <w:pPr>
        <w:pStyle w:val="p1a"/>
      </w:pPr>
      <w:r>
        <w:rPr>
          <w:rFonts w:ascii="Times New Roman" w:hAnsi="Times New Roman"/>
          <w:b/>
        </w:rPr>
        <w:t>2) Rejection and Revert Rates:</w:t>
      </w:r>
      <w:r>
        <w:t xml:space="preserve"> The rejection rate in the FPT student dataset is approximately 9.00%, which is higher than the 6.22% observed in the global OSS dataset. Detailed examination reveals that students often treat GitHub as a remote backup. When facing merge conflicts or uploading to the wrong branch, they tend to close the current PR and open a new one rather than resolving conflicts inline.</w:t>
      </w:r>
    </w:p>
    <w:p ns2:paraId="05879ADA" ns2:textId="77777777" w:rsidR="00E81908" w:rsidRDefault="00000000">
      <w:pPr>
        <w:jc w:val="center"/>
      </w:pPr>
      <w:r>
        <w:rPr>
          <w:noProof/>
        </w:rPr>
        <w:drawing>
          <ns3:inline distT="0" distB="0" distL="0" distR="0" ns4:anchorId="09401814" ns4:editId="7AE8748E">
            <ns3:extent cx="4572000" cy="3643274"/>
            <ns3:effectExtent l="0" t="0" r="0" b="0"/>
            <ns3:docPr id="3" name="Picture 3"/>
            <ns3:cNvGraphicFramePr>
              <ns5:graphicFrameLocks noChangeAspect="1"/>
            </ns3:cNvGraphicFramePr>
            <ns5:graphic>
              <ns5:graphicData uri="http://schemas.openxmlformats.org/drawingml/2006/picture">
                <ns6:pic>
                  <ns6:nvPicPr>
                    <ns6:cNvPr id="0" name="image.png"/>
                    <ns6:cNvPicPr/>
                  </ns6:nvPicPr>
                  <ns6:blipFill>
                    <ns5:blip ns7:embed="rId9"/>
                    <ns5:stretch>
                      <ns5:fillRect/>
                    </ns5:stretch>
                  </ns6:blipFill>
                  <ns6:spPr>
                    <ns5:xfrm>
                      <ns5:off x="0" y="0"/>
                      <ns5:ext cx="4572000" cy="3643274"/>
                    </ns5:xfrm>
                    <ns5:prstGeom prst="rect">
                      <ns5:avLst/>
                    </ns5:prstGeom>
                  </ns6:spPr>
                </ns6:pic>
              </ns5:graphicData>
            </ns5:graphic>
          </ns3:inline>
        </w:drawing>
      </w:r>
    </w:p>
    <w:p ns2:paraId="3E4C462E" ns2:textId="77777777" w:rsidR="00E81908" w:rsidRDefault="00000000">
      <w:pPr>
        <w:spacing w:after="240"/>
        <w:jc w:val="center"/>
      </w:pPr>
      <w:r>
        <w:t>Fig. 3. Rejection Rates and Failure Patterns (Global OSS vs. FPT Student Projects).</w:t>
      </w:r>
    </w:p>
    <w:p ns2:paraId="0F2D3A44" ns2:textId="77777777" w:rsidR="00E81908" w:rsidRDefault="00000000">
      <w:pPr>
        <w:pStyle w:val="p1a"/>
      </w:pPr>
      <w:r>
        <w:rPr>
          <w:rFonts w:ascii="Times New Roman" w:hAnsi="Times New Roman"/>
          <w:b/>
        </w:rPr>
        <w:lastRenderedPageBreak/>
        <w:t>3) Code Change Sizes:</w:t>
      </w:r>
      <w:r>
        <w:t xml:space="preserve"> Global OSS developers generally adhere to the "Atomic PR" principle, proposing small, focused changes. Conversely, student PRs are often large and disorganized, modifying many unrelated files simultaneously. This is due to the student habit of committing all weekly work in a single large PR.</w:t>
      </w:r>
    </w:p>
    <w:p ns2:paraId="5520F73A" ns2:textId="77777777" w:rsidR="00E81908" w:rsidRDefault="00000000">
      <w:pPr>
        <w:jc w:val="center"/>
      </w:pPr>
      <w:r>
        <w:rPr>
          <w:noProof/>
        </w:rPr>
        <w:drawing>
          <ns3:inline distT="0" distB="0" distL="0" distR="0" ns4:anchorId="42CC5BC1" ns4:editId="34E8D1CE">
            <ns3:extent cx="4572000" cy="3711081"/>
            <ns3:effectExtent l="0" t="0" r="0" b="0"/>
            <ns3:docPr id="4" name="Picture 4"/>
            <ns3:cNvGraphicFramePr>
              <ns5:graphicFrameLocks noChangeAspect="1"/>
            </ns3:cNvGraphicFramePr>
            <ns5:graphic>
              <ns5:graphicData uri="http://schemas.openxmlformats.org/drawingml/2006/picture">
                <ns6:pic>
                  <ns6:nvPicPr>
                    <ns6:cNvPr id="0" name="image.png"/>
                    <ns6:cNvPicPr/>
                  </ns6:nvPicPr>
                  <ns6:blipFill>
                    <ns5:blip ns7:embed="rId10"/>
                    <ns5:stretch>
                      <ns5:fillRect/>
                    </ns5:stretch>
                  </ns6:blipFill>
                  <ns6:spPr>
                    <ns5:xfrm>
                      <ns5:off x="0" y="0"/>
                      <ns5:ext cx="4572000" cy="3711081"/>
                    </ns5:xfrm>
                    <ns5:prstGeom prst="rect">
                      <ns5:avLst/>
                    </ns5:prstGeom>
                  </ns6:spPr>
                </ns6:pic>
              </ns5:graphicData>
            </ns5:graphic>
          </ns3:inline>
        </w:drawing>
      </w:r>
    </w:p>
    <w:p ns2:paraId="6CB95292" ns2:textId="77777777" w:rsidR="00E81908" w:rsidRDefault="00000000">
      <w:pPr>
        <w:spacing w:after="240"/>
        <w:jc w:val="center"/>
      </w:pPr>
      <w:r>
        <w:t>Fig. 4. Distribution of Code Change Sizes and affected files per PR.</w:t>
      </w:r>
    </w:p>
    <w:p ns2:paraId="1CA19776" ns2:textId="77777777" w:rsidR="00E81908" w:rsidRDefault="00000000">
      <w:pPr>
        <w:pStyle w:val="p1a"/>
      </w:pPr>
      <w:r>
        <w:rPr>
          <w:rFonts w:ascii="Times New Roman" w:hAnsi="Times New Roman"/>
          <w:b/>
        </w:rPr>
        <w:t>4) Review Culture:</w:t>
      </w:r>
      <w:r>
        <w:t xml:space="preserve"> We observed a lack of asynchronous code review comments on GitHub in the student repositories. The average comment count per PR in the student dataset is near zero. FPT students typically communicate via synchronous channels (face-to-face discussions or instant messaging apps) and approve PRs without logging code-level feedback on GitHub. Global OSS projects, by contrast, exhibit rich discussion threads on GitHub due to geographical and time-zone differences.</w:t>
      </w:r>
    </w:p>
    <w:p ns2:paraId="7E3C5D69" ns2:textId="77777777" w:rsidR="00E81908" w:rsidRDefault="00000000">
      <w:pPr>
        <w:jc w:val="center"/>
      </w:pPr>
      <w:r>
        <w:rPr>
          <w:noProof/>
        </w:rPr>
        <w:drawing>
          <ns3:inline distT="0" distB="0" distL="0" distR="0" ns4:anchorId="62C5ABBE" ns4:editId="545A850B">
            <ns3:extent cx="4572000" cy="3331337"/>
            <ns3:effectExtent l="0" t="0" r="0" b="0"/>
            <ns3:docPr id="5" name="Picture 5"/>
            <ns3:cNvGraphicFramePr>
              <ns5:graphicFrameLocks noChangeAspect="1"/>
            </ns3:cNvGraphicFramePr>
            <ns5:graphic>
              <ns5:graphicData uri="http://schemas.openxmlformats.org/drawingml/2006/picture">
                <ns6:pic>
                  <ns6:nvPicPr>
                    <ns6:cNvPr id="0" name="image.png"/>
                    <ns6:cNvPicPr/>
                  </ns6:nvPicPr>
                  <ns6:blipFill>
                    <ns5:blip ns7:embed="rId11"/>
                    <ns5:stretch>
                      <ns5:fillRect/>
                    </ns5:stretch>
                  </ns6:blipFill>
                  <ns6:spPr>
                    <ns5:xfrm>
                      <ns5:off x="0" y="0"/>
                      <ns5:ext cx="4572000" cy="3331337"/>
                    </ns5:xfrm>
                    <ns5:prstGeom prst="rect">
                      <ns5:avLst/>
                    </ns5:prstGeom>
                  </ns6:spPr>
                </ns6:pic>
              </ns5:graphicData>
            </ns5:graphic>
          </ns3:inline>
        </w:drawing>
      </w:r>
    </w:p>
    <w:p ns2:paraId="6CD87349" ns2:textId="77777777" w:rsidR="00E81908" w:rsidRDefault="00000000">
      <w:pPr>
        <w:spacing w:after="240"/>
        <w:jc w:val="center"/>
      </w:pPr>
      <w:r>
        <w:t>Fig. 5. Code Review Comments and Discussion cultural differences.</w:t>
      </w:r>
    </w:p>
    <w:p ns2:paraId="46CBB852" ns2:textId="77777777" w:rsidR="00E81908" w:rsidRDefault="00000000">
      <w:pPr>
        <w:pStyle w:val="heading10"/>
      </w:pPr>
      <w:r>
        <w:t>4   Proposed Early Warning System</w:t>
      </w:r>
    </w:p>
    <w:p ns2:paraId="106B04EC" ns2:textId="77777777" w:rsidR="00E81908" w:rsidRDefault="00000000">
      <w:pPr>
        <w:pStyle w:val="p1a"/>
      </w:pPr>
      <w:r>
        <w:t>Based on the comparative findings, we formulate and evaluate three models as an Early Warning System to predict the probability of a PR being rejected. Reviewers and educators can use this system to automatically flag high-risk PRs early.</w:t>
      </w:r>
    </w:p>
    <w:p ns2:paraId="74A8911F" ns2:textId="77777777" w:rsidR="00E81908" w:rsidRDefault="00000000">
      <w:pPr>
        <w:pStyle w:val="heading20"/>
      </w:pPr>
      <w:r>
        <w:lastRenderedPageBreak/>
        <w:t>4.1   Data Splitting and Harmonization</w:t>
      </w:r>
    </w:p>
    <w:p ns2:paraId="01D445BB" ns2:textId="77777777" w:rsidR="00E81908" w:rsidRDefault="00000000">
      <w:pPr>
        <w:pStyle w:val="p1a"/>
      </w:pPr>
      <w:r>
        <w:t>To evaluate the models on comparable grounds, we defined a harmonized data split: 70% training and 30% testing across the combined processed dataset. This split is stratified by the target variable is_merged to maintain class proportions:</w:t>
      </w:r>
    </w:p>
    <w:p ns2:paraId="4783C6F6" ns2:textId="77777777" w:rsidR="00E81908" w:rsidRDefault="00000000">
      <w:pPr>
        <w:pStyle w:val="p1a"/>
      </w:pPr>
      <w:r>
        <w:rPr>
          <w:rFonts w:ascii="Times New Roman" w:hAnsi="Times New Roman"/>
          <w:b/>
        </w:rPr>
        <w:t>•</w:t>
      </w:r>
      <w:r>
        <w:t xml:space="preserve"> Global Training Set: 1,239 samples.</w:t>
      </w:r>
    </w:p>
    <w:p ns2:paraId="2574B5C5" ns2:textId="77777777" w:rsidR="00E81908" w:rsidRDefault="00000000">
      <w:pPr>
        <w:pStyle w:val="p1a"/>
      </w:pPr>
      <w:r>
        <w:rPr>
          <w:rFonts w:ascii="Times New Roman" w:hAnsi="Times New Roman"/>
          <w:b/>
        </w:rPr>
        <w:t>•</w:t>
      </w:r>
      <w:r>
        <w:t xml:space="preserve"> Global Test Set: 532 samples.</w:t>
      </w:r>
    </w:p>
    <w:p ns2:paraId="096E0E5A" ns2:textId="77777777" w:rsidR="00E81908" w:rsidRDefault="00000000">
      <w:pPr>
        <w:pStyle w:val="p1a"/>
      </w:pPr>
      <w:r>
        <w:t>The variables include numerical statistics (commits, comments, additions, deletions, changed files, duration) and one-hot encoded categorical variables for primary programming languages and keywords.</w:t>
      </w:r>
    </w:p>
    <w:p ns2:paraId="5E29469E" ns2:textId="77777777" w:rsidR="00E81908" w:rsidRDefault="00000000">
      <w:pPr>
        <w:jc w:val="center"/>
      </w:pPr>
      <w:r>
        <w:rPr>
          <w:noProof/>
        </w:rPr>
        <w:drawing>
          <ns3:inline distT="0" distB="0" distL="0" distR="0" ns4:anchorId="2FAEDBDA" ns4:editId="62350067">
            <ns3:extent cx="4572000" cy="3657600"/>
            <ns3:effectExtent l="0" t="0" r="0" b="0"/>
            <ns3:docPr id="6" name="Picture 6"/>
            <ns3:cNvGraphicFramePr>
              <ns5:graphicFrameLocks noChangeAspect="1"/>
            </ns3:cNvGraphicFramePr>
            <ns5:graphic>
              <ns5:graphicData uri="http://schemas.openxmlformats.org/drawingml/2006/picture">
                <ns6:pic>
                  <ns6:nvPicPr>
                    <ns6:cNvPr id="0" name="image.png"/>
                    <ns6:cNvPicPr/>
                  </ns6:nvPicPr>
                  <ns6:blipFill>
                    <ns5:blip ns7:embed="rId12"/>
                    <ns5:stretch>
                      <ns5:fillRect/>
                    </ns5:stretch>
                  </ns6:blipFill>
                  <ns6:spPr>
                    <ns5:xfrm>
                      <ns5:off x="0" y="0"/>
                      <ns5:ext cx="4572000" cy="3657600"/>
                    </ns5:xfrm>
                    <ns5:prstGeom prst="rect">
                      <ns5:avLst/>
                    </ns5:prstGeom>
                  </ns6:spPr>
                </ns6:pic>
              </ns5:graphicData>
            </ns5:graphic>
          </ns3:inline>
        </w:drawing>
      </w:r>
    </w:p>
    <w:p ns2:paraId="708716E1" ns2:textId="77777777" w:rsidR="00E81908" w:rsidRDefault="00000000">
      <w:pPr>
        <w:spacing w:after="240"/>
        <w:jc w:val="center"/>
      </w:pPr>
      <w:r>
        <w:t>Fig. 6. PCA Visualization of Pull Request characteristics between groups.</w:t>
      </w:r>
    </w:p>
    <w:p ns2:paraId="09859CC5" ns2:textId="77777777" w:rsidR="00E81908" w:rsidRDefault="00000000">
      <w:pPr>
        <w:pStyle w:val="heading20"/>
      </w:pPr>
      <w:r>
        <w:t>4.2   Model Architectures</w:t>
      </w:r>
    </w:p>
    <w:p ns2:paraId="65DBDBC0" ns2:textId="77777777" w:rsidR="00E81908" w:rsidRDefault="00000000">
      <w:pPr>
        <w:pStyle w:val="p1a"/>
      </w:pPr>
      <w:r>
        <w:t>We formulate four different modeling paradigms to assess different operational trade-offs for code review quality warning:</w:t>
      </w:r>
    </w:p>
    <w:p ns2:paraId="3E8A38B4" ns2:textId="77777777" w:rsidR="00E81908" w:rsidRDefault="00000000">
      <w:pPr>
        <w:pStyle w:val="p1a"/>
      </w:pPr>
      <w:r>
        <w:rPr>
          <w:rFonts w:ascii="Times New Roman" w:hAnsi="Times New Roman"/>
          <w:b/>
        </w:rPr>
        <w:t>1) Gaussian Anomaly Detection:</w:t>
      </w:r>
      <w:r>
        <w:t xml:space="preserve"> Since PR rejections are relatively rare events (a minority class of 9.00% in FPT and 6.22% globally), we can frame PR failure prediction as an anomaly detection task. We train a multivariate Gaussian model strictly on "normal" (successful, merged) FPT samples in the training set (337 samples). The probability density p(x) for a feature vector x ∈ R^d is modeled as:</w:t>
      </w:r>
    </w:p>
    <w:p ns2:paraId="57AE3711" ns2:textId="77777777" w:rsidR="00E81908" w:rsidRDefault="00000000">
      <w:pPr>
        <w:jc w:val="center"/>
      </w:pPr>
      <ns8:oMath>
        <ns8:r>
          <w:rPr>
            <w:rFonts w:ascii="Cambria Math" w:hAnsi="Cambria Math"/>
          </w:rPr>
          <ns8:t>p(x)=</ns8:t>
        </ns8:r>
        <ns8:nary>
          <ns8:naryPr>
            <ns8:chr ns8:val="∏"/>
            <ns8:limLoc ns8:val="undOvr"/>
            <ns8:grow ns8:val="1"/>
            <ns8:ctrlPr>
              <w:rPr>
                <w:rFonts w:ascii="Cambria Math" w:hAnsi="Cambria Math"/>
              </w:rPr>
            </ns8:ctrlPr>
          </ns8:naryPr>
          <ns8:sub>
            <ns8:r>
              <w:rPr>
                <w:rFonts w:ascii="Cambria Math" w:hAnsi="Cambria Math"/>
              </w:rPr>
              <ns8:t>j=1</ns8:t>
            </ns8:r>
          </ns8:sub>
          <ns8:sup>
            <ns8:r>
              <w:rPr>
                <w:rFonts w:ascii="Cambria Math" w:hAnsi="Cambria Math"/>
              </w:rPr>
              <ns8:t>d</ns8:t>
            </ns8:r>
          </ns8:sup>
          <ns8:e>
            <ns8:f>
              <ns8:fPr>
                <ns8:ctrlPr>
                  <w:rPr>
                    <w:rFonts w:ascii="Cambria Math" w:hAnsi="Cambria Math"/>
                  </w:rPr>
                </ns8:ctrlPr>
              </ns8:fPr>
              <ns8:num>
                <ns8:r>
                  <w:rPr>
                    <w:rFonts w:ascii="Cambria Math" w:hAnsi="Cambria Math"/>
                  </w:rPr>
                  <ns8:t>1</ns8:t>
                </ns8:r>
              </ns8:num>
              <ns8:den>
                <ns8:rad>
                  <ns8:radPr>
                    <ns8:degHide ns8:val="1"/>
                    <ns8:ctrlPr>
                      <w:rPr>
                        <w:rFonts w:ascii="Cambria Math" w:hAnsi="Cambria Math"/>
                      </w:rPr>
                    </ns8:ctrlPr>
                  </ns8:radPr>
                  <ns8:deg/>
                  <ns8:e>
                    <ns8:r>
                      <w:rPr>
                        <w:rFonts w:ascii="Cambria Math" w:hAnsi="Cambria Math"/>
                      </w:rPr>
                      <ns8:t>2π</ns8:t>
                    </ns8:r>
                  </ns8:e>
                </ns8:rad>
                <ns8:sSub>
                  <ns8:sSubPr>
                    <ns8:ctrlPr>
                      <w:rPr>
                        <w:rFonts w:ascii="Cambria Math" w:hAnsi="Cambria Math"/>
                      </w:rPr>
                    </ns8:ctrlPr>
                  </ns8:sSubPr>
                  <ns8:e>
                    <ns8:r>
                      <w:rPr>
                        <w:rFonts w:ascii="Cambria Math" w:hAnsi="Cambria Math"/>
                      </w:rPr>
                      <ns8:t>σ</ns8:t>
                    </ns8:r>
                  </ns8:e>
                  <ns8:sub>
                    <ns8:r>
                      <w:rPr>
                        <w:rFonts w:ascii="Cambria Math" w:hAnsi="Cambria Math"/>
                      </w:rPr>
                      <ns8:t>j</ns8:t>
                    </ns8:r>
                  </ns8:sub>
                </ns8:sSub>
              </ns8:den>
            </ns8:f>
          </ns8:e>
        </ns8:nary>
        <ns8:r>
          <ns8:rPr>
            <ns8:sty ns8:val="p"/>
          </ns8:rPr>
          <w:rPr>
            <w:rFonts w:ascii="Cambria Math" w:hAnsi="Cambria Math"/>
          </w:rPr>
          <ns8:t>exp</ns8:t>
        </ns8:r>
        <ns8:d>
          <ns8:dPr>
            <ns8:ctrlPr>
              <w:rPr>
                <w:rFonts w:ascii="Cambria Math" w:hAnsi="Cambria Math"/>
              </w:rPr>
            </ns8:ctrlPr>
          </ns8:dPr>
          <ns8:e>
            <ns8:r>
              <w:rPr>
                <w:rFonts w:ascii="Cambria Math" w:hAnsi="Cambria Math"/>
              </w:rPr>
              <ns8:t>-</ns8:t>
            </ns8:r>
            <ns8:f>
              <ns8:fPr>
                <ns8:ctrlPr>
                  <w:rPr>
                    <w:rFonts w:ascii="Cambria Math" w:hAnsi="Cambria Math"/>
                  </w:rPr>
                </ns8:ctrlPr>
              </ns8:fPr>
              <ns8:num>
                <ns8:sSup>
                  <ns8:sSupPr>
                    <ns8:ctrlPr>
                      <w:rPr>
                        <w:rFonts w:ascii="Cambria Math" w:hAnsi="Cambria Math"/>
                      </w:rPr>
                    </ns8:ctrlPr>
                  </ns8:sSupPr>
                  <ns8:e>
                    <ns8:d>
                      <ns8:dPr>
                        <ns8:sepChr ns8:val="−"/>
                        <ns8:ctrlPr>
                          <w:rPr>
                            <w:rFonts w:ascii="Cambria Math" w:hAnsi="Cambria Math"/>
                          </w:rPr>
                        </ns8:ctrlPr>
                      </ns8:dPr>
                      <ns8:e>
                        <ns8:sSub>
                          <ns8:sSubPr>
                            <ns8:ctrlPr>
                              <w:rPr>
                                <w:rFonts w:ascii="Cambria Math" w:hAnsi="Cambria Math"/>
                              </w:rPr>
                            </ns8:ctrlPr>
                          </ns8:sSubPr>
                          <ns8:e>
                            <ns8:r>
                              <w:rPr>
                                <w:rFonts w:ascii="Cambria Math" w:hAnsi="Cambria Math"/>
                              </w:rPr>
                              <ns8:t>x</ns8:t>
                            </ns8:r>
                          </ns8:e>
                          <ns8:sub>
                            <ns8:r>
                              <w:rPr>
                                <w:rFonts w:ascii="Cambria Math" w:hAnsi="Cambria Math"/>
                              </w:rPr>
                              <ns8:t>j</ns8:t>
                            </ns8:r>
                          </ns8:sub>
                        </ns8:sSub>
                      </ns8:e>
                      <ns8:e>
                        <ns8:sSub>
                          <ns8:sSubPr>
                            <ns8:ctrlPr>
                              <w:rPr>
                                <w:rFonts w:ascii="Cambria Math" w:hAnsi="Cambria Math"/>
                              </w:rPr>
                            </ns8:ctrlPr>
                          </ns8:sSubPr>
                          <ns8:e>
                            <ns8:r>
                              <w:rPr>
                                <w:rFonts w:ascii="Cambria Math" w:hAnsi="Cambria Math"/>
                              </w:rPr>
                              <ns8:t>μ</ns8:t>
                            </ns8:r>
                          </ns8:e>
                          <ns8:sub>
                            <ns8:r>
                              <w:rPr>
                                <w:rFonts w:ascii="Cambria Math" w:hAnsi="Cambria Math"/>
                              </w:rPr>
                              <ns8:t>j</ns8:t>
                            </ns8:r>
                          </ns8:sub>
                        </ns8:sSub>
                      </ns8:e>
                    </ns8:d>
                  </ns8:e>
                  <ns8:sup>
                    <ns8:r>
                      <w:rPr>
                        <w:rFonts w:ascii="Cambria Math" w:hAnsi="Cambria Math"/>
                      </w:rPr>
                      <ns8:t>2</ns8:t>
                    </ns8:r>
                  </ns8:sup>
                </ns8:sSup>
              </ns8:num>
              <ns8:den>
                <ns8:r>
                  <w:rPr>
                    <w:rFonts w:ascii="Cambria Math" w:hAnsi="Cambria Math"/>
                  </w:rPr>
                  <ns8:t>2</ns8:t>
                </ns8:r>
                <ns8:sSubSup>
                  <ns8:sSubSupPr>
                    <ns8:ctrlPr>
                      <w:rPr>
                        <w:rFonts w:ascii="Cambria Math" w:hAnsi="Cambria Math"/>
                      </w:rPr>
                    </ns8:ctrlPr>
                  </ns8:sSubSupPr>
                  <ns8:e>
                    <ns8:r>
                      <w:rPr>
                        <w:rFonts w:ascii="Cambria Math" w:hAnsi="Cambria Math"/>
                      </w:rPr>
                      <ns8:t>σ</ns8:t>
                    </ns8:r>
                  </ns8:e>
                  <ns8:sub>
                    <ns8:r>
                      <w:rPr>
                        <w:rFonts w:ascii="Cambria Math" w:hAnsi="Cambria Math"/>
                      </w:rPr>
                      <ns8:t>j</ns8:t>
                    </ns8:r>
                  </ns8:sub>
                  <ns8:sup>
                    <ns8:r>
                      <w:rPr>
                        <w:rFonts w:ascii="Cambria Math" w:hAnsi="Cambria Math"/>
                      </w:rPr>
                      <ns8:t>2</ns8:t>
                    </ns8:r>
                  </ns8:sup>
                </ns8:sSubSup>
              </ns8:den>
            </ns8:f>
          </ns8:e>
        </ns8:d>
      </ns8:oMath>
      <w:r>
        <w:rPr>
          <w:rFonts w:ascii="Times New Roman" w:hAnsi="Times New Roman"/>
        </w:rPr>
        <w:t xml:space="preserve">          (1)</w:t>
      </w:r>
    </w:p>
    <w:p ns2:paraId="518373AC" ns2:textId="77777777" w:rsidR="00E81908" w:rsidRDefault="00000000">
      <w:pPr>
        <w:pStyle w:val="p1a"/>
      </w:pPr>
      <w:r>
        <w:t>where μ_j and σ_j^2 are the mean and variance of the j-th feature. A validation set containing both normal and anomaly FPT samples (273 samples) was used to select the optimal threshold parameter ϵ = 1.4388 × 10^-8. If p(x) &lt; ϵ, the PR is flagged as an anomaly (Not Merged).</w:t>
      </w:r>
    </w:p>
    <w:p ns2:paraId="3AF967EC" ns2:textId="77777777" w:rsidR="00E81908" w:rsidRDefault="00000000">
      <w:pPr>
        <w:pStyle w:val="p1a"/>
      </w:pPr>
      <w:r>
        <w:rPr>
          <w:rFonts w:ascii="Times New Roman" w:hAnsi="Times New Roman"/>
          <w:b/>
        </w:rPr>
        <w:t>2) Random Forest Classifier:</w:t>
      </w:r>
      <w:r>
        <w:t xml:space="preserve"> We train a supervised Random Forest Classifier on the FPT training set (610 samples). To handle the significant class imbalance between merged and unmerged PRs, we apply a balanced class weighting scheme. The model constructs 100 decision trees and aggregates their individual predictions to produce a final classification.</w:t>
      </w:r>
    </w:p>
    <w:p ns2:paraId="0D14ABCB" ns2:textId="77777777" w:rsidR="00E81908" w:rsidRDefault="00000000">
      <w:pPr>
        <w:pStyle w:val="p1a"/>
      </w:pPr>
      <w:r>
        <w:rPr>
          <w:rFonts w:ascii="Times New Roman" w:hAnsi="Times New Roman"/>
          <w:b/>
        </w:rPr>
        <w:t>3) Ensemble Model (Average Voting):</w:t>
      </w:r>
      <w:r>
        <w:t xml:space="preserve"> To combine the unsupervised anomaly detection capabilities of the Gaussian model with the supervised classification strength of the Random Forest, we implement an Average Voting Ensemble. For a given test sample, both models output binary predictions (0 for unmerged, 1 for merged). The ensemble computes the average prediction:</w:t>
      </w:r>
    </w:p>
    <w:p ns2:paraId="6D0F432A" ns2:textId="77777777" w:rsidR="00E81908" w:rsidRDefault="00000000">
      <w:pPr>
        <w:jc w:val="center"/>
      </w:pPr>
      <ns8:oMath>
        <ns8:sSub>
          <ns8:sSubPr>
            <ns8:ctrlPr>
              <w:rPr>
                <w:rFonts w:ascii="Cambria Math" w:hAnsi="Cambria Math"/>
              </w:rPr>
            </ns8:ctrlPr>
          </ns8:sSubPr>
          <ns8:e>
            <ns8:r>
              <w:rPr>
                <w:rFonts w:ascii="Cambria Math" w:hAnsi="Cambria Math"/>
              </w:rPr>
              <ns8:t>y</ns8:t>
            </ns8:r>
          </ns8:e>
          <ns8:sub>
            <ns8:r>
              <ns8:rPr>
                <ns8:sty ns8:val="p"/>
              </ns8:rPr>
              <w:rPr>
                <w:rFonts w:ascii="Cambria Math" w:hAnsi="Cambria Math"/>
              </w:rPr>
              <ns8:t>ens</ns8:t>
            </ns8:r>
          </ns8:sub>
        </ns8:sSub>
        <ns8:r>
          <w:rPr>
            <w:rFonts w:ascii="Cambria Math" w:hAnsi="Cambria Math"/>
          </w:rPr>
          <ns8:t>=I</ns8:t>
        </ns8:r>
        <ns8:d>
          <ns8:dPr>
            <ns8:ctrlPr>
              <w:rPr>
                <w:rFonts w:ascii="Cambria Math" w:hAnsi="Cambria Math"/>
              </w:rPr>
            </ns8:ctrlPr>
          </ns8:dPr>
          <ns8:e>
            <ns8:f>
              <ns8:fPr>
                <ns8:ctrlPr>
                  <w:rPr>
                    <w:rFonts w:ascii="Cambria Math" w:hAnsi="Cambria Math"/>
                  </w:rPr>
                </ns8:ctrlPr>
              </ns8:fPr>
              <ns8:num>
                <ns8:sSub>
                  <ns8:sSubPr>
                    <ns8:ctrlPr>
                      <w:rPr>
                        <w:rFonts w:ascii="Cambria Math" w:hAnsi="Cambria Math"/>
                      </w:rPr>
                    </ns8:ctrlPr>
                  </ns8:sSubPr>
                  <ns8:e>
                    <ns8:r>
                      <w:rPr>
                        <w:rFonts w:ascii="Cambria Math" w:hAnsi="Cambria Math"/>
                      </w:rPr>
                      <ns8:t>y</ns8:t>
                    </ns8:r>
                  </ns8:e>
                  <ns8:sub>
                    <ns8:r>
                      <ns8:rPr>
                        <ns8:sty ns8:val="p"/>
                      </ns8:rPr>
                      <w:rPr>
                        <w:rFonts w:ascii="Cambria Math" w:hAnsi="Cambria Math"/>
                      </w:rPr>
                      <ns8:t>gaus</ns8:t>
                    </ns8:r>
                  </ns8:sub>
                </ns8:sSub>
                <ns8:r>
                  <w:rPr>
                    <w:rFonts w:ascii="Cambria Math" w:hAnsi="Cambria Math"/>
                  </w:rPr>
                  <ns8:t>+</ns8:t>
                </ns8:r>
                <ns8:sSub>
                  <ns8:sSubPr>
                    <ns8:ctrlPr>
                      <w:rPr>
                        <w:rFonts w:ascii="Cambria Math" w:hAnsi="Cambria Math"/>
                      </w:rPr>
                    </ns8:ctrlPr>
                  </ns8:sSubPr>
                  <ns8:e>
                    <ns8:r>
                      <w:rPr>
                        <w:rFonts w:ascii="Cambria Math" w:hAnsi="Cambria Math"/>
                      </w:rPr>
                      <ns8:t>y</ns8:t>
                    </ns8:r>
                  </ns8:e>
                  <ns8:sub>
                    <ns8:r>
                      <ns8:rPr>
                        <ns8:sty ns8:val="p"/>
                      </ns8:rPr>
                      <w:rPr>
                        <w:rFonts w:ascii="Cambria Math" w:hAnsi="Cambria Math"/>
                      </w:rPr>
                      <ns8:t>rf</ns8:t>
                    </ns8:r>
                  </ns8:sub>
                </ns8:sSub>
              </ns8:num>
              <ns8:den>
                <ns8:r>
                  <w:rPr>
                    <w:rFonts w:ascii="Cambria Math" w:hAnsi="Cambria Math"/>
                  </w:rPr>
                  <ns8:t>2</ns8:t>
                </ns8:r>
              </ns8:den>
            </ns8:f>
            <ns8:r>
              <w:rPr>
                <w:rFonts w:ascii="Cambria Math" w:hAnsi="Cambria Math"/>
              </w:rPr>
              <ns8:t>&gt;0.5</ns8:t>
            </ns8:r>
          </ns8:e>
        </ns8:d>
      </ns8:oMath>
      <w:r>
        <w:rPr>
          <w:rFonts w:ascii="Times New Roman" w:hAnsi="Times New Roman"/>
        </w:rPr>
        <w:t xml:space="preserve">          (2)</w:t>
      </w:r>
    </w:p>
    <w:p ns2:paraId="7D9099D7" ns2:textId="77777777" w:rsidR="00E81908" w:rsidRDefault="00000000">
      <w:pPr>
        <w:pStyle w:val="p1a"/>
      </w:pPr>
      <w:r>
        <w:t>where I is the indicator function. Because of the average threshold (&gt; 0.5), this voting scheme behaves as a logical AND-gate for successful merges: a PR is classified as merged (1) only if both models predict 1. If either model flags it as unmerged (0), the ensemble flags it as unmerged.</w:t>
      </w:r>
    </w:p>
    <w:p ns2:paraId="0D14ABCB" ns2:textId="77777777" w:rsidR="00E81908" w:rsidRDefault="00000000">
      <w:pPr>
        <w:pStyle w:val="p1a"/>
      </w:pPr>
      <w:r>
        <w:rPr>
          <w:rFonts w:ascii="Times New Roman" w:hAnsi="Times New Roman"/>
          <w:b/>
        </w:rPr>
        <w:t>4) Random Forest Classifier with SMOTE: Due to the severe class imbalance in academic student projects (where only 9.00% of PRs are unmerged/rejected), classifiers often struggle to learn the characteristics of the minority class. To address this, we apply Synthetic Minority Over-sampling Technique (SMOTE) [6] to the FPT training set. SMOTE generates synthetic examples of the minority class (Not Merged) by interpolating between existing minority samples, balancing the training target distribution (from 47 unmerged and 563 merged samples to 563 samples for both classes). We then train a Random Forest Classifier on this oversampled training set.</w:t>
      </w:r>
      <w:r>
        <w:t xml:space="preserve"/>
      </w:r>
    </w:p>
    <w:p ns2:paraId="2F6AC96A" ns2:textId="77777777" w:rsidR="00E81908" w:rsidRDefault="00000000">
      <w:pPr>
        <w:pStyle w:val="heading20"/>
      </w:pPr>
      <w:r>
        <w:t>4.3   Performance Evaluation</w:t>
      </w:r>
    </w:p>
    <w:p ns2:paraId="2EBDA82C" ns2:textId="77777777" w:rsidR="00E81908" w:rsidRDefault="00000000">
      <w:pPr>
        <w:pStyle w:val="p1a"/>
      </w:pPr>
      <w:r>
        <w:t>Table 1. Macro-Average Model Evaluation Metrics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2542"/>
        <w:gridCol w:w="2542"/>
        <w:gridCol w:w="2542"/>
        <w:gridCol w:w="2542"/>
      </w:tblGrid>
      <w:tr w:rsidR="00E81908" ns2:paraId="3D74060A" ns2:textId="77777777">
        <w:tc>
          <w:tcPr>
            <w:tcW w:w="2542" w:type="dxa"/>
          </w:tcPr>
          <w:p ns2:paraId="628C157D" ns2:textId="77777777" w:rsidR="00E81908" w:rsidRDefault="00000000">
            <w:r>
              <w:rPr>
                <w:b/>
              </w:rPr>
              <w:lastRenderedPageBreak/>
              <w:t>Model</w:t>
            </w:r>
          </w:p>
        </w:tc>
        <w:tc>
          <w:tcPr>
            <w:tcW w:w="2542" w:type="dxa"/>
          </w:tcPr>
          <w:p ns2:paraId="33214636" ns2:textId="77777777" w:rsidR="00E81908" w:rsidRDefault="00000000">
            <w:r>
              <w:rPr>
                <w:b/>
              </w:rPr>
              <w:t>Macro Precision</w:t>
            </w:r>
          </w:p>
        </w:tc>
        <w:tc>
          <w:tcPr>
            <w:tcW w:w="2542" w:type="dxa"/>
          </w:tcPr>
          <w:p ns2:paraId="1E8F4B61" ns2:textId="77777777" w:rsidR="00E81908" w:rsidRDefault="00000000">
            <w:r>
              <w:rPr>
                <w:b/>
              </w:rPr>
              <w:t>Macro Recall</w:t>
            </w:r>
          </w:p>
        </w:tc>
        <w:tc>
          <w:tcPr>
            <w:tcW w:w="2542" w:type="dxa"/>
          </w:tcPr>
          <w:p ns2:paraId="7A4B7FD5" ns2:textId="77777777" w:rsidR="00E81908" w:rsidRDefault="00000000">
            <w:r>
              <w:rPr>
                <w:b/>
              </w:rPr>
              <w:t>Macro F1-Score</w:t>
            </w:r>
          </w:p>
        </w:tc>
      </w:tr>
      <w:tr w:rsidR="00E81908" ns2:paraId="03E2CCDB" ns2:textId="77777777">
        <w:tc>
          <w:tcPr>
            <w:tcW w:w="2542" w:type="dxa"/>
          </w:tcPr>
          <w:p ns2:paraId="27188A9F" ns2:textId="77777777" w:rsidR="00E81908" w:rsidRDefault="00000000">
            <w:r>
              <w:t>Gaussian Anomaly Detection</w:t>
            </w:r>
          </w:p>
        </w:tc>
        <w:tc>
          <w:tcPr>
            <w:tcW w:w="2542" w:type="dxa"/>
          </w:tcPr>
          <w:p ns2:paraId="738AB932" ns2:textId="77777777" w:rsidR="00E81908" w:rsidRDefault="00000000">
            <w:r>
              <w:t>0.5415</w:t>
            </w:r>
          </w:p>
        </w:tc>
        <w:tc>
          <w:tcPr>
            <w:tcW w:w="2542" w:type="dxa"/>
          </w:tcPr>
          <w:p ns2:paraId="2BEF9F4A" ns2:textId="77777777" w:rsidR="00E81908" w:rsidRDefault="00000000">
            <w:r>
              <w:t>0.5350</w:t>
            </w:r>
          </w:p>
        </w:tc>
        <w:tc>
          <w:tcPr>
            <w:tcW w:w="2542" w:type="dxa"/>
          </w:tcPr>
          <w:p ns2:paraId="22BE918F" ns2:textId="77777777" w:rsidR="00E81908" w:rsidRDefault="00000000">
            <w:r>
              <w:t>0.1421</w:t>
            </w:r>
          </w:p>
        </w:tc>
      </w:tr>
      <w:tr w:rsidR="00E81908" ns2:paraId="10A27EC1" ns2:textId="77777777">
        <w:tc>
          <w:tcPr>
            <w:tcW w:w="2542" w:type="dxa"/>
          </w:tcPr>
          <w:p ns2:paraId="2ED99FFD" ns2:textId="77777777" w:rsidR="00E81908" w:rsidRDefault="00000000">
            <w:r>
              <w:t>Random Forest Classifier (No SMOTE)</w:t>
            </w:r>
          </w:p>
        </w:tc>
        <w:tc>
          <w:tcPr>
            <w:tcW w:w="2542" w:type="dxa"/>
          </w:tcPr>
          <w:p ns2:paraId="6DDB69C0" ns2:textId="77777777" w:rsidR="00E81908" w:rsidRDefault="00000000">
            <w:r>
              <w:t>0.9693</w:t>
            </w:r>
          </w:p>
        </w:tc>
        <w:tc>
          <w:tcPr>
            <w:tcW w:w="2542" w:type="dxa"/>
          </w:tcPr>
          <w:p ns2:paraId="1574D779" ns2:textId="77777777" w:rsidR="00E81908" w:rsidRDefault="00000000">
            <w:r>
              <w:t>0.6111</w:t>
            </w:r>
          </w:p>
        </w:tc>
        <w:tc>
          <w:tcPr>
            <w:tcW w:w="2542" w:type="dxa"/>
          </w:tcPr>
          <w:p ns2:paraId="3E7B0603" ns2:textId="77777777" w:rsidR="00E81908" w:rsidRDefault="00000000">
            <w:r>
              <w:t>0.6660</w:t>
            </w:r>
          </w:p>
        </w:tc>
      </w:tr>
      <w:tr w:rsidR="00E81908" ns2:paraId="7E31DF91" ns2:textId="77777777">
        <w:tc>
          <w:tcPr>
            <w:tcW w:w="2542" w:type="dxa"/>
          </w:tcPr>
          <w:p ns2:paraId="44E5678A" ns2:textId="77777777" w:rsidR="00E81908" w:rsidRDefault="00000000">
            <w:r>
              <w:t>Ensemble (Average Voting)</w:t>
            </w:r>
          </w:p>
        </w:tc>
        <w:tc>
          <w:tcPr>
            <w:tcW w:w="2542" w:type="dxa"/>
          </w:tcPr>
          <w:p ns2:paraId="2FC1E02B" ns2:textId="77777777" w:rsidR="00E81908" w:rsidRDefault="00000000">
            <w:r>
              <w:t>0.5415</w:t>
            </w:r>
          </w:p>
        </w:tc>
        <w:tc>
          <w:tcPr>
            <w:tcW w:w="2542" w:type="dxa"/>
          </w:tcPr>
          <w:p ns2:paraId="3BC18C97" ns2:textId="77777777" w:rsidR="00E81908" w:rsidRDefault="00000000">
            <w:r>
              <w:t>0.5350</w:t>
            </w:r>
          </w:p>
        </w:tc>
        <w:tc>
          <w:tcPr>
            <w:tcW w:w="2542" w:type="dxa"/>
          </w:tcPr>
          <w:p ns2:paraId="0B3B54D3" ns2:textId="77777777" w:rsidR="00E81908" w:rsidRDefault="00000000">
            <w:r>
              <w:t>0.1421</w:t>
            </w:r>
          </w:p>
        </w:tc>
      </w:tr>
      <w:tr w:rsidR="00E81908" ns2:paraId="7E31DF91" ns2:textId="77777777">
        <w:tc>
          <w:tcPr>
            <w:tcW w:w="2542" w:type="dxa"/>
          </w:tcPr>
          <w:p ns2:paraId="44E5678A" ns2:textId="77777777" w:rsidR="00E81908" w:rsidRDefault="00000000">
            <w:r>
              <w:t>Random Forest Classifier (With SMOTE)</w:t>
            </w:r>
          </w:p>
        </w:tc>
        <w:tc>
          <w:tcPr>
            <w:tcW w:w="2542" w:type="dxa"/>
          </w:tcPr>
          <w:p ns2:paraId="2FC1E02B" ns2:textId="77777777" w:rsidR="00E81908" w:rsidRDefault="00000000">
            <w:r>
              <w:t>0.6933</w:t>
            </w:r>
          </w:p>
        </w:tc>
        <w:tc>
          <w:tcPr>
            <w:tcW w:w="2542" w:type="dxa"/>
          </w:tcPr>
          <w:p ns2:paraId="3BC18C97" ns2:textId="77777777" w:rsidR="00E81908" w:rsidRDefault="00000000">
            <w:r>
              <w:t>0.6734</w:t>
            </w:r>
          </w:p>
        </w:tc>
        <w:tc>
          <w:tcPr>
            <w:tcW w:w="2542" w:type="dxa"/>
          </w:tcPr>
          <w:p ns2:paraId="0B3B54D3" ns2:textId="77777777" w:rsidR="00E81908" w:rsidRDefault="00000000">
            <w:r>
              <w:t>0.6826</w:t>
            </w:r>
          </w:p>
        </w:tc>
      </w:tr>
    </w:tbl>
    <w:p ns2:paraId="5A5AB15D" ns2:textId="77777777" w:rsidR="00E81908" w:rsidRDefault="00E81908">
      <w:pPr>
        <w:pStyle w:val="p1a"/>
      </w:pPr>
    </w:p>
    <w:p ns2:paraId="64532801" ns2:textId="77777777" w:rsidR="00E81908" w:rsidRDefault="00000000">
      <w:pPr>
        <w:pStyle w:val="heading20"/>
      </w:pPr>
      <w:r>
        <w:t>4.4   Feature Importances</w:t>
      </w:r>
    </w:p>
    <w:p ns2:paraId="6532ABCB" ns2:textId="77777777" w:rsidR="00E81908" w:rsidRDefault="00000000">
      <w:pPr>
        <w:pStyle w:val="p1a"/>
      </w:pPr>
      <w:r>
        <w:t>We extracted the Gini feature importances from the trained Random Forest Classifier. Table 2 lists the top features contributing to the model’s decisions.</w:t>
      </w:r>
    </w:p>
    <w:p ns2:paraId="63F56721" ns2:textId="77777777" w:rsidR="00E81908" w:rsidRDefault="00000000">
      <w:pPr>
        <w:jc w:val="center"/>
      </w:pPr>
      <w:r>
        <w:t>Table 2. Random Forest Feature Importances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5085"/>
        <w:gridCol w:w="5085"/>
      </w:tblGrid>
      <w:tr w:rsidR="00E81908" ns2:paraId="6052096C" ns2:textId="77777777">
        <w:tc>
          <w:tcPr>
            <w:tcW w:w="5085" w:type="dxa"/>
          </w:tcPr>
          <w:p ns2:paraId="58825BC4" ns2:textId="77777777" w:rsidR="00E81908" w:rsidRDefault="00000000">
            <w:r>
              <w:rPr>
                <w:b/>
              </w:rPr>
              <w:t>Feature</w:t>
            </w:r>
          </w:p>
        </w:tc>
        <w:tc>
          <w:tcPr>
            <w:tcW w:w="5085" w:type="dxa"/>
          </w:tcPr>
          <w:p ns2:paraId="1C0754EF" ns2:textId="77777777" w:rsidR="00E81908" w:rsidRDefault="00000000">
            <w:r>
              <w:rPr>
                <w:b/>
              </w:rPr>
              <w:t>Importance</w:t>
            </w:r>
          </w:p>
        </w:tc>
      </w:tr>
      <w:tr w:rsidR="00E81908" ns2:paraId="73334025" ns2:textId="77777777">
        <w:tc>
          <w:tcPr>
            <w:tcW w:w="5085" w:type="dxa"/>
          </w:tcPr>
          <w:p ns2:paraId="464061B4" ns2:textId="77777777" w:rsidR="00E81908" w:rsidRDefault="00000000">
            <w:r>
              <w:t>keyword_SWP391</w:t>
            </w:r>
          </w:p>
        </w:tc>
        <w:tc>
          <w:tcPr>
            <w:tcW w:w="5085" w:type="dxa"/>
          </w:tcPr>
          <w:p ns2:paraId="2EF11EB1" ns2:textId="77777777" w:rsidR="00E81908" w:rsidRDefault="00000000">
            <w:r>
              <w:t>0.1317</w:t>
            </w:r>
          </w:p>
        </w:tc>
      </w:tr>
      <w:tr w:rsidR="00E81908" ns2:paraId="1CD269D3" ns2:textId="77777777">
        <w:tc>
          <w:tcPr>
            <w:tcW w:w="5085" w:type="dxa"/>
          </w:tcPr>
          <w:p ns2:paraId="1030AF19" ns2:textId="77777777" w:rsidR="00E81908" w:rsidRDefault="00000000">
            <w:r>
              <w:t>additions</w:t>
            </w:r>
          </w:p>
        </w:tc>
        <w:tc>
          <w:tcPr>
            <w:tcW w:w="5085" w:type="dxa"/>
          </w:tcPr>
          <w:p ns2:paraId="36BA1C0A" ns2:textId="77777777" w:rsidR="00E81908" w:rsidRDefault="00000000">
            <w:r>
              <w:t>0.0933</w:t>
            </w:r>
          </w:p>
        </w:tc>
      </w:tr>
      <w:tr w:rsidR="00E81908" ns2:paraId="4C4BC424" ns2:textId="77777777">
        <w:tc>
          <w:tcPr>
            <w:tcW w:w="5085" w:type="dxa"/>
          </w:tcPr>
          <w:p ns2:paraId="4F329459" ns2:textId="77777777" w:rsidR="00E81908" w:rsidRDefault="00000000">
            <w:r>
              <w:t>deletions</w:t>
            </w:r>
          </w:p>
        </w:tc>
        <w:tc>
          <w:tcPr>
            <w:tcW w:w="5085" w:type="dxa"/>
          </w:tcPr>
          <w:p ns2:paraId="62720C39" ns2:textId="77777777" w:rsidR="00E81908" w:rsidRDefault="00000000">
            <w:r>
              <w:t>0.0895</w:t>
            </w:r>
          </w:p>
        </w:tc>
      </w:tr>
      <w:tr w:rsidR="00E81908" ns2:paraId="63C86811" ns2:textId="77777777">
        <w:tc>
          <w:tcPr>
            <w:tcW w:w="5085" w:type="dxa"/>
          </w:tcPr>
          <w:p ns2:paraId="11B08654" ns2:textId="77777777" w:rsidR="00E81908" w:rsidRDefault="00000000">
            <w:r>
              <w:t>commits</w:t>
            </w:r>
          </w:p>
        </w:tc>
        <w:tc>
          <w:tcPr>
            <w:tcW w:w="5085" w:type="dxa"/>
          </w:tcPr>
          <w:p ns2:paraId="3C1DF18C" ns2:textId="77777777" w:rsidR="00E81908" w:rsidRDefault="00000000">
            <w:r>
              <w:t>0.0814</w:t>
            </w:r>
          </w:p>
        </w:tc>
      </w:tr>
      <w:tr w:rsidR="00E81908" ns2:paraId="584A9D55" ns2:textId="77777777">
        <w:tc>
          <w:tcPr>
            <w:tcW w:w="5085" w:type="dxa"/>
          </w:tcPr>
          <w:p ns2:paraId="1A4D36B6" ns2:textId="77777777" w:rsidR="00E81908" w:rsidRDefault="00000000">
            <w:r>
              <w:t>keyword_SEP490</w:t>
            </w:r>
          </w:p>
        </w:tc>
        <w:tc>
          <w:tcPr>
            <w:tcW w:w="5085" w:type="dxa"/>
          </w:tcPr>
          <w:p ns2:paraId="1F389220" ns2:textId="77777777" w:rsidR="00E81908" w:rsidRDefault="00000000">
            <w:r>
              <w:t>0.0776</w:t>
            </w:r>
          </w:p>
        </w:tc>
      </w:tr>
      <w:tr w:rsidR="00E81908" ns2:paraId="7DA8CFDA" ns2:textId="77777777">
        <w:tc>
          <w:tcPr>
            <w:tcW w:w="5085" w:type="dxa"/>
          </w:tcPr>
          <w:p ns2:paraId="41829933" ns2:textId="77777777" w:rsidR="00E81908" w:rsidRDefault="00000000">
            <w:r>
              <w:t>created_hour</w:t>
            </w:r>
          </w:p>
        </w:tc>
        <w:tc>
          <w:tcPr>
            <w:tcW w:w="5085" w:type="dxa"/>
          </w:tcPr>
          <w:p ns2:paraId="4A3C12C4" ns2:textId="77777777" w:rsidR="00E81908" w:rsidRDefault="00000000">
            <w:r>
              <w:t>0.0737</w:t>
            </w:r>
          </w:p>
        </w:tc>
      </w:tr>
      <w:tr w:rsidR="00E81908" ns2:paraId="1CE7155C" ns2:textId="77777777">
        <w:tc>
          <w:tcPr>
            <w:tcW w:w="5085" w:type="dxa"/>
          </w:tcPr>
          <w:p ns2:paraId="503AD88D" ns2:textId="77777777" w:rsidR="00E81908" w:rsidRDefault="00000000">
            <w:r>
              <w:t>review_comments</w:t>
            </w:r>
          </w:p>
        </w:tc>
        <w:tc>
          <w:tcPr>
            <w:tcW w:w="5085" w:type="dxa"/>
          </w:tcPr>
          <w:p ns2:paraId="7C928AE3" ns2:textId="77777777" w:rsidR="00E81908" w:rsidRDefault="00000000">
            <w:r>
              <w:t>0.0732</w:t>
            </w:r>
          </w:p>
        </w:tc>
      </w:tr>
      <w:tr w:rsidR="00E81908" ns2:paraId="65FB3619" ns2:textId="77777777">
        <w:tc>
          <w:tcPr>
            <w:tcW w:w="5085" w:type="dxa"/>
          </w:tcPr>
          <w:p ns2:paraId="682B3DAA" ns2:textId="77777777" w:rsidR="00E81908" w:rsidRDefault="00000000">
            <w:r>
              <w:t>changed_files</w:t>
            </w:r>
          </w:p>
        </w:tc>
        <w:tc>
          <w:tcPr>
            <w:tcW w:w="5085" w:type="dxa"/>
          </w:tcPr>
          <w:p ns2:paraId="5DE99B64" ns2:textId="77777777" w:rsidR="00E81908" w:rsidRDefault="00000000">
            <w:r>
              <w:t>0.0618</w:t>
            </w:r>
          </w:p>
        </w:tc>
      </w:tr>
    </w:tbl>
    <w:p ns2:paraId="71575710" ns2:textId="77777777" w:rsidR="00E81908" w:rsidRDefault="00E81908">
      <w:pPr>
        <w:pStyle w:val="p1a"/>
      </w:pPr>
    </w:p>
    <w:p ns2:paraId="3EB3F5ED" ns2:textId="77777777" w:rsidR="00E81908" w:rsidRDefault="00000000">
      <w:pPr>
        <w:jc w:val="center"/>
      </w:pPr>
      <w:r>
        <w:rPr>
          <w:noProof/>
        </w:rPr>
        <w:drawing>
          <ns3:inline distT="0" distB="0" distL="0" distR="0" ns4:anchorId="265D50D4" ns4:editId="64F28D96">
            <ns3:extent cx="4572000" cy="3279913"/>
            <ns3:effectExtent l="0" t="0" r="0" b="0"/>
            <ns3:docPr id="7" name="Picture 7"/>
            <ns3:cNvGraphicFramePr>
              <ns5:graphicFrameLocks noChangeAspect="1"/>
            </ns3:cNvGraphicFramePr>
            <ns5:graphic>
              <ns5:graphicData uri="http://schemas.openxmlformats.org/drawingml/2006/picture">
                <ns6:pic>
                  <ns6:nvPicPr>
                    <ns6:cNvPr id="0" name="image.png"/>
                    <ns6:cNvPicPr/>
                  </ns6:nvPicPr>
                  <ns6:blipFill>
                    <ns5:blip ns7:embed="rId13"/>
                    <ns5:stretch>
                      <ns5:fillRect/>
                    </ns5:stretch>
                  </ns6:blipFill>
                  <ns6:spPr>
                    <ns5:xfrm>
                      <ns5:off x="0" y="0"/>
                      <ns5:ext cx="4572000" cy="3279913"/>
                    </ns5:xfrm>
                    <ns5:prstGeom prst="rect">
                      <ns5:avLst/>
                    </ns5:prstGeom>
                  </ns6:spPr>
                </ns6:pic>
              </ns5:graphicData>
            </ns5:graphic>
          </ns3:inline>
        </w:drawing>
      </w:r>
    </w:p>
    <w:p ns2:paraId="18EE5B58" ns2:textId="77777777" w:rsidR="00E81908" w:rsidRDefault="00000000">
      <w:pPr>
        <w:spacing w:after="240"/>
        <w:jc w:val="center"/>
      </w:pPr>
      <w:r>
        <w:t>Fig. 7. Random Forest Feature Importances split decision contributions.</w:t>
      </w:r>
    </w:p>
    <w:p ns2:paraId="0B32F512" ns2:textId="77777777" w:rsidR="00E81908" w:rsidRDefault="00000000">
      <w:pPr>
        <w:pStyle w:val="heading10"/>
      </w:pPr>
      <w:r>
        <w:t>5   Discussion and Limitations</w:t>
      </w:r>
    </w:p>
    <w:p ns2:paraId="3CF06C8F" ns2:textId="77777777" w:rsidR="00E81908" w:rsidRDefault="00000000">
      <w:pPr>
        <w:pStyle w:val="heading20"/>
      </w:pPr>
      <w:r>
        <w:t>5.1   Model Trade-offs and Voting Mechanics</w:t>
      </w:r>
    </w:p>
    <w:p ns2:paraId="6E818C8D" ns2:textId="77777777" w:rsidR="00E81908" w:rsidRDefault="00000000">
      <w:pPr>
        <w:pStyle w:val="p1a"/>
      </w:pPr>
      <w:r>
        <w:t>The experimental results demonstrate clear trade-offs between the four modeling approaches on the FPT academic dataset. The Gaussian Anomaly Detection model achieved a perfect Recall of 100.00% but a low Precision of 8.29%. In practice, this means the model flagged almost all FPT PRs as anomalies. This behavior is due to the extreme variance and noise present in student repositories, where even successful merges deviate heavily from standard coding patterns, leading to low probability densities. Thus, the Gaussian model acts as a highly conservative screener.</w:t>
      </w:r>
    </w:p>
    <w:p ns2:paraId="7AF9FEEC" ns2:textId="77777777" w:rsidR="00E81908" w:rsidRDefault="00000000">
      <w:pPr>
        <w:pStyle w:val="p1a"/>
      </w:pPr>
      <w:r>
        <w:t>The standard Random Forest Classifier (without oversampling), by contrast, achieved an exceptional macro-average Precision of 96.93% but a moderate Recall of 61.11% (macro F1-score of 66.60%). The model is highly selective on unmerged PRs, minimizing false alarms but missing the majority of actual failures. By applying SMOTE oversampling to balance the class distribution during training, the Random Forest model's macro-average Recall improved to 67.34% and its macro F1-score increased to 68.26%, demonstrating a more balanced prediction performance across both classes.</w:t>
      </w:r>
    </w:p>
    <w:p ns2:paraId="63B58DC2" ns2:textId="77777777" w:rsidR="00E81908" w:rsidRDefault="00000000">
      <w:pPr>
        <w:pStyle w:val="p1a"/>
      </w:pPr>
      <w:r>
        <w:lastRenderedPageBreak/>
        <w:t>The Ensemble model represents a middle ground. Because of the voting logic, where an anomaly prediction (0) by either model triggers an ensemble anomaly prediction, the ensemble inherits the macro-average metrics of the Gaussian model (Precision of 54.15%, Recall of 53.50%, and F1-score of 14.21%).</w:t>
      </w:r>
    </w:p>
    <w:p ns2:paraId="470C2637" ns2:textId="77777777" w:rsidR="00E81908" w:rsidRDefault="00000000">
      <w:pPr>
        <w:pStyle w:val="heading20"/>
      </w:pPr>
      <w:r>
        <w:t>5.2   The Critical Limitation of Data Leakage</w:t>
      </w:r>
    </w:p>
    <w:p ns2:paraId="3822E48C" ns2:textId="77777777" w:rsidR="00E81908" w:rsidRDefault="00000000">
      <w:pPr>
        <w:pStyle w:val="p1a"/>
      </w:pPr>
      <w:r>
        <w:t>In previous iterations of the model design, post-merge duration features (duration_minutes and duration_hours) were included in the training sets, which resulted in data leakage (accounting for over 37.00% of the feature importance). Since the duration of a PR can only be computed after it is closed, using it in an early warning system evaluated at PR creation represents a severe target leakage. In this work, we completely resolved this limitation by dropping all duration features from the dataset.</w:t>
      </w:r>
    </w:p>
    <w:p ns2:paraId="2DA69D29" ns2:textId="77777777" w:rsidR="00E81908" w:rsidRDefault="00000000">
      <w:pPr>
        <w:pStyle w:val="p1a"/>
      </w:pPr>
      <w:r>
        <w:t>After removing the leaked duration features, the standard Random Forest Classifier's macro-average Recall fell to 61.11%, indicating that its previous high performance was heavily reliant on post-merge information. This drop motivated our application of SMOTE oversampling. By synthetically balancing the FPT training data, SMOTE allowed the Random Forest Classifier to learn robust pre-merge patterns (such as code additions, deletions, and changed files), raising its macro-average Recall back to 67.34% and macro F1-score to 68.26% without using any post-merge data.</w:t>
      </w:r>
    </w:p>
    <w:p ns2:paraId="6BE8009D" ns2:textId="77777777" w:rsidR="00E81908" w:rsidRDefault="00000000">
      <w:pPr>
        <w:pStyle w:val="p1a"/>
      </w:pPr>
      <w:r>
        <w:t>Our final model relies exclusively on pre-merge characteristics available immediately upon PR submission, such as additions, deletions, changed files, and creation timing (Table 2). This makes the Early Warning System practically viable for real-time deployment as a pre-merge check.</w:t>
      </w:r>
    </w:p>
    <w:p ns2:paraId="3E6C7541" ns2:textId="77777777" w:rsidR="00E81908" w:rsidRDefault="00000000">
      <w:pPr>
        <w:pStyle w:val="heading10"/>
      </w:pPr>
      <w:r>
        <w:t>6   Conclusion and Future Work</w:t>
      </w:r>
    </w:p>
    <w:p ns2:paraId="61DB1FF2" ns2:textId="77777777" w:rsidR="00E81908" w:rsidRDefault="00000000">
      <w:pPr>
        <w:pStyle w:val="p1a"/>
      </w:pPr>
      <w:r>
        <w:t>We evaluated four predictive models to serve as an early warning system. While the standard Random Forest Classifier demonstrated high precision, we successfully eliminated the target leakage associated with post-merge duration features. By incorporating SMOTE oversampling, the Random Forest model achieved a macro-average Recall of 67.34% and macro F1-score of 68.26% using strictly pre-merge characteristics, providing a robust early warning indicator for student pull requests.</w:t>
      </w:r>
    </w:p>
    <w:p ns2:paraId="2E655EE2" ns2:textId="77777777" w:rsidR="00E81908" w:rsidRDefault="00000000">
      <w:pPr>
        <w:pStyle w:val="p1a"/>
      </w:pPr>
      <w:r>
        <w:t>In future work, we will re-train the models using exclusively pre-merge features to establish a realistic early warning system. Furthermore, we intend to implement this system as a lightweight GitHub Action that automatically scans student PRs upon creation, flagging code integration risks and fostering a healthier, industry-aligned Git review culture in academic settings.</w:t>
      </w:r>
    </w:p>
    <w:p ns2:paraId="01F5C106" ns2:textId="77777777" w:rsidR="00E81908" w:rsidRDefault="00000000">
      <w:pPr>
        <w:pStyle w:val="heading10"/>
      </w:pPr>
      <w:r>
        <w:t>References</w:t>
      </w:r>
    </w:p>
    <w:p ns2:paraId="4BFAAA24" ns2:textId="77777777" w:rsidR="00E81908" w:rsidRDefault="00000000">
      <w:pPr>
        <w:pStyle w:val="EndNoteBibliography"/>
      </w:pPr>
      <w:r>
        <w:t>[1] G. Gousios, M. Pinzger, and A. van Deursen, "An exploratory study of the pull-based software development model," in Proceedings of the International Conference on Software Engineering (ICSE), 2014, pp. 345–355.</w:t>
      </w:r>
    </w:p>
    <w:p ns2:paraId="6A5E124D" ns2:textId="77777777" w:rsidR="00E81908" w:rsidRDefault="00000000">
      <w:pPr>
        <w:pStyle w:val="EndNoteBibliography"/>
      </w:pPr>
      <w:r>
        <w:t>[2] A. Bacchelli and C. Bird, "Expectations, outcomes, and challenges of modern code review," in Proceedings of the International Conference on Software Engineering (ICSE), 2013, pp. 712–721.</w:t>
      </w:r>
    </w:p>
    <w:p ns2:paraId="35F1020B" ns2:textId="77777777" w:rsidR="00E81908" w:rsidRDefault="00000000">
      <w:pPr>
        <w:pStyle w:val="EndNoteBibliography"/>
      </w:pPr>
      <w:r>
        <w:t>[3] Y. Yu, M. Wang, and G. Yin, "Predicting reviewer response time in pull-based developer collaboration," in Proceedings of the Conference on Software Analysis, Evolution, and Reengineering (SANER), 2015, pp. 12–21.</w:t>
      </w:r>
    </w:p>
    <w:p ns2:paraId="79E83350" ns2:textId="77777777" w:rsidR="00E81908" w:rsidRDefault="00000000">
      <w:pPr>
        <w:pStyle w:val="EndNoteBibliography"/>
      </w:pPr>
      <w:r>
        <w:t>[4] O. Kononenko, O. Baysal, and M. W. Godfrey, "Code review quality: How manual code review detects bugs," in Proceedings of the International Conference on Software Engineering (ICSE), 2016, pp. 119–130.</w:t>
      </w:r>
    </w:p>
    <w:p ns2:paraId="5C0583AA" ns2:textId="77777777" w:rsidR="00E81908" w:rsidRDefault="00000000">
      <w:pPr>
        <w:pStyle w:val="EndNoteBibliography"/>
      </w:pPr>
      <w:r>
        <w:t>[5] J. Tsay, L. Dabbish, and J. Herbsleb, "Influence of social and technical factors for evaluating contribution in GitHub," in Proceedings of the International Conference on Software Engineering (ICSE), 2014, pp. 356–366.</w:t>
      </w:r>
    </w:p>
    <w:p ns2:paraId="5C0583AA" ns2:textId="77777777" w:rsidR="00E81908" w:rsidRDefault="00000000">
      <w:pPr>
        <w:pStyle w:val="EndNoteBibliography"/>
      </w:pPr>
      <w:r>
        <w:t>[6] N. V. Chawla, K. W. Bowyer, L. O. Hall, and W. P. Kegelmeyer, "SMOTE: synthetic minority over-sampling technique," Journal of Artificial Intelligence Research, vol. 16, pp. 321–357, 2002.</w:t>
      </w:r>
    </w:p>
    <w:sectPr w:rsidR="00E81908" w:rsidSect="00AC169A">
      <w:footnotePr>
        <w:numStart w:val="2"/>
      </w:footnotePr>
      <w:type w:val="continuous"/>
      <w:pgSz w:w="11907" w:h="16840" w:code="9"/>
      <w:pgMar w:top="900" w:right="657" w:bottom="810" w:left="1080" w:header="2381" w:footer="1389"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13E10" w14:textId="77777777" w:rsidR="00574C56" w:rsidRDefault="00574C56">
      <w:r>
        <w:separator/>
      </w:r>
    </w:p>
  </w:endnote>
  <w:endnote w:type="continuationSeparator" w:id="0">
    <w:p w14:paraId="59FB6B68" w14:textId="77777777" w:rsidR="00574C56" w:rsidRDefault="00574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altName w:val="Times New Roma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2D619" w14:textId="77777777" w:rsidR="00574C56" w:rsidRDefault="00574C56">
      <w:r>
        <w:separator/>
      </w:r>
    </w:p>
  </w:footnote>
  <w:footnote w:type="continuationSeparator" w:id="0">
    <w:p w14:paraId="4AC5CEE3" w14:textId="77777777" w:rsidR="00574C56" w:rsidRDefault="00574C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1" w15:restartNumberingAfterBreak="0">
    <w:nsid w:val="18B62929"/>
    <w:multiLevelType w:val="hybridMultilevel"/>
    <w:tmpl w:val="922622D0"/>
    <w:lvl w:ilvl="0" w:tplc="D4F2F5CE">
      <w:start w:val="1"/>
      <w:numFmt w:val="bullet"/>
      <w:lvlText w:val=""/>
      <w:lvlJc w:val="left"/>
      <w:pPr>
        <w:ind w:left="1027" w:hanging="400"/>
      </w:pPr>
      <w:rPr>
        <w:rFonts w:ascii="Wingdings" w:hAnsi="Wingdings" w:hint="default"/>
      </w:rPr>
    </w:lvl>
    <w:lvl w:ilvl="1" w:tplc="04090003" w:tentative="1">
      <w:start w:val="1"/>
      <w:numFmt w:val="bullet"/>
      <w:lvlText w:val=""/>
      <w:lvlJc w:val="left"/>
      <w:pPr>
        <w:ind w:left="1427" w:hanging="400"/>
      </w:pPr>
      <w:rPr>
        <w:rFonts w:ascii="Wingdings" w:hAnsi="Wingdings" w:hint="default"/>
      </w:rPr>
    </w:lvl>
    <w:lvl w:ilvl="2" w:tplc="04090005" w:tentative="1">
      <w:start w:val="1"/>
      <w:numFmt w:val="bullet"/>
      <w:lvlText w:val=""/>
      <w:lvlJc w:val="left"/>
      <w:pPr>
        <w:ind w:left="1827" w:hanging="400"/>
      </w:pPr>
      <w:rPr>
        <w:rFonts w:ascii="Wingdings" w:hAnsi="Wingdings" w:hint="default"/>
      </w:rPr>
    </w:lvl>
    <w:lvl w:ilvl="3" w:tplc="04090001" w:tentative="1">
      <w:start w:val="1"/>
      <w:numFmt w:val="bullet"/>
      <w:lvlText w:val=""/>
      <w:lvlJc w:val="left"/>
      <w:pPr>
        <w:ind w:left="2227" w:hanging="400"/>
      </w:pPr>
      <w:rPr>
        <w:rFonts w:ascii="Wingdings" w:hAnsi="Wingdings" w:hint="default"/>
      </w:rPr>
    </w:lvl>
    <w:lvl w:ilvl="4" w:tplc="04090003" w:tentative="1">
      <w:start w:val="1"/>
      <w:numFmt w:val="bullet"/>
      <w:lvlText w:val=""/>
      <w:lvlJc w:val="left"/>
      <w:pPr>
        <w:ind w:left="2627" w:hanging="400"/>
      </w:pPr>
      <w:rPr>
        <w:rFonts w:ascii="Wingdings" w:hAnsi="Wingdings" w:hint="default"/>
      </w:rPr>
    </w:lvl>
    <w:lvl w:ilvl="5" w:tplc="04090005" w:tentative="1">
      <w:start w:val="1"/>
      <w:numFmt w:val="bullet"/>
      <w:lvlText w:val=""/>
      <w:lvlJc w:val="left"/>
      <w:pPr>
        <w:ind w:left="3027" w:hanging="400"/>
      </w:pPr>
      <w:rPr>
        <w:rFonts w:ascii="Wingdings" w:hAnsi="Wingdings" w:hint="default"/>
      </w:rPr>
    </w:lvl>
    <w:lvl w:ilvl="6" w:tplc="04090001" w:tentative="1">
      <w:start w:val="1"/>
      <w:numFmt w:val="bullet"/>
      <w:lvlText w:val=""/>
      <w:lvlJc w:val="left"/>
      <w:pPr>
        <w:ind w:left="3427" w:hanging="400"/>
      </w:pPr>
      <w:rPr>
        <w:rFonts w:ascii="Wingdings" w:hAnsi="Wingdings" w:hint="default"/>
      </w:rPr>
    </w:lvl>
    <w:lvl w:ilvl="7" w:tplc="04090003" w:tentative="1">
      <w:start w:val="1"/>
      <w:numFmt w:val="bullet"/>
      <w:lvlText w:val=""/>
      <w:lvlJc w:val="left"/>
      <w:pPr>
        <w:ind w:left="3827" w:hanging="400"/>
      </w:pPr>
      <w:rPr>
        <w:rFonts w:ascii="Wingdings" w:hAnsi="Wingdings" w:hint="default"/>
      </w:rPr>
    </w:lvl>
    <w:lvl w:ilvl="8" w:tplc="04090005" w:tentative="1">
      <w:start w:val="1"/>
      <w:numFmt w:val="bullet"/>
      <w:lvlText w:val=""/>
      <w:lvlJc w:val="left"/>
      <w:pPr>
        <w:ind w:left="4227" w:hanging="400"/>
      </w:pPr>
      <w:rPr>
        <w:rFonts w:ascii="Wingdings" w:hAnsi="Wingdings" w:hint="default"/>
      </w:rPr>
    </w:lvl>
  </w:abstractNum>
  <w:abstractNum w:abstractNumId="2" w15:restartNumberingAfterBreak="0">
    <w:nsid w:val="1C163A30"/>
    <w:multiLevelType w:val="hybridMultilevel"/>
    <w:tmpl w:val="0F78D918"/>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3" w15:restartNumberingAfterBreak="0">
    <w:nsid w:val="221128A0"/>
    <w:multiLevelType w:val="hybridMultilevel"/>
    <w:tmpl w:val="55BC720C"/>
    <w:lvl w:ilvl="0" w:tplc="D4F2F5CE">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5"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3E2C68E7"/>
    <w:multiLevelType w:val="multilevel"/>
    <w:tmpl w:val="0F78D918"/>
    <w:lvl w:ilvl="0">
      <w:start w:val="1"/>
      <w:numFmt w:val="bullet"/>
      <w:lvlText w:val=""/>
      <w:lvlJc w:val="left"/>
      <w:pPr>
        <w:tabs>
          <w:tab w:val="num" w:pos="800"/>
        </w:tabs>
        <w:ind w:left="800" w:hanging="400"/>
      </w:pPr>
      <w:rPr>
        <w:rFonts w:ascii="Wingdings" w:hAnsi="Wingdings" w:hint="default"/>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7" w15:restartNumberingAfterBreak="0">
    <w:nsid w:val="4E450090"/>
    <w:multiLevelType w:val="hybridMultilevel"/>
    <w:tmpl w:val="D65414A4"/>
    <w:lvl w:ilvl="0" w:tplc="57AE07AC">
      <w:start w:val="1"/>
      <w:numFmt w:val="lowerLetter"/>
      <w:lvlText w:val="(%1)"/>
      <w:lvlJc w:val="left"/>
      <w:pPr>
        <w:ind w:left="2487" w:hanging="360"/>
      </w:pPr>
      <w:rPr>
        <w:rFonts w:hint="default"/>
      </w:rPr>
    </w:lvl>
    <w:lvl w:ilvl="1" w:tplc="04090019" w:tentative="1">
      <w:start w:val="1"/>
      <w:numFmt w:val="upperLetter"/>
      <w:lvlText w:val="%2."/>
      <w:lvlJc w:val="left"/>
      <w:pPr>
        <w:ind w:left="2927" w:hanging="400"/>
      </w:pPr>
    </w:lvl>
    <w:lvl w:ilvl="2" w:tplc="0409001B" w:tentative="1">
      <w:start w:val="1"/>
      <w:numFmt w:val="lowerRoman"/>
      <w:lvlText w:val="%3."/>
      <w:lvlJc w:val="right"/>
      <w:pPr>
        <w:ind w:left="3327" w:hanging="400"/>
      </w:pPr>
    </w:lvl>
    <w:lvl w:ilvl="3" w:tplc="0409000F" w:tentative="1">
      <w:start w:val="1"/>
      <w:numFmt w:val="decimal"/>
      <w:lvlText w:val="%4."/>
      <w:lvlJc w:val="left"/>
      <w:pPr>
        <w:ind w:left="3727" w:hanging="400"/>
      </w:pPr>
    </w:lvl>
    <w:lvl w:ilvl="4" w:tplc="04090019" w:tentative="1">
      <w:start w:val="1"/>
      <w:numFmt w:val="upperLetter"/>
      <w:lvlText w:val="%5."/>
      <w:lvlJc w:val="left"/>
      <w:pPr>
        <w:ind w:left="4127" w:hanging="400"/>
      </w:pPr>
    </w:lvl>
    <w:lvl w:ilvl="5" w:tplc="0409001B" w:tentative="1">
      <w:start w:val="1"/>
      <w:numFmt w:val="lowerRoman"/>
      <w:lvlText w:val="%6."/>
      <w:lvlJc w:val="right"/>
      <w:pPr>
        <w:ind w:left="4527" w:hanging="400"/>
      </w:pPr>
    </w:lvl>
    <w:lvl w:ilvl="6" w:tplc="0409000F" w:tentative="1">
      <w:start w:val="1"/>
      <w:numFmt w:val="decimal"/>
      <w:lvlText w:val="%7."/>
      <w:lvlJc w:val="left"/>
      <w:pPr>
        <w:ind w:left="4927" w:hanging="400"/>
      </w:pPr>
    </w:lvl>
    <w:lvl w:ilvl="7" w:tplc="04090019" w:tentative="1">
      <w:start w:val="1"/>
      <w:numFmt w:val="upperLetter"/>
      <w:lvlText w:val="%8."/>
      <w:lvlJc w:val="left"/>
      <w:pPr>
        <w:ind w:left="5327" w:hanging="400"/>
      </w:pPr>
    </w:lvl>
    <w:lvl w:ilvl="8" w:tplc="0409001B" w:tentative="1">
      <w:start w:val="1"/>
      <w:numFmt w:val="lowerRoman"/>
      <w:lvlText w:val="%9."/>
      <w:lvlJc w:val="right"/>
      <w:pPr>
        <w:ind w:left="5727" w:hanging="400"/>
      </w:pPr>
    </w:lvl>
  </w:abstractNum>
  <w:abstractNum w:abstractNumId="8" w15:restartNumberingAfterBreak="0">
    <w:nsid w:val="701B0666"/>
    <w:multiLevelType w:val="hybridMultilevel"/>
    <w:tmpl w:val="464E8CAE"/>
    <w:lvl w:ilvl="0" w:tplc="04090001">
      <w:start w:val="1"/>
      <w:numFmt w:val="bullet"/>
      <w:lvlText w:val=""/>
      <w:lvlJc w:val="left"/>
      <w:pPr>
        <w:ind w:left="1027" w:hanging="400"/>
      </w:pPr>
      <w:rPr>
        <w:rFonts w:ascii="Wingdings" w:hAnsi="Wingdings" w:hint="default"/>
      </w:rPr>
    </w:lvl>
    <w:lvl w:ilvl="1" w:tplc="04090003" w:tentative="1">
      <w:start w:val="1"/>
      <w:numFmt w:val="bullet"/>
      <w:lvlText w:val=""/>
      <w:lvlJc w:val="left"/>
      <w:pPr>
        <w:ind w:left="1427" w:hanging="400"/>
      </w:pPr>
      <w:rPr>
        <w:rFonts w:ascii="Wingdings" w:hAnsi="Wingdings" w:hint="default"/>
      </w:rPr>
    </w:lvl>
    <w:lvl w:ilvl="2" w:tplc="04090005" w:tentative="1">
      <w:start w:val="1"/>
      <w:numFmt w:val="bullet"/>
      <w:lvlText w:val=""/>
      <w:lvlJc w:val="left"/>
      <w:pPr>
        <w:ind w:left="1827" w:hanging="400"/>
      </w:pPr>
      <w:rPr>
        <w:rFonts w:ascii="Wingdings" w:hAnsi="Wingdings" w:hint="default"/>
      </w:rPr>
    </w:lvl>
    <w:lvl w:ilvl="3" w:tplc="04090001" w:tentative="1">
      <w:start w:val="1"/>
      <w:numFmt w:val="bullet"/>
      <w:lvlText w:val=""/>
      <w:lvlJc w:val="left"/>
      <w:pPr>
        <w:ind w:left="2227" w:hanging="400"/>
      </w:pPr>
      <w:rPr>
        <w:rFonts w:ascii="Wingdings" w:hAnsi="Wingdings" w:hint="default"/>
      </w:rPr>
    </w:lvl>
    <w:lvl w:ilvl="4" w:tplc="04090003" w:tentative="1">
      <w:start w:val="1"/>
      <w:numFmt w:val="bullet"/>
      <w:lvlText w:val=""/>
      <w:lvlJc w:val="left"/>
      <w:pPr>
        <w:ind w:left="2627" w:hanging="400"/>
      </w:pPr>
      <w:rPr>
        <w:rFonts w:ascii="Wingdings" w:hAnsi="Wingdings" w:hint="default"/>
      </w:rPr>
    </w:lvl>
    <w:lvl w:ilvl="5" w:tplc="04090005" w:tentative="1">
      <w:start w:val="1"/>
      <w:numFmt w:val="bullet"/>
      <w:lvlText w:val=""/>
      <w:lvlJc w:val="left"/>
      <w:pPr>
        <w:ind w:left="3027" w:hanging="400"/>
      </w:pPr>
      <w:rPr>
        <w:rFonts w:ascii="Wingdings" w:hAnsi="Wingdings" w:hint="default"/>
      </w:rPr>
    </w:lvl>
    <w:lvl w:ilvl="6" w:tplc="04090001" w:tentative="1">
      <w:start w:val="1"/>
      <w:numFmt w:val="bullet"/>
      <w:lvlText w:val=""/>
      <w:lvlJc w:val="left"/>
      <w:pPr>
        <w:ind w:left="3427" w:hanging="400"/>
      </w:pPr>
      <w:rPr>
        <w:rFonts w:ascii="Wingdings" w:hAnsi="Wingdings" w:hint="default"/>
      </w:rPr>
    </w:lvl>
    <w:lvl w:ilvl="7" w:tplc="04090003" w:tentative="1">
      <w:start w:val="1"/>
      <w:numFmt w:val="bullet"/>
      <w:lvlText w:val=""/>
      <w:lvlJc w:val="left"/>
      <w:pPr>
        <w:ind w:left="3827" w:hanging="400"/>
      </w:pPr>
      <w:rPr>
        <w:rFonts w:ascii="Wingdings" w:hAnsi="Wingdings" w:hint="default"/>
      </w:rPr>
    </w:lvl>
    <w:lvl w:ilvl="8" w:tplc="04090005" w:tentative="1">
      <w:start w:val="1"/>
      <w:numFmt w:val="bullet"/>
      <w:lvlText w:val=""/>
      <w:lvlJc w:val="left"/>
      <w:pPr>
        <w:ind w:left="4227" w:hanging="400"/>
      </w:pPr>
      <w:rPr>
        <w:rFonts w:ascii="Wingdings" w:hAnsi="Wingdings" w:hint="default"/>
      </w:rPr>
    </w:lvl>
  </w:abstractNum>
  <w:num w:numId="1" w16cid:durableId="1445418419">
    <w:abstractNumId w:val="0"/>
  </w:num>
  <w:num w:numId="2" w16cid:durableId="191462541">
    <w:abstractNumId w:val="5"/>
  </w:num>
  <w:num w:numId="3" w16cid:durableId="756439975">
    <w:abstractNumId w:val="4"/>
  </w:num>
  <w:num w:numId="4" w16cid:durableId="435634507">
    <w:abstractNumId w:val="7"/>
  </w:num>
  <w:num w:numId="5" w16cid:durableId="379284702">
    <w:abstractNumId w:val="2"/>
  </w:num>
  <w:num w:numId="6" w16cid:durableId="1784301792">
    <w:abstractNumId w:val="6"/>
  </w:num>
  <w:num w:numId="7" w16cid:durableId="1855723715">
    <w:abstractNumId w:val="3"/>
  </w:num>
  <w:num w:numId="8" w16cid:durableId="504323967">
    <w:abstractNumId w:val="8"/>
  </w:num>
  <w:num w:numId="9" w16cid:durableId="495192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ctiveWritingStyle w:appName="MSWord" w:lang="en-US" w:vendorID="64" w:dllVersion="6" w:nlCheck="1" w:checkStyle="1"/>
  <w:activeWritingStyle w:appName="MSWord" w:lang="ko-KR" w:vendorID="64" w:dllVersion="5" w:nlCheck="1" w:checkStyle="1"/>
  <w:activeWritingStyle w:appName="MSWord" w:lang="en-GB" w:vendorID="64" w:dllVersion="6" w:nlCheck="1" w:checkStyle="1"/>
  <w:activeWritingStyle w:appName="MSWord" w:lang="en-US" w:vendorID="64" w:dllVersion="4096" w:nlCheck="1" w:checkStyle="0"/>
  <w:activeWritingStyle w:appName="MSWord" w:lang="de-DE"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numStart w:val="2"/>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vrxzz0w5z5pzvesv5bp9xwuxr20veazrw9p&quot;&gt;My EndNote Library&lt;record-ids&gt;&lt;item&gt;21&lt;/item&gt;&lt;item&gt;22&lt;/item&gt;&lt;item&gt;23&lt;/item&gt;&lt;item&gt;24&lt;/item&gt;&lt;item&gt;25&lt;/item&gt;&lt;item&gt;26&lt;/item&gt;&lt;item&gt;27&lt;/item&gt;&lt;item&gt;28&lt;/item&gt;&lt;item&gt;29&lt;/item&gt;&lt;item&gt;30&lt;/item&gt;&lt;item&gt;31&lt;/item&gt;&lt;item&gt;32&lt;/item&gt;&lt;item&gt;33&lt;/item&gt;&lt;item&gt;34&lt;/item&gt;&lt;/record-ids&gt;&lt;/item&gt;&lt;/Libraries&gt;"/>
  </w:docVars>
  <w:rsids>
    <w:rsidRoot w:val="009942DC"/>
    <w:rsid w:val="000003B1"/>
    <w:rsid w:val="000201C4"/>
    <w:rsid w:val="000236AF"/>
    <w:rsid w:val="00031FD7"/>
    <w:rsid w:val="000376D9"/>
    <w:rsid w:val="00040D46"/>
    <w:rsid w:val="00044DE5"/>
    <w:rsid w:val="00050DFE"/>
    <w:rsid w:val="00053BA6"/>
    <w:rsid w:val="00055BE8"/>
    <w:rsid w:val="00063D1B"/>
    <w:rsid w:val="000645A9"/>
    <w:rsid w:val="000718EC"/>
    <w:rsid w:val="00073968"/>
    <w:rsid w:val="00086506"/>
    <w:rsid w:val="00087C5C"/>
    <w:rsid w:val="00094440"/>
    <w:rsid w:val="00094C08"/>
    <w:rsid w:val="00095A93"/>
    <w:rsid w:val="000A2A68"/>
    <w:rsid w:val="000B2273"/>
    <w:rsid w:val="000B4C0E"/>
    <w:rsid w:val="000C3206"/>
    <w:rsid w:val="000C6B24"/>
    <w:rsid w:val="000D39EE"/>
    <w:rsid w:val="000E4EF4"/>
    <w:rsid w:val="000E6FF4"/>
    <w:rsid w:val="000F1136"/>
    <w:rsid w:val="000F18DE"/>
    <w:rsid w:val="000F2CBE"/>
    <w:rsid w:val="001047FD"/>
    <w:rsid w:val="00105BC7"/>
    <w:rsid w:val="001161FE"/>
    <w:rsid w:val="001246F0"/>
    <w:rsid w:val="00143F88"/>
    <w:rsid w:val="001440FD"/>
    <w:rsid w:val="00147A57"/>
    <w:rsid w:val="00165C6D"/>
    <w:rsid w:val="00173232"/>
    <w:rsid w:val="0018584D"/>
    <w:rsid w:val="00197CB3"/>
    <w:rsid w:val="00197F89"/>
    <w:rsid w:val="001A183C"/>
    <w:rsid w:val="001A60E2"/>
    <w:rsid w:val="001B62D1"/>
    <w:rsid w:val="001D3036"/>
    <w:rsid w:val="001D6E65"/>
    <w:rsid w:val="001E22F3"/>
    <w:rsid w:val="001E2B8E"/>
    <w:rsid w:val="00203798"/>
    <w:rsid w:val="00225817"/>
    <w:rsid w:val="002404BF"/>
    <w:rsid w:val="002471F2"/>
    <w:rsid w:val="00251B65"/>
    <w:rsid w:val="00252BAB"/>
    <w:rsid w:val="00270E5B"/>
    <w:rsid w:val="00276576"/>
    <w:rsid w:val="00284AAE"/>
    <w:rsid w:val="0029200D"/>
    <w:rsid w:val="002954F1"/>
    <w:rsid w:val="002A3EE9"/>
    <w:rsid w:val="002C5317"/>
    <w:rsid w:val="002D41DE"/>
    <w:rsid w:val="002E1C57"/>
    <w:rsid w:val="002F1AC8"/>
    <w:rsid w:val="002F2AA2"/>
    <w:rsid w:val="00307AC6"/>
    <w:rsid w:val="003104EA"/>
    <w:rsid w:val="00311FA0"/>
    <w:rsid w:val="003133C5"/>
    <w:rsid w:val="0032293C"/>
    <w:rsid w:val="0032526A"/>
    <w:rsid w:val="00327D98"/>
    <w:rsid w:val="0033684D"/>
    <w:rsid w:val="003431CE"/>
    <w:rsid w:val="00346D0F"/>
    <w:rsid w:val="00360B74"/>
    <w:rsid w:val="00380E78"/>
    <w:rsid w:val="003820E5"/>
    <w:rsid w:val="0038417A"/>
    <w:rsid w:val="00390752"/>
    <w:rsid w:val="003911B4"/>
    <w:rsid w:val="003965CF"/>
    <w:rsid w:val="003C0591"/>
    <w:rsid w:val="003C42CB"/>
    <w:rsid w:val="003C5FA0"/>
    <w:rsid w:val="003C7543"/>
    <w:rsid w:val="003D094D"/>
    <w:rsid w:val="003D0C99"/>
    <w:rsid w:val="003D3C40"/>
    <w:rsid w:val="003D5C7E"/>
    <w:rsid w:val="003E2353"/>
    <w:rsid w:val="00403AFF"/>
    <w:rsid w:val="004055E4"/>
    <w:rsid w:val="004072A8"/>
    <w:rsid w:val="00422C0D"/>
    <w:rsid w:val="00426085"/>
    <w:rsid w:val="00456D08"/>
    <w:rsid w:val="004742DF"/>
    <w:rsid w:val="004758B5"/>
    <w:rsid w:val="004A3A63"/>
    <w:rsid w:val="004B699F"/>
    <w:rsid w:val="004B6BF4"/>
    <w:rsid w:val="004C1050"/>
    <w:rsid w:val="004C31AA"/>
    <w:rsid w:val="004C6CCF"/>
    <w:rsid w:val="004D1AAE"/>
    <w:rsid w:val="004E23FC"/>
    <w:rsid w:val="005007A7"/>
    <w:rsid w:val="00500C71"/>
    <w:rsid w:val="005021ED"/>
    <w:rsid w:val="00502E70"/>
    <w:rsid w:val="0050372C"/>
    <w:rsid w:val="00505DD9"/>
    <w:rsid w:val="0051169C"/>
    <w:rsid w:val="005137D1"/>
    <w:rsid w:val="005154B2"/>
    <w:rsid w:val="00530072"/>
    <w:rsid w:val="0053261B"/>
    <w:rsid w:val="005326FB"/>
    <w:rsid w:val="0053273F"/>
    <w:rsid w:val="00561895"/>
    <w:rsid w:val="0056256A"/>
    <w:rsid w:val="00574C56"/>
    <w:rsid w:val="0057594E"/>
    <w:rsid w:val="00585DD0"/>
    <w:rsid w:val="00586CFF"/>
    <w:rsid w:val="00594FB5"/>
    <w:rsid w:val="0059593E"/>
    <w:rsid w:val="005B1E72"/>
    <w:rsid w:val="005B5E6B"/>
    <w:rsid w:val="005C47E9"/>
    <w:rsid w:val="005C749F"/>
    <w:rsid w:val="005D3603"/>
    <w:rsid w:val="005E5868"/>
    <w:rsid w:val="005F632A"/>
    <w:rsid w:val="006019D6"/>
    <w:rsid w:val="006047C8"/>
    <w:rsid w:val="00607AA9"/>
    <w:rsid w:val="006225EA"/>
    <w:rsid w:val="00652234"/>
    <w:rsid w:val="00655B2F"/>
    <w:rsid w:val="00657488"/>
    <w:rsid w:val="00664363"/>
    <w:rsid w:val="0067477F"/>
    <w:rsid w:val="006824C1"/>
    <w:rsid w:val="006929E4"/>
    <w:rsid w:val="006962C6"/>
    <w:rsid w:val="006A1BD8"/>
    <w:rsid w:val="006A3C9C"/>
    <w:rsid w:val="006A5678"/>
    <w:rsid w:val="006B13EC"/>
    <w:rsid w:val="006D29E3"/>
    <w:rsid w:val="006E02EE"/>
    <w:rsid w:val="006E4A00"/>
    <w:rsid w:val="006E4C51"/>
    <w:rsid w:val="006E5291"/>
    <w:rsid w:val="0070520C"/>
    <w:rsid w:val="007131A7"/>
    <w:rsid w:val="00715AD3"/>
    <w:rsid w:val="00717CAC"/>
    <w:rsid w:val="007248A5"/>
    <w:rsid w:val="007309D0"/>
    <w:rsid w:val="00746CAF"/>
    <w:rsid w:val="00750F2F"/>
    <w:rsid w:val="0076088E"/>
    <w:rsid w:val="0076298C"/>
    <w:rsid w:val="007729AB"/>
    <w:rsid w:val="00775E35"/>
    <w:rsid w:val="00781567"/>
    <w:rsid w:val="00786107"/>
    <w:rsid w:val="007868A8"/>
    <w:rsid w:val="007951DA"/>
    <w:rsid w:val="007A104F"/>
    <w:rsid w:val="007C02DC"/>
    <w:rsid w:val="007D5DDE"/>
    <w:rsid w:val="007F0A3C"/>
    <w:rsid w:val="007F64F3"/>
    <w:rsid w:val="00800EC6"/>
    <w:rsid w:val="008073D9"/>
    <w:rsid w:val="008107D8"/>
    <w:rsid w:val="008142C9"/>
    <w:rsid w:val="008149EA"/>
    <w:rsid w:val="00826B9E"/>
    <w:rsid w:val="008326F3"/>
    <w:rsid w:val="00864E11"/>
    <w:rsid w:val="00864E62"/>
    <w:rsid w:val="00871479"/>
    <w:rsid w:val="00871958"/>
    <w:rsid w:val="00872964"/>
    <w:rsid w:val="00877AB4"/>
    <w:rsid w:val="00884B38"/>
    <w:rsid w:val="00885AC1"/>
    <w:rsid w:val="0088794A"/>
    <w:rsid w:val="00887C08"/>
    <w:rsid w:val="008A0799"/>
    <w:rsid w:val="008A52C6"/>
    <w:rsid w:val="008A57D7"/>
    <w:rsid w:val="008A75C3"/>
    <w:rsid w:val="008B169C"/>
    <w:rsid w:val="008B21E7"/>
    <w:rsid w:val="008C2C9A"/>
    <w:rsid w:val="008D5B40"/>
    <w:rsid w:val="008D5CD5"/>
    <w:rsid w:val="008D7233"/>
    <w:rsid w:val="009101B2"/>
    <w:rsid w:val="00911326"/>
    <w:rsid w:val="00914605"/>
    <w:rsid w:val="00925E7B"/>
    <w:rsid w:val="009347BB"/>
    <w:rsid w:val="0095068A"/>
    <w:rsid w:val="00963939"/>
    <w:rsid w:val="00992DCF"/>
    <w:rsid w:val="009932E7"/>
    <w:rsid w:val="009942DC"/>
    <w:rsid w:val="00997915"/>
    <w:rsid w:val="00997EA9"/>
    <w:rsid w:val="009A11D9"/>
    <w:rsid w:val="009B0EE2"/>
    <w:rsid w:val="009B1D59"/>
    <w:rsid w:val="009C07C2"/>
    <w:rsid w:val="009C7C5E"/>
    <w:rsid w:val="009D2E3F"/>
    <w:rsid w:val="009F0BB0"/>
    <w:rsid w:val="009F1C93"/>
    <w:rsid w:val="009F4136"/>
    <w:rsid w:val="00A02F42"/>
    <w:rsid w:val="00A06878"/>
    <w:rsid w:val="00A14B3A"/>
    <w:rsid w:val="00A36096"/>
    <w:rsid w:val="00A42EEF"/>
    <w:rsid w:val="00A52008"/>
    <w:rsid w:val="00A5357B"/>
    <w:rsid w:val="00A61B46"/>
    <w:rsid w:val="00A8258F"/>
    <w:rsid w:val="00A82AC2"/>
    <w:rsid w:val="00A84F30"/>
    <w:rsid w:val="00A92CF7"/>
    <w:rsid w:val="00A94A50"/>
    <w:rsid w:val="00AA18F8"/>
    <w:rsid w:val="00AB1203"/>
    <w:rsid w:val="00AB5047"/>
    <w:rsid w:val="00AB5CB0"/>
    <w:rsid w:val="00AC0F1A"/>
    <w:rsid w:val="00AC169A"/>
    <w:rsid w:val="00AD4178"/>
    <w:rsid w:val="00AD5917"/>
    <w:rsid w:val="00AF011A"/>
    <w:rsid w:val="00AF37FD"/>
    <w:rsid w:val="00B00D7B"/>
    <w:rsid w:val="00B01F17"/>
    <w:rsid w:val="00B069EE"/>
    <w:rsid w:val="00B20034"/>
    <w:rsid w:val="00B417FD"/>
    <w:rsid w:val="00B51F79"/>
    <w:rsid w:val="00B63BAA"/>
    <w:rsid w:val="00B66C5F"/>
    <w:rsid w:val="00B66E4C"/>
    <w:rsid w:val="00B71AFF"/>
    <w:rsid w:val="00B76D00"/>
    <w:rsid w:val="00B81482"/>
    <w:rsid w:val="00B81BE9"/>
    <w:rsid w:val="00B82EC6"/>
    <w:rsid w:val="00B844CD"/>
    <w:rsid w:val="00B953BA"/>
    <w:rsid w:val="00BA4722"/>
    <w:rsid w:val="00BA4878"/>
    <w:rsid w:val="00BB6676"/>
    <w:rsid w:val="00BD2D0A"/>
    <w:rsid w:val="00BD33FD"/>
    <w:rsid w:val="00C10B9B"/>
    <w:rsid w:val="00C16F71"/>
    <w:rsid w:val="00C21DCE"/>
    <w:rsid w:val="00C27BCB"/>
    <w:rsid w:val="00C27F93"/>
    <w:rsid w:val="00C478BA"/>
    <w:rsid w:val="00C52486"/>
    <w:rsid w:val="00C815CC"/>
    <w:rsid w:val="00C86979"/>
    <w:rsid w:val="00C951AE"/>
    <w:rsid w:val="00C95EFA"/>
    <w:rsid w:val="00C979D1"/>
    <w:rsid w:val="00CA49A2"/>
    <w:rsid w:val="00CB2306"/>
    <w:rsid w:val="00CB2C65"/>
    <w:rsid w:val="00CC06E0"/>
    <w:rsid w:val="00CC599B"/>
    <w:rsid w:val="00CD0FE2"/>
    <w:rsid w:val="00CE515C"/>
    <w:rsid w:val="00CF0521"/>
    <w:rsid w:val="00CF3BCD"/>
    <w:rsid w:val="00CF3EC4"/>
    <w:rsid w:val="00D04D1F"/>
    <w:rsid w:val="00D079E8"/>
    <w:rsid w:val="00D15D54"/>
    <w:rsid w:val="00D21B1E"/>
    <w:rsid w:val="00D25733"/>
    <w:rsid w:val="00D46E59"/>
    <w:rsid w:val="00D47717"/>
    <w:rsid w:val="00D50A5C"/>
    <w:rsid w:val="00D8313E"/>
    <w:rsid w:val="00D8542E"/>
    <w:rsid w:val="00D94872"/>
    <w:rsid w:val="00DC0482"/>
    <w:rsid w:val="00DC0CAF"/>
    <w:rsid w:val="00DC2926"/>
    <w:rsid w:val="00DD625B"/>
    <w:rsid w:val="00E16C81"/>
    <w:rsid w:val="00E22A7B"/>
    <w:rsid w:val="00E3194C"/>
    <w:rsid w:val="00E3380D"/>
    <w:rsid w:val="00E37ADC"/>
    <w:rsid w:val="00E4398D"/>
    <w:rsid w:val="00E6157B"/>
    <w:rsid w:val="00E739F5"/>
    <w:rsid w:val="00E753D6"/>
    <w:rsid w:val="00E81908"/>
    <w:rsid w:val="00E81B3F"/>
    <w:rsid w:val="00E84403"/>
    <w:rsid w:val="00EA1D86"/>
    <w:rsid w:val="00EA3C57"/>
    <w:rsid w:val="00EA4DC2"/>
    <w:rsid w:val="00EA5897"/>
    <w:rsid w:val="00EB696E"/>
    <w:rsid w:val="00EC7457"/>
    <w:rsid w:val="00ED5CA9"/>
    <w:rsid w:val="00EF089D"/>
    <w:rsid w:val="00EF0C50"/>
    <w:rsid w:val="00F00716"/>
    <w:rsid w:val="00F03A34"/>
    <w:rsid w:val="00F1701D"/>
    <w:rsid w:val="00F241AF"/>
    <w:rsid w:val="00F322D5"/>
    <w:rsid w:val="00F35037"/>
    <w:rsid w:val="00F36F61"/>
    <w:rsid w:val="00F420F4"/>
    <w:rsid w:val="00F468CD"/>
    <w:rsid w:val="00F54FCB"/>
    <w:rsid w:val="00F61242"/>
    <w:rsid w:val="00F862F5"/>
    <w:rsid w:val="00F95A8B"/>
    <w:rsid w:val="00FA0BD0"/>
    <w:rsid w:val="00FA71B6"/>
    <w:rsid w:val="00FB62D7"/>
    <w:rsid w:val="00FC09A6"/>
    <w:rsid w:val="00FD02BE"/>
    <w:rsid w:val="00FE6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50FAA"/>
  <w15:chartTrackingRefBased/>
  <w15:docId w15:val="{97CB8401-D9D0-42D9-B72D-1CD39DA9D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algun Gothic"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rsid w:val="007729AB"/>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rsid w:val="007729AB"/>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rsid w:val="007729AB"/>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rsid w:val="007729AB"/>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rsid w:val="007729AB"/>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rsid w:val="007729AB"/>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rsid w:val="007729AB"/>
    <w:pPr>
      <w:numPr>
        <w:ilvl w:val="6"/>
        <w:numId w:val="1"/>
      </w:numPr>
      <w:spacing w:before="240" w:after="60"/>
      <w:ind w:firstLine="0"/>
      <w:outlineLvl w:val="6"/>
    </w:pPr>
    <w:rPr>
      <w:rFonts w:ascii="Arial" w:hAnsi="Arial"/>
    </w:rPr>
  </w:style>
  <w:style w:type="paragraph" w:styleId="Heading8">
    <w:name w:val="heading 8"/>
    <w:basedOn w:val="Normal"/>
    <w:next w:val="Normal"/>
    <w:qFormat/>
    <w:rsid w:val="007729AB"/>
    <w:pPr>
      <w:numPr>
        <w:ilvl w:val="7"/>
        <w:numId w:val="1"/>
      </w:numPr>
      <w:spacing w:before="240" w:after="60"/>
      <w:ind w:firstLine="0"/>
      <w:outlineLvl w:val="7"/>
    </w:pPr>
    <w:rPr>
      <w:rFonts w:ascii="Arial" w:hAnsi="Arial"/>
      <w:i/>
    </w:rPr>
  </w:style>
  <w:style w:type="paragraph" w:styleId="Heading9">
    <w:name w:val="heading 9"/>
    <w:basedOn w:val="Normal"/>
    <w:next w:val="Normal"/>
    <w:qFormat/>
    <w:rsid w:val="007729AB"/>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729AB"/>
    <w:pPr>
      <w:tabs>
        <w:tab w:val="center" w:pos="4536"/>
        <w:tab w:val="right" w:pos="9072"/>
      </w:tabs>
    </w:pPr>
  </w:style>
  <w:style w:type="paragraph" w:styleId="Footer">
    <w:name w:val="footer"/>
    <w:basedOn w:val="Normal"/>
    <w:rsid w:val="007729AB"/>
    <w:pPr>
      <w:tabs>
        <w:tab w:val="center" w:pos="4536"/>
        <w:tab w:val="right" w:pos="9072"/>
      </w:tabs>
    </w:pPr>
  </w:style>
  <w:style w:type="character" w:styleId="PageNumber">
    <w:name w:val="page number"/>
    <w:basedOn w:val="DefaultParagraphFont"/>
    <w:rsid w:val="007729AB"/>
  </w:style>
  <w:style w:type="paragraph" w:customStyle="1" w:styleId="Title1">
    <w:name w:val="Title1"/>
    <w:basedOn w:val="Normal"/>
    <w:next w:val="author"/>
    <w:rsid w:val="007729AB"/>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7729AB"/>
    <w:pPr>
      <w:spacing w:after="220"/>
      <w:jc w:val="center"/>
    </w:pPr>
  </w:style>
  <w:style w:type="paragraph" w:customStyle="1" w:styleId="authorinfo">
    <w:name w:val="authorinfo"/>
    <w:basedOn w:val="Normal"/>
    <w:next w:val="email"/>
    <w:rsid w:val="007729AB"/>
    <w:pPr>
      <w:jc w:val="center"/>
    </w:pPr>
    <w:rPr>
      <w:sz w:val="18"/>
    </w:rPr>
  </w:style>
  <w:style w:type="paragraph" w:customStyle="1" w:styleId="email">
    <w:name w:val="email"/>
    <w:basedOn w:val="Normal"/>
    <w:next w:val="abstract"/>
    <w:rsid w:val="007729AB"/>
    <w:pPr>
      <w:jc w:val="center"/>
    </w:pPr>
    <w:rPr>
      <w:sz w:val="18"/>
    </w:rPr>
  </w:style>
  <w:style w:type="paragraph" w:customStyle="1" w:styleId="heading10">
    <w:name w:val="heading1"/>
    <w:basedOn w:val="Normal"/>
    <w:next w:val="p1a"/>
    <w:rsid w:val="007729AB"/>
    <w:pPr>
      <w:keepNext/>
      <w:keepLines/>
      <w:tabs>
        <w:tab w:val="left" w:pos="454"/>
      </w:tabs>
      <w:suppressAutoHyphens/>
      <w:spacing w:before="520" w:after="280"/>
      <w:ind w:firstLine="0"/>
    </w:pPr>
    <w:rPr>
      <w:b/>
      <w:sz w:val="24"/>
    </w:rPr>
  </w:style>
  <w:style w:type="paragraph" w:customStyle="1" w:styleId="heading20">
    <w:name w:val="heading2"/>
    <w:basedOn w:val="Normal"/>
    <w:next w:val="p1a"/>
    <w:rsid w:val="007729AB"/>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rsid w:val="007729AB"/>
    <w:pPr>
      <w:keepNext/>
      <w:keepLines/>
      <w:tabs>
        <w:tab w:val="left" w:pos="284"/>
      </w:tabs>
      <w:suppressAutoHyphens/>
      <w:spacing w:before="320"/>
      <w:ind w:firstLine="0"/>
    </w:pPr>
    <w:rPr>
      <w:b/>
    </w:rPr>
  </w:style>
  <w:style w:type="paragraph" w:customStyle="1" w:styleId="equation">
    <w:name w:val="equation"/>
    <w:basedOn w:val="Normal"/>
    <w:next w:val="Normal"/>
    <w:rsid w:val="007729AB"/>
    <w:pPr>
      <w:tabs>
        <w:tab w:val="left" w:pos="6237"/>
      </w:tabs>
      <w:spacing w:before="120" w:after="120"/>
      <w:ind w:left="227"/>
      <w:jc w:val="center"/>
    </w:pPr>
  </w:style>
  <w:style w:type="paragraph" w:customStyle="1" w:styleId="figlegend">
    <w:name w:val="figlegend"/>
    <w:basedOn w:val="Normal"/>
    <w:next w:val="Normal"/>
    <w:rsid w:val="007729AB"/>
    <w:pPr>
      <w:keepNext/>
      <w:keepLines/>
      <w:spacing w:before="120" w:after="240"/>
      <w:ind w:firstLine="0"/>
    </w:pPr>
    <w:rPr>
      <w:sz w:val="18"/>
    </w:rPr>
  </w:style>
  <w:style w:type="paragraph" w:customStyle="1" w:styleId="tablelegend">
    <w:name w:val="tablelegend"/>
    <w:basedOn w:val="Normal"/>
    <w:next w:val="Normal"/>
    <w:rsid w:val="007729AB"/>
    <w:pPr>
      <w:keepNext/>
      <w:keepLines/>
      <w:spacing w:before="240" w:after="120"/>
      <w:ind w:firstLine="0"/>
    </w:pPr>
    <w:rPr>
      <w:sz w:val="18"/>
      <w:lang w:val="de-DE"/>
    </w:rPr>
  </w:style>
  <w:style w:type="paragraph" w:customStyle="1" w:styleId="abstract">
    <w:name w:val="abstract"/>
    <w:basedOn w:val="p1a"/>
    <w:next w:val="heading10"/>
    <w:rsid w:val="007729AB"/>
    <w:pPr>
      <w:spacing w:before="600" w:after="120"/>
      <w:ind w:left="567" w:right="567"/>
    </w:pPr>
    <w:rPr>
      <w:sz w:val="18"/>
    </w:rPr>
  </w:style>
  <w:style w:type="paragraph" w:customStyle="1" w:styleId="p1a">
    <w:name w:val="p1a"/>
    <w:basedOn w:val="Normal"/>
    <w:next w:val="Normal"/>
    <w:link w:val="p1aZchn"/>
    <w:rsid w:val="007729AB"/>
    <w:pPr>
      <w:ind w:firstLine="0"/>
    </w:pPr>
  </w:style>
  <w:style w:type="paragraph" w:customStyle="1" w:styleId="reference">
    <w:name w:val="reference"/>
    <w:basedOn w:val="Normal"/>
    <w:rsid w:val="007729AB"/>
    <w:pPr>
      <w:ind w:left="227" w:hanging="227"/>
    </w:pPr>
    <w:rPr>
      <w:sz w:val="18"/>
    </w:rPr>
  </w:style>
  <w:style w:type="character" w:styleId="FootnoteReference">
    <w:name w:val="footnote reference"/>
    <w:semiHidden/>
    <w:rsid w:val="007729AB"/>
    <w:rPr>
      <w:position w:val="6"/>
      <w:sz w:val="12"/>
      <w:vertAlign w:val="baseline"/>
    </w:rPr>
  </w:style>
  <w:style w:type="paragraph" w:customStyle="1" w:styleId="Runninghead-left">
    <w:name w:val="Running head - left"/>
    <w:basedOn w:val="Normal"/>
    <w:rsid w:val="007729AB"/>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7729AB"/>
    <w:pPr>
      <w:jc w:val="right"/>
    </w:pPr>
  </w:style>
  <w:style w:type="paragraph" w:customStyle="1" w:styleId="BulletItem">
    <w:name w:val="Bullet Item"/>
    <w:basedOn w:val="Item"/>
    <w:rsid w:val="007729AB"/>
  </w:style>
  <w:style w:type="paragraph" w:customStyle="1" w:styleId="Item">
    <w:name w:val="Item"/>
    <w:basedOn w:val="Normal"/>
    <w:next w:val="Normal"/>
    <w:rsid w:val="007729AB"/>
    <w:pPr>
      <w:tabs>
        <w:tab w:val="left" w:pos="227"/>
        <w:tab w:val="left" w:pos="454"/>
      </w:tabs>
      <w:ind w:left="227" w:hanging="227"/>
    </w:pPr>
  </w:style>
  <w:style w:type="paragraph" w:customStyle="1" w:styleId="NumberedItem">
    <w:name w:val="Numbered Item"/>
    <w:basedOn w:val="Item"/>
    <w:rsid w:val="007729AB"/>
  </w:style>
  <w:style w:type="paragraph" w:styleId="FootnoteText">
    <w:name w:val="footnote text"/>
    <w:basedOn w:val="Normal"/>
    <w:semiHidden/>
    <w:rsid w:val="007729AB"/>
    <w:pPr>
      <w:tabs>
        <w:tab w:val="left" w:pos="170"/>
      </w:tabs>
      <w:ind w:left="170" w:hanging="170"/>
    </w:pPr>
    <w:rPr>
      <w:sz w:val="18"/>
    </w:rPr>
  </w:style>
  <w:style w:type="paragraph" w:customStyle="1" w:styleId="programcode">
    <w:name w:val="programcode"/>
    <w:basedOn w:val="Normal"/>
    <w:rsid w:val="007729AB"/>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7729AB"/>
    <w:pPr>
      <w:tabs>
        <w:tab w:val="left" w:pos="170"/>
      </w:tabs>
      <w:ind w:left="170" w:hanging="170"/>
    </w:pPr>
    <w:rPr>
      <w:sz w:val="18"/>
    </w:rPr>
  </w:style>
  <w:style w:type="paragraph" w:styleId="Caption">
    <w:name w:val="caption"/>
    <w:basedOn w:val="Normal"/>
    <w:next w:val="Normal"/>
    <w:qFormat/>
    <w:rsid w:val="007729AB"/>
    <w:pPr>
      <w:spacing w:before="120" w:after="120"/>
    </w:pPr>
    <w:rPr>
      <w:b/>
    </w:rPr>
  </w:style>
  <w:style w:type="paragraph" w:customStyle="1" w:styleId="heading40">
    <w:name w:val="heading4"/>
    <w:basedOn w:val="Normal"/>
    <w:next w:val="p1a"/>
    <w:rsid w:val="007729AB"/>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paragraph" w:styleId="ListParagraph">
    <w:name w:val="List Paragraph"/>
    <w:basedOn w:val="Normal"/>
    <w:uiPriority w:val="34"/>
    <w:qFormat/>
    <w:rsid w:val="001A183C"/>
    <w:pPr>
      <w:spacing w:after="160" w:line="259" w:lineRule="auto"/>
      <w:ind w:left="720" w:firstLine="0"/>
      <w:contextualSpacing/>
      <w:jc w:val="left"/>
    </w:pPr>
    <w:rPr>
      <w:rFonts w:ascii="Times New Roman" w:eastAsia="DengXian" w:hAnsi="Times New Roman"/>
      <w:sz w:val="26"/>
      <w:szCs w:val="22"/>
      <w:lang w:eastAsia="zh-CN"/>
    </w:rPr>
  </w:style>
  <w:style w:type="paragraph" w:styleId="NormalWeb">
    <w:name w:val="Normal (Web)"/>
    <w:basedOn w:val="Normal"/>
    <w:rsid w:val="00F1701D"/>
    <w:rPr>
      <w:rFonts w:ascii="Times New Roman" w:hAnsi="Times New Roman"/>
      <w:sz w:val="24"/>
      <w:szCs w:val="24"/>
    </w:rPr>
  </w:style>
  <w:style w:type="paragraph" w:customStyle="1" w:styleId="EndNoteBibliographyTitle">
    <w:name w:val="EndNote Bibliography Title"/>
    <w:basedOn w:val="Normal"/>
    <w:link w:val="EndNoteBibliographyTitleChar"/>
    <w:rsid w:val="00B66E4C"/>
    <w:pPr>
      <w:jc w:val="center"/>
    </w:pPr>
    <w:rPr>
      <w:rFonts w:cs="Times"/>
      <w:noProof/>
      <w:sz w:val="18"/>
      <w:lang w:val="de-DE"/>
    </w:rPr>
  </w:style>
  <w:style w:type="character" w:customStyle="1" w:styleId="EndNoteBibliographyTitleChar">
    <w:name w:val="EndNote Bibliography Title Char"/>
    <w:link w:val="EndNoteBibliographyTitle"/>
    <w:rsid w:val="00B66E4C"/>
    <w:rPr>
      <w:rFonts w:ascii="Times" w:hAnsi="Times" w:cs="Times"/>
      <w:noProof/>
      <w:sz w:val="18"/>
      <w:lang w:val="de-DE" w:eastAsia="de-DE"/>
    </w:rPr>
  </w:style>
  <w:style w:type="paragraph" w:customStyle="1" w:styleId="EndNoteBibliography">
    <w:name w:val="EndNote Bibliography"/>
    <w:basedOn w:val="Normal"/>
    <w:link w:val="EndNoteBibliographyChar"/>
    <w:rsid w:val="00B66E4C"/>
    <w:rPr>
      <w:rFonts w:cs="Times"/>
      <w:noProof/>
      <w:sz w:val="18"/>
      <w:lang w:val="de-DE"/>
    </w:rPr>
  </w:style>
  <w:style w:type="character" w:customStyle="1" w:styleId="EndNoteBibliographyChar">
    <w:name w:val="EndNote Bibliography Char"/>
    <w:link w:val="EndNoteBibliography"/>
    <w:rsid w:val="00B66E4C"/>
    <w:rPr>
      <w:rFonts w:ascii="Times" w:hAnsi="Times" w:cs="Times"/>
      <w:noProof/>
      <w:sz w:val="18"/>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trial.dot</Template>
  <TotalTime>58</TotalTime>
  <Pages>7</Pages>
  <Words>2782</Words>
  <Characters>15862</Characters>
  <Application>Microsoft Office Word</Application>
  <DocSecurity>0</DocSecurity>
  <Lines>132</Lines>
  <Paragraphs>37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sv-lncs</vt:lpstr>
      <vt:lpstr>sv-lncs</vt:lpstr>
    </vt:vector>
  </TitlesOfParts>
  <Company>Springer Verlag GmbH &amp; Co.KG</Company>
  <LinksUpToDate>false</LinksUpToDate>
  <CharactersWithSpaces>18607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Cao Cường Đặng</cp:lastModifiedBy>
  <cp:revision>5</cp:revision>
  <cp:lastPrinted>2006-05-07T11:03:00Z</cp:lastPrinted>
  <dcterms:created xsi:type="dcterms:W3CDTF">2026-06-22T03:38:00Z</dcterms:created>
  <dcterms:modified xsi:type="dcterms:W3CDTF">2026-06-22T05:07:00Z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18393c6d-81c6-46fd-8471-5729b1d5bfdc</vt:lpwstr>
  </property>
</Properties>
</file>