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028090"/>
          <w:sz w:val="20"/>
          <w:szCs w:val="20"/>
        </w:rPr>
        <w:t xml:space="preserve">CASE STUDY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2B2C"/>
          <w:sz w:val="52"/>
          <w:szCs w:val="52"/>
        </w:rPr>
        <w:t xml:space="preserve">BrightTV Viewership Analytics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7B7C"/>
          <w:sz w:val="24"/>
          <w:szCs w:val="24"/>
        </w:rPr>
        <w:t xml:space="preserve">How data-driven audience analysis revealed a 119% growth story — and a blueprint for scaling a streaming subscriber base</w:t>
      </w:r>
    </w:p>
    <w:p>
      <w:pPr>
        <w:pBdr>
          <w:bottom w:val="single" w:color="B2E0E5" w:sz="2" w:space="4"/>
        </w:pBdr>
        <w:spacing w:after="0" w:before="80"/>
      </w:pPr>
      <w:r>
        <w:rPr>
          <w:rFonts w:ascii="Arial" w:cs="Arial" w:eastAsia="Arial" w:hAnsi="Arial"/>
          <w:color w:val="6B7B7C"/>
          <w:sz w:val="19"/>
          <w:szCs w:val="19"/>
        </w:rPr>
        <w:t xml:space="preserve">Customer Value Management  |  Subscription Growth Strategy  |  Q1 2016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5,375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Registered Subscribers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Total user profiles</w:t>
            </w:r>
          </w:p>
        </w:tc>
        <w:tc>
          <w:tcPr>
            <w:tcW w:type="dxa" w:w="234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10,000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Sessions Analysed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Jan – Mar 2016</w:t>
            </w:r>
          </w:p>
        </w:tc>
        <w:tc>
          <w:tcPr>
            <w:tcW w:type="dxa" w:w="234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1,523 hrs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Total Watch Time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Avg session: 9.1 min</w:t>
            </w:r>
          </w:p>
        </w:tc>
        <w:tc>
          <w:tcPr>
            <w:tcW w:type="dxa" w:w="234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82%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Active Engagement Rate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4,386 subscribers watched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BrightTV is an IPTV and streaming service operating in South Africa. In early 2016, the business commissioned a comprehensive viewership analytics study to understand who its subscribers were, how they were consuming content, and where the highest-value growth opportunities lay.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This case study documents the methodology, key findings, and strategic recommendations produced from that analysis — covering 5,375 subscriber profiles and 10,000 viewing sessions recorded between January and March 2016 (SAST).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The Challenge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BrightTV faced a common problem for early-stage streaming services: a growing subscriber base with limited visibility into how, when, and why people were watching. Three questions drove the engagement: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What is actually driving viewership — and what is not?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Which audience segments are underserved or entirely untapped?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How can the platform sustain and accelerate the momentum seen in early 2016?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Without clear answers, content investment decisions, marketing spend, and product development priorities were being made on assumption rather than evidence.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Approach &amp; Methodology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The analysis was conducted across a 3-month observation window (January to March 2016) using anonymised subscriber data and session logs. The dataset covered: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5,375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Subscriber profiles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Demographics, location, gender</w:t>
            </w:r>
          </w:p>
        </w:tc>
        <w:tc>
          <w:tcPr>
            <w:tcW w:type="dxa" w:w="312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10,000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Viewing sessions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Start time, duration, channel</w:t>
            </w:r>
          </w:p>
        </w:tc>
        <w:tc>
          <w:tcPr>
            <w:tcW w:type="dxa" w:w="312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E0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52"/>
                <w:szCs w:val="52"/>
              </w:rPr>
              <w:t xml:space="preserve">3 months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C"/>
                <w:sz w:val="18"/>
                <w:szCs w:val="18"/>
              </w:rPr>
              <w:t xml:space="preserve">Observation period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B7C"/>
                <w:sz w:val="16"/>
                <w:szCs w:val="16"/>
              </w:rPr>
              <w:t xml:space="preserve">Jan – Mar 2016 (SAST)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Analytical dimensions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The study examined viewership across five dimensions: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Demographic profiling — gender, age group, ethnicity, geographic concentration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Temporal patterns — time of day, day of week, and monthly trend 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Content performance — channel rankings by watch hours and session quality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Engagement depth — session frequency distribution, power-user identification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Consumption drivers — identifying what explains high vs low viewing days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Key Findings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The analysis surfaced six high-confidence findings, each with direct implications for strategy.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1A2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1A2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1A2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Strong growth momentum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Sessions grew 119% from January (2,199) to March (4,816). Watch hours grew 188% over the same period — a signal of both acquisition and deeper engagement.</w:t>
            </w:r>
          </w:p>
        </w:tc>
      </w:tr>
      <w:t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Live sports are the #1 lever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ICC Cricket matches pushed one day's consumption to 86.5 hours — 7× the 12-hour daily average. On high-consumption days, ICC Cricket and SuperSport Live Events alone accounted for 93% of all watch time.</w:t>
            </w:r>
          </w:p>
        </w:tc>
      </w:tr>
      <w:t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18% of subscribers have never watched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989 registered users have never streamed a single session. This represents an immediate, low-cost re-engagement opportunity sitting within the existing base.</w:t>
            </w:r>
          </w:p>
        </w:tc>
      </w:tr>
      <w:t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Female subscribers are severely underrepresented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Women make up only 10% of the subscriber base despite accounting for roughly half the addressable market. This is the single largest untapped segment.</w:t>
            </w:r>
          </w:p>
        </w:tc>
      </w:tr>
      <w:t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Gauteng dominates; provinces are underserved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Gauteng alone accounts for 36% of total watch hours. KwaZulu-Natal, Limpopo, and Mpumalanga are significantly underrepresented relative to population size.</w:t>
            </w:r>
          </w:p>
        </w:tc>
      </w:tr>
      <w:tr>
        <w:tc>
          <w:tcPr>
            <w:tcW w:type="dxa" w:w="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C"/>
                <w:sz w:val="20"/>
                <w:szCs w:val="20"/>
              </w:rPr>
              <w:t xml:space="preserve">A power-user tail drives disproportionate value</w:t>
            </w:r>
          </w:p>
        </w:tc>
        <w:tc>
          <w:tcPr>
            <w:tcW w:type="dxa" w:w="61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The median session count is just 1.8, but the average is 9.1 minutes — indicating a concentrated cohort of heavy users. One subscriber logged 39 sessions in the period. These users drive outsized value and carry meaningful churn risk.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What Drives Consumption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The analysis identified six variables that explain the difference between high and low viewership days. Live sports is the dominant factor by a significant margin.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Primary driver: Live sports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ICC Cricket matches pushed daily consumption from a 12-hour average to 86.5 hours on 30 March 2016 — a 7× spike. No other content category comes close in impact.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Time of 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The peak viewing window is 14:00–17:00 SAST, with a secondary morning peak at 10:00–12:00 likely reflecting lunch-break viewing behaviour.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Day of week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Friday to Sunday account for 48% of all sessions. Saturday average session length is 51% longer than Monday (10.9 min vs 7.2 min).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Demographics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25–35 year olds drive 41% of sessions. Male subscribers generate 90% of sessions despite representing 73% of the base — suggesting female subscribers, when present, are less engaged by current content.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Geography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Urban economic hubs dominate. Rural provinces are significantly underrepresented, pointing to both infrastructure constraints and a content-market fit gap.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Engagement depth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75% of users have 3 or fewer sessions total. A small power-user cohort accounts for a disproportionate share of total watch hours — these users need protecting.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Content Performance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High-consumption days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The content breakdown on high-consumption days is concentrated and clear. Live sports — specifically ICC Cricket and SuperSport Live Events — account for 93% of all watch time on peak days. No entertainment or drama channel comes close.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Low-consumption days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On low-consumption days (typically Monday and Tuesday), entertainment and local drama channels take on greater relative importance. The channels with the strongest presence on quiet days include: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Channel O and Trace TV — music entertainment and countdowns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Africa Magic — loyal, consistent audience with appetite for original and reality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Boomerang and Cartoon Network — steady family and kids' viewership regardless of day type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SuperSport Blitz — sports highlights and analysis perform even without live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CNN — consistent news viewership across all day types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Strategic Recommendations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Six initiatives are recommended based on the analysis, prioritised by speed to impact and scale of opportunity.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Re-engage inactive subscribers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Push notifications with personalised content picks or free premium previews targeted at 989 never-watched users.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Immediate uplift from existing base; low cost, fast to execute.</w:t>
            </w:r>
          </w:p>
        </w:tc>
      </w:tr>
      <w:t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Target female subscribers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Dedicated campaign with reality, lifestyle, and drama content. Influencer partnerships and targeted social spend.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Unlock a market segment currently at 10% of base — significant headroom.</w:t>
            </w:r>
          </w:p>
        </w:tc>
      </w:tr>
      <w:t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Social referral programme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Every subscriber has a social handle on file. A referral/ambassador scheme turns the base into an acquisition channel.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Low-cost subscriber growth with strong word-of-mouth economics.</w:t>
            </w:r>
          </w:p>
        </w:tc>
      </w:tr>
      <w:t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Provincial expansion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Local content investment, mobile data partnerships, and affordable data-light plans for KZN, Limpopo, and Mpumalanga.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Opens underserved markets with large addressable populations.</w:t>
            </w:r>
          </w:p>
        </w:tc>
      </w:tr>
      <w:t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Age segment expansion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Kids' bundles with parental controls; simplified UX for 50+ subscribers. Target under-18 and over-50 cohorts.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Two new audience tiers currently underrepresented in the base.</w:t>
            </w:r>
          </w:p>
        </w:tc>
      </w:tr>
      <w:tr>
        <w:tc>
          <w:tcPr>
            <w:tcW w:type="dxa" w:w="24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Power-user loyalty tier</w:t>
            </w:r>
          </w:p>
        </w:tc>
        <w:tc>
          <w:tcPr>
            <w:tcW w:type="dxa" w:w="43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VIP rewards programme for high-session subscribers. Early access, exclusive content, and churn-reduction incentives.</w:t>
            </w:r>
          </w:p>
        </w:tc>
        <w:tc>
          <w:tcPr>
            <w:tcW w:type="dxa" w:w="2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18"/>
                <w:szCs w:val="18"/>
              </w:rPr>
              <w:t xml:space="preserve">Protects the cohort driving disproportionate watch hours.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Content Scheduling on Low-Consumption Days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To anchor viewership between live sports events, the following scheduling approach is recommended for Monday and Tuesday slots: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Channel O and Trace TV: </w:t>
      </w:r>
      <w:r>
        <w:rPr>
          <w:rFonts w:ascii="Arial" w:cs="Arial" w:eastAsia="Arial" w:hAnsi="Arial"/>
          <w:color w:val="1A2B2C"/>
          <w:sz w:val="22"/>
          <w:szCs w:val="22"/>
        </w:rPr>
        <w:t xml:space="preserve">Music &amp; entertainment specials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Local drama: </w:t>
      </w:r>
      <w:r>
        <w:rPr>
          <w:rFonts w:ascii="Arial" w:cs="Arial" w:eastAsia="Arial" w:hAnsi="Arial"/>
          <w:color w:val="1A2B2C"/>
          <w:sz w:val="22"/>
          <w:szCs w:val="22"/>
        </w:rPr>
        <w:t xml:space="preserve">Weekly Africa Magic premieres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Family &amp; kids: </w:t>
      </w:r>
      <w:r>
        <w:rPr>
          <w:rFonts w:ascii="Arial" w:cs="Arial" w:eastAsia="Arial" w:hAnsi="Arial"/>
          <w:color w:val="1A2B2C"/>
          <w:sz w:val="22"/>
          <w:szCs w:val="22"/>
        </w:rPr>
        <w:t xml:space="preserve">Kids' content morning blocks (08:00–11:00 SAST)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Sports adjacent: </w:t>
      </w:r>
      <w:r>
        <w:rPr>
          <w:rFonts w:ascii="Arial" w:cs="Arial" w:eastAsia="Arial" w:hAnsi="Arial"/>
          <w:color w:val="1A2B2C"/>
          <w:sz w:val="22"/>
          <w:szCs w:val="22"/>
        </w:rPr>
        <w:t xml:space="preserve">Extended SuperSport highlights and analysis shows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News anchor: </w:t>
      </w:r>
      <w:r>
        <w:rPr>
          <w:rFonts w:ascii="Arial" w:cs="Arial" w:eastAsia="Arial" w:hAnsi="Arial"/>
          <w:color w:val="1A2B2C"/>
          <w:sz w:val="22"/>
          <w:szCs w:val="22"/>
        </w:rPr>
        <w:t xml:space="preserve">CNN live special coverage promotions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B2C"/>
          <w:sz w:val="22"/>
          <w:szCs w:val="22"/>
        </w:rPr>
        <w:t xml:space="preserve">Lifestyle: </w:t>
      </w:r>
      <w:r>
        <w:rPr>
          <w:rFonts w:ascii="Arial" w:cs="Arial" w:eastAsia="Arial" w:hAnsi="Arial"/>
          <w:color w:val="1A2B2C"/>
          <w:sz w:val="22"/>
          <w:szCs w:val="22"/>
        </w:rPr>
        <w:t xml:space="preserve">E! Entertainment reality TV marathons on themed weekends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Outcomes &amp; Impact</w:t>
      </w:r>
    </w:p>
    <w:p>
      <w:pPr>
        <w:spacing w:after="100" w:before="6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This analysis delivered a data foundation that BrightTV did not previously have. The core outputs were: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 clear, evidence-based answer to what drives viewership (live sports, peak hours, weekend lift)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Identification of 989 at-risk-of-churn inactive subscribers with a concrete re-engagement playbook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 prioritised growth agenda organised by effort-to-impact ratio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 content scheduling framework for low-consumption days to smooth the viewership curve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B2C"/>
          <w:sz w:val="22"/>
          <w:szCs w:val="22"/>
        </w:rPr>
        <w:t xml:space="preserve">A demographic gap analysis surfacing female and provincial markets as the two highest-upside expansion opportunities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/>
              <w:bottom w:val="none" w:color="FFFFFF" w:sz="0"/>
              <w:right w:val="none" w:color="FFFFFF" w:sz="0"/>
            </w:tcBorders>
            <w:shd w:fill="E0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In a 3-month window, BrightTV's sessions grew 119% and watch hours grew 188%. The data shows a platform with strong momentum, a highly concentrated consumption driver in live sports, and significant untapped potential in female, provincial, and younger/older age audiences. The path to the next stage of growth is clear — and the evidence to back it is in the data.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28090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2C"/>
          <w:sz w:val="36"/>
          <w:szCs w:val="36"/>
        </w:rPr>
        <w:t xml:space="preserve">Appendix —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Total registered subscribers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5,375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Active subscribers (watched at least once)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4,386 (82%)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Never-watched subscribers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989 (18%)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Total sessions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Total watch hours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1,523 hours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Average sessions per active user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9.1 minutes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Median session duration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1.8 minutes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Peak daily consumption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86.5 hours (30 March — ICC Cricket)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Daily consumption average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~12 hours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Session growth Jan → Mar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+119% (2,199 → 4,816)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Watch hour growth Jan → Mar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+188%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Peak viewing window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14:00–17:00 SAST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Highest engagement day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Saturday (avg 10.9 min/session)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Lowest engagement day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Monday (avg 7.2 min/session)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Top age group by sessions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25–35 years (41% of sessions)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Gender split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Male 73% · Female 10% · Unknown/other 17%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Top geography by watch hours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Gauteng (36% of total hours)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Gauteng + Western Cape combined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56% of all watch hours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Largest subscriber group by ethnicity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Black subscribers (34%)</w:t>
            </w:r>
          </w:p>
        </w:tc>
      </w:tr>
      <w:tr>
        <w:tc>
          <w:tcPr>
            <w:tcW w:type="dxa" w:w="360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Observation period</w:t>
            </w:r>
          </w:p>
        </w:tc>
        <w:tc>
          <w:tcPr>
            <w:tcW w:type="dxa" w:w="5760"/>
            <w:tcBorders>
              <w:top w:val="single" w:color="D0DBDC" w:sz="1"/>
              <w:left w:val="single" w:color="D0DBDC" w:sz="1"/>
              <w:bottom w:val="single" w:color="D0DBDC" w:sz="1"/>
              <w:right w:val="single" w:color="D0DB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2C"/>
                <w:sz w:val="20"/>
                <w:szCs w:val="20"/>
              </w:rPr>
              <w:t xml:space="preserve">January – March 2016 (SAST = UTC+2)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6B7B7C"/>
          <w:sz w:val="17"/>
          <w:szCs w:val="17"/>
        </w:rPr>
        <w:t xml:space="preserve">Source: BrightTV subscriber and session database, Q1 2016. All figures are based on anonymised platform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E0E5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B7C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B7C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6" w:space="4"/>
      </w:pBdr>
      <w:spacing w:after="80" w:before="0"/>
    </w:pPr>
    <w:r>
      <w:rPr>
        <w:rFonts w:ascii="Arial" w:cs="Arial" w:eastAsia="Arial" w:hAnsi="Arial"/>
        <w:b/>
        <w:bCs/>
        <w:color w:val="028090"/>
        <w:sz w:val="20"/>
        <w:szCs w:val="20"/>
      </w:rPr>
      <w:t xml:space="preserve">BrightTV</w:t>
    </w:r>
    <w:r>
      <w:rPr>
        <w:rFonts w:ascii="Arial" w:cs="Arial" w:eastAsia="Arial" w:hAnsi="Arial"/>
        <w:color w:val="6B7B7C"/>
        <w:sz w:val="20"/>
        <w:szCs w:val="20"/>
      </w:rPr>
      <w:t xml:space="preserve">  |  Viewership Analytics Case Study</w:t>
    </w:r>
    <w:r>
      <w:rPr>
        <w:rFonts w:ascii="Arial" w:cs="Arial" w:eastAsia="Arial" w:hAnsi="Arial"/>
        <w:color w:val="6B7B7C"/>
        <w:sz w:val="20"/>
        <w:szCs w:val="20"/>
      </w:rPr>
      <w:t xml:space="preserve">  |  Q1 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2026-04-19T19:41:48.205Z</dcterms:created>
  <dcterms:modified xsi:type="dcterms:W3CDTF">2026-04-19T19:41:48.205Z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