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37 (08 Sep through 14 Sep)</w:t>
      </w:r>
    </w:p>
    <w:p>
      <w:pPr>
        <w:pStyle w:val="Author"/>
      </w:pPr>
      <w:r>
        <w:t xml:space="preserve">Tony Dunsworth, PhD</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1258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25-075525              2025-09-07 01:07:37 37     SUN   7     1     C    </w:t>
      </w:r>
      <w:r>
        <w:br/>
      </w:r>
      <w:r>
        <w:rPr>
          <w:rStyle w:val="VerbatimChar"/>
        </w:rPr>
        <w:t xml:space="preserve"> 2 25-075527              2025-09-07 01:25:45 37     SUN   7     1     C    </w:t>
      </w:r>
      <w:r>
        <w:br/>
      </w:r>
      <w:r>
        <w:rPr>
          <w:rStyle w:val="VerbatimChar"/>
        </w:rPr>
        <w:t xml:space="preserve"> 3 25-021418              2025-09-07 01:35:55 37     SUN   7     1     C    </w:t>
      </w:r>
      <w:r>
        <w:br/>
      </w:r>
      <w:r>
        <w:rPr>
          <w:rStyle w:val="VerbatimChar"/>
        </w:rPr>
        <w:t xml:space="preserve"> 4 25-075531              2025-09-07 01:51:54 37     SUN   7     1     C    </w:t>
      </w:r>
      <w:r>
        <w:br/>
      </w:r>
      <w:r>
        <w:rPr>
          <w:rStyle w:val="VerbatimChar"/>
        </w:rPr>
        <w:t xml:space="preserve"> 5 25-075535              2025-09-07 02:11:48 37     SUN   7     2     C    </w:t>
      </w:r>
      <w:r>
        <w:br/>
      </w:r>
      <w:r>
        <w:rPr>
          <w:rStyle w:val="VerbatimChar"/>
        </w:rPr>
        <w:t xml:space="preserve"> 6 25-075537              2025-09-07 02:47:51 37     SUN   7     2     C    </w:t>
      </w:r>
      <w:r>
        <w:br/>
      </w:r>
      <w:r>
        <w:rPr>
          <w:rStyle w:val="VerbatimChar"/>
        </w:rPr>
        <w:t xml:space="preserve"> 7 25-021422              2025-09-07 03:03:33 37     SUN   7     3     C    </w:t>
      </w:r>
      <w:r>
        <w:br/>
      </w:r>
      <w:r>
        <w:rPr>
          <w:rStyle w:val="VerbatimChar"/>
        </w:rPr>
        <w:t xml:space="preserve"> 8 25-075538              2025-09-07 03:10:03 37     SUN   7     3     C    </w:t>
      </w:r>
      <w:r>
        <w:br/>
      </w:r>
      <w:r>
        <w:rPr>
          <w:rStyle w:val="VerbatimChar"/>
        </w:rPr>
        <w:t xml:space="preserve"> 9 25-075539              2025-09-07 03:12:48 37     SUN   7     3     C    </w:t>
      </w:r>
      <w:r>
        <w:br/>
      </w:r>
      <w:r>
        <w:rPr>
          <w:rStyle w:val="VerbatimChar"/>
        </w:rPr>
        <w:t xml:space="preserve">10 25-021423              2025-09-07 03:16:32 37     SUN   7     3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7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7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7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7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38.2 percent of the total number of calls, while Priority 1 calls are 24.5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7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57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7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3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7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7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7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7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7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7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7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7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7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7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7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7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7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7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7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7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7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62.1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24.7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7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Thursday was also the busiest day of the week for fire-related calls. Friday followed closely behind, while Sunday and Monday were the lightest days of the week. Sunday had only 12 fire-related calls which is very interesting to note. With football season in full swing, I might have expected more fire-related calls for barbecues and get togethers on Sunday. There could be room to see if there are any correlations between football season and the number of service calls that arrive during the week. For example, if the Commanders play on a day other than Sunday, is there movement in the number of calls for that day?</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7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2000 hour stands out as the hour where the most calls were received for the week. Future reports can determine if this is an anomaly or if there is a trend to more fire-related calls at some point in the evening after most people have returned to their residence for the evening.</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7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34.4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7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 I do note that MUTUAL-CPR is listed as a</w:t>
      </w:r>
      <w:r>
        <w:t xml:space="preserve"> </w:t>
      </w:r>
      <w:r>
        <w:t xml:space="preserve">“fire-related”</w:t>
      </w:r>
      <w:r>
        <w:t xml:space="preserve"> </w:t>
      </w:r>
      <w:r>
        <w:t xml:space="preserve">call. That will be corrected in future reports.</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7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It is interesting to note that Priority 3 represents the highest number of calls for service. That would correlate to the Fire Alarm call type being the most used.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67.42</w:t>
            </w:r>
          </w:p>
        </w:tc>
      </w:tr>
    </w:tbl>
    <w:p>
      <w:pPr>
        <w:pStyle w:val="BodyText"/>
      </w:pPr>
      <w:r>
        <w:t xml:space="preserve">Overall, DECC operations appear to be very efficient at getting fire-related service calls out to the field. The median processing time was only 35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7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Medical service calls by day show a remarkable consistency throughout the week. There is only a difference of 9 service calls separating the busiest and slowest days. Unlike APD and fire-related calls for AFD, Monday was the busiest day of the week for medical service calls. Again, it will be interesting to determine if this holds true over time. Thursday was the second busiest day of the week, trailing Monday by one call.</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7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bulk of the medical service calls appear in the late morning through early afternoon, in a span from 1000 hours through the maximum ending around 1400 hours. In the late afternoon and through the evening, there are spikes where calls fluctuate. This also should be viewed over a larger time frame to see how those will settle out. When seeing how all of these break down, there will be implications as to not only how many staff are needed, but should operations management prioritize some skills at different times to better fit the needs of the City and staff?</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7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11.3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7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As we’re winding summer down and heading into autumn, we may see an increase in instances of breathing issues until we reach the first hard freeze and pollen is no longer an issues=.</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7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w:t>
            </w:r>
          </w:p>
        </w:tc>
      </w:tr>
    </w:tbl>
    <w:p>
      <w:pPr>
        <w:pStyle w:val="BodyText"/>
      </w:pPr>
      <w:r>
        <w:t xml:space="preserve">The median time to process medical calls was 49 seconds. Again, this puts us in good form when examening our operational efficiency. We take longer on the phone for medical calls than we do fire-related calls. Again this is to be expected. The triage process should take longer to ensure that we are giving the best service to our community that we can.</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77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MACK, BRIANA</w:t>
            </w:r>
          </w:p>
        </w:tc>
        <w:tc>
          <w:tcPr/>
          <w:p>
            <w:pPr>
              <w:pStyle w:val="Compact"/>
              <w:jc w:val="right"/>
            </w:pPr>
            <w:r>
              <w:t xml:space="preserve">8</w:t>
            </w:r>
          </w:p>
        </w:tc>
      </w:tr>
      <w:tr>
        <w:tc>
          <w:tcPr/>
          <w:p>
            <w:pPr>
              <w:pStyle w:val="Compact"/>
              <w:jc w:val="left"/>
            </w:pPr>
            <w:r>
              <w:t xml:space="preserve">ANDERSON, MARILYN</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GARCIA, VILMA</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PEREZ, CARLOS</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BELLAMY, LATITIA</w:t>
            </w:r>
          </w:p>
        </w:tc>
        <w:tc>
          <w:tcPr/>
          <w:p>
            <w:pPr>
              <w:pStyle w:val="Compact"/>
              <w:jc w:val="right"/>
            </w:pPr>
            <w:r>
              <w:t xml:space="preserve">2</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MESARIS, MATTHEW</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WELCH, KIMBERLY</w:t>
            </w:r>
          </w:p>
        </w:tc>
        <w:tc>
          <w:tcPr/>
          <w:p>
            <w:pPr>
              <w:pStyle w:val="Compact"/>
              <w:jc w:val="right"/>
            </w:pPr>
            <w:r>
              <w:t xml:space="preserve">2</w:t>
            </w:r>
          </w:p>
        </w:tc>
      </w:tr>
      <w:tr>
        <w:tc>
          <w:tcPr/>
          <w:p>
            <w:pPr>
              <w:pStyle w:val="Compact"/>
              <w:jc w:val="left"/>
            </w:pPr>
            <w:r>
              <w:t xml:space="preserve">ALLEN, TIANA</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FARRI, ANGELINE</w:t>
            </w:r>
          </w:p>
        </w:tc>
        <w:tc>
          <w:tcPr/>
          <w:p>
            <w:pPr>
              <w:pStyle w:val="Compact"/>
              <w:jc w:val="right"/>
            </w:pPr>
            <w:r>
              <w:t xml:space="preserve">1</w:t>
            </w:r>
          </w:p>
        </w:tc>
      </w:tr>
      <w:tr>
        <w:tc>
          <w:tcPr/>
          <w:p>
            <w:pPr>
              <w:pStyle w:val="Compact"/>
              <w:jc w:val="left"/>
            </w:pPr>
            <w:r>
              <w:t xml:space="preserve">GRAVES, CHRISTINA</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r>
        <w:tc>
          <w:tcPr/>
          <w:p>
            <w:pPr>
              <w:pStyle w:val="Compact"/>
              <w:jc w:val="left"/>
            </w:pPr>
            <w:r>
              <w:t xml:space="preserve">WILLIAMS, DARNELL</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7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7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7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 the standout day was Friday with 2 calls. There were only two other days with 1 call each.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42.5 seconds. The median time that we are on the phone is significantly longer, around 8.5 minutes.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7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number of mental health related calls appears to spike on the weekends with Sunday being the busiest. Friday and Saturday are trailing by only 1 call each. If this trend repeats over the course of several weeks, this could be useful insight that could be shared with DCHS and APD to ensure that we have resources properly staffed to address the community’s needs.</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7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Midnight also appears to be a secondary volume spike.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7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7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7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16,227.63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r>
    </w:tbl>
    <w:p>
      <w:pPr>
        <w:pStyle w:val="BodyText"/>
      </w:pPr>
      <w:r>
        <w:t xml:space="preserve">Processing times for these calls are longer, somewhere around 5.5 minutes.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37 (08 Sep through 14 Sep)</dc:title>
  <dc:creator>Tony Dunsworth, PhD</dc:creator>
  <cp:keywords/>
  <dcterms:created xsi:type="dcterms:W3CDTF">2025-09-18T19:15:31Z</dcterms:created>
  <dcterms:modified xsi:type="dcterms:W3CDTF">2025-09-18T19:15:31Z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2025-09-18</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