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3.png" ContentType="image/png"/>
  <Override PartName="/word/media/rId106.png" ContentType="image/png"/>
  <Override PartName="/word/media/rId97.png" ContentType="image/png"/>
  <Override PartName="/word/media/rId100.png" ContentType="image/png"/>
  <Override PartName="/word/media/rId109.png" ContentType="image/png"/>
  <Override PartName="/word/media/rId51.png" ContentType="image/png"/>
  <Override PartName="/word/media/rId87.png" ContentType="image/png"/>
  <Override PartName="/word/media/rId90.png" ContentType="image/png"/>
  <Override PartName="/word/media/rId81.png" ContentType="image/png"/>
  <Override PartName="/word/media/rId84.png" ContentType="image/png"/>
  <Override PartName="/word/media/rId93.png" ContentType="image/png"/>
  <Override PartName="/word/media/rId141.png" ContentType="image/png"/>
  <Override PartName="/word/media/rId39.png" ContentType="image/png"/>
  <Override PartName="/word/media/rId42.png" ContentType="image/png"/>
  <Override PartName="/word/media/rId27.png" ContentType="image/png"/>
  <Override PartName="/word/media/rId36.png" ContentType="image/png"/>
  <Override PartName="/word/media/rId76.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119.png" ContentType="image/png"/>
  <Override PartName="/word/media/rId122.png" ContentType="image/png"/>
  <Override PartName="/word/media/rId113.png" ContentType="image/png"/>
  <Override PartName="/word/media/rId116.png" ContentType="image/png"/>
  <Override PartName="/word/media/rId125.png" ContentType="image/png"/>
  <Override PartName="/word/media/rId48.png" ContentType="image/png"/>
  <Override PartName="/word/media/rId30.png" ContentType="image/png"/>
  <Override PartName="/word/media/rId132.png" ContentType="image/png"/>
  <Override PartName="/word/media/rId136.png" ContentType="image/png"/>
  <Override PartName="/word/media/rId150.png" ContentType="image/png"/>
  <Override PartName="/word/media/rId153.png" ContentType="image/png"/>
  <Override PartName="/word/media/rId144.png" ContentType="image/png"/>
  <Override PartName="/word/media/rId147.png" ContentType="image/png"/>
  <Override PartName="/word/media/rId156.png" ContentType="image/png"/>
  <Override PartName="/word/media/rId23.png" ContentType="image/png"/>
  <Override PartName="/word/media/rId33.png" ContentType="image/png"/>
  <Override PartName="/word/media/rId45.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DECC Weekly Report</w:t>
      </w:r>
    </w:p>
    <w:p>
      <w:pPr>
        <w:pStyle w:val="Author"/>
      </w:pPr>
      <w:r>
        <w:t xml:space="preserve">Tony Dunsworth, PhD</w:t>
      </w:r>
    </w:p>
    <w:p>
      <w:pPr>
        <w:pStyle w:val="Date"/>
      </w:pPr>
      <w:r>
        <w:t xml:space="preserve">2025-09-23</w:t>
      </w:r>
    </w:p>
    <w:bookmarkStart w:id="21" w:name="table-of-contents"/>
    <w:p>
      <w:pPr>
        <w:pStyle w:val="Heading2"/>
      </w:pPr>
      <w:r>
        <w:t xml:space="preserve">1 Table of Contents</w:t>
      </w:r>
    </w:p>
    <w:bookmarkStart w:id="20" w:name="main-sections"/>
    <w:p>
      <w:pPr>
        <w:pStyle w:val="Heading3"/>
      </w:pPr>
      <w:r>
        <w:t xml:space="preserve">1.1 Main Sections</w:t>
      </w:r>
    </w:p>
    <w:p>
      <w:pPr>
        <w:pStyle w:val="Compact"/>
        <w:numPr>
          <w:ilvl w:val="0"/>
          <w:numId w:val="1001"/>
        </w:numPr>
      </w:pPr>
      <w:hyperlink w:anchor="introduction">
        <w:r>
          <w:rPr>
            <w:rStyle w:val="Hyperlink"/>
            <w:b/>
            <w:bCs/>
          </w:rPr>
          <w:t xml:space="preserve">Introduction</w:t>
        </w:r>
      </w:hyperlink>
    </w:p>
    <w:p>
      <w:pPr>
        <w:pStyle w:val="Compact"/>
        <w:numPr>
          <w:ilvl w:val="0"/>
          <w:numId w:val="1001"/>
        </w:numPr>
      </w:pPr>
      <w:hyperlink w:anchor="data-cleaning">
        <w:r>
          <w:rPr>
            <w:rStyle w:val="Hyperlink"/>
            <w:b/>
            <w:bCs/>
          </w:rPr>
          <w:t xml:space="preserve">Data Cleaning</w:t>
        </w:r>
      </w:hyperlink>
    </w:p>
    <w:p>
      <w:pPr>
        <w:pStyle w:val="Compact"/>
        <w:numPr>
          <w:ilvl w:val="0"/>
          <w:numId w:val="1001"/>
        </w:numPr>
      </w:pPr>
      <w:hyperlink w:anchor="exploratory-analysis">
        <w:r>
          <w:rPr>
            <w:rStyle w:val="Hyperlink"/>
            <w:b/>
            <w:bCs/>
          </w:rPr>
          <w:t xml:space="preserve">Exploratory Analysis</w:t>
        </w:r>
      </w:hyperlink>
    </w:p>
    <w:p>
      <w:pPr>
        <w:pStyle w:val="Compact"/>
        <w:numPr>
          <w:ilvl w:val="1"/>
          <w:numId w:val="1002"/>
        </w:numPr>
      </w:pPr>
      <w:hyperlink w:anchor="call-distribution-hour-by-day-of-week">
        <w:r>
          <w:rPr>
            <w:rStyle w:val="Hyperlink"/>
          </w:rPr>
          <w:t xml:space="preserve">Call Distribution: Hour by Day of Week</w:t>
        </w:r>
      </w:hyperlink>
    </w:p>
    <w:p>
      <w:pPr>
        <w:pStyle w:val="Compact"/>
        <w:numPr>
          <w:ilvl w:val="1"/>
          <w:numId w:val="1002"/>
        </w:numPr>
      </w:pPr>
      <w:hyperlink w:anchor="summary-statsitcs-and-analyses">
        <w:r>
          <w:rPr>
            <w:rStyle w:val="Hyperlink"/>
          </w:rPr>
          <w:t xml:space="preserve">Summary Statistics and Analyses</w:t>
        </w:r>
      </w:hyperlink>
    </w:p>
    <w:p>
      <w:pPr>
        <w:pStyle w:val="Compact"/>
        <w:numPr>
          <w:ilvl w:val="0"/>
          <w:numId w:val="1001"/>
        </w:numPr>
      </w:pPr>
      <w:hyperlink w:anchor="discipline-analyses">
        <w:r>
          <w:rPr>
            <w:rStyle w:val="Hyperlink"/>
            <w:b/>
            <w:bCs/>
          </w:rPr>
          <w:t xml:space="preserve">Discipline Analyses</w:t>
        </w:r>
      </w:hyperlink>
    </w:p>
    <w:p>
      <w:pPr>
        <w:pStyle w:val="Compact"/>
        <w:numPr>
          <w:ilvl w:val="1"/>
          <w:numId w:val="1003"/>
        </w:numPr>
      </w:pPr>
      <w:hyperlink w:anchor="apd-analyses">
        <w:r>
          <w:rPr>
            <w:rStyle w:val="Hyperlink"/>
          </w:rPr>
          <w:t xml:space="preserve">APD Analyses</w:t>
        </w:r>
      </w:hyperlink>
    </w:p>
    <w:p>
      <w:pPr>
        <w:pStyle w:val="Compact"/>
        <w:numPr>
          <w:ilvl w:val="1"/>
          <w:numId w:val="1003"/>
        </w:numPr>
      </w:pPr>
      <w:hyperlink w:anchor="afd-fire-analyses">
        <w:r>
          <w:rPr>
            <w:rStyle w:val="Hyperlink"/>
          </w:rPr>
          <w:t xml:space="preserve">AFD FIRE Analyses</w:t>
        </w:r>
      </w:hyperlink>
    </w:p>
    <w:p>
      <w:pPr>
        <w:pStyle w:val="Compact"/>
        <w:numPr>
          <w:ilvl w:val="1"/>
          <w:numId w:val="1003"/>
        </w:numPr>
      </w:pPr>
      <w:hyperlink w:anchor="afd-ems-analyses">
        <w:r>
          <w:rPr>
            <w:rStyle w:val="Hyperlink"/>
          </w:rPr>
          <w:t xml:space="preserve">AFD EMS Analyses</w:t>
        </w:r>
      </w:hyperlink>
    </w:p>
    <w:p>
      <w:pPr>
        <w:pStyle w:val="Compact"/>
        <w:numPr>
          <w:ilvl w:val="0"/>
          <w:numId w:val="1001"/>
        </w:numPr>
      </w:pPr>
      <w:hyperlink w:anchor="additional-analyses">
        <w:r>
          <w:rPr>
            <w:rStyle w:val="Hyperlink"/>
            <w:b/>
            <w:bCs/>
          </w:rPr>
          <w:t xml:space="preserve">Additional Analyses</w:t>
        </w:r>
      </w:hyperlink>
    </w:p>
    <w:p>
      <w:pPr>
        <w:pStyle w:val="Compact"/>
        <w:numPr>
          <w:ilvl w:val="1"/>
          <w:numId w:val="1004"/>
        </w:numPr>
      </w:pPr>
      <w:hyperlink w:anchor="possible-service-delays">
        <w:r>
          <w:rPr>
            <w:rStyle w:val="Hyperlink"/>
          </w:rPr>
          <w:t xml:space="preserve">Possible Service Delays</w:t>
        </w:r>
      </w:hyperlink>
    </w:p>
    <w:p>
      <w:pPr>
        <w:pStyle w:val="Compact"/>
        <w:numPr>
          <w:ilvl w:val="0"/>
          <w:numId w:val="1001"/>
        </w:numPr>
      </w:pPr>
      <w:hyperlink w:anchor="high-priority-and-critical-calls">
        <w:r>
          <w:rPr>
            <w:rStyle w:val="Hyperlink"/>
            <w:b/>
            <w:bCs/>
          </w:rPr>
          <w:t xml:space="preserve">High-Priority and Critical Calls</w:t>
        </w:r>
      </w:hyperlink>
    </w:p>
    <w:p>
      <w:pPr>
        <w:pStyle w:val="Compact"/>
        <w:numPr>
          <w:ilvl w:val="1"/>
          <w:numId w:val="1005"/>
        </w:numPr>
      </w:pPr>
      <w:hyperlink w:anchor="high-priority-call-types">
        <w:r>
          <w:rPr>
            <w:rStyle w:val="Hyperlink"/>
          </w:rPr>
          <w:t xml:space="preserve">High-Priority Call Types</w:t>
        </w:r>
      </w:hyperlink>
    </w:p>
    <w:p>
      <w:pPr>
        <w:pStyle w:val="Compact"/>
        <w:numPr>
          <w:ilvl w:val="1"/>
          <w:numId w:val="1005"/>
        </w:numPr>
      </w:pPr>
      <w:hyperlink w:anchor="high-priority-response-times">
        <w:r>
          <w:rPr>
            <w:rStyle w:val="Hyperlink"/>
          </w:rPr>
          <w:t xml:space="preserve">High-Priority Response Times</w:t>
        </w:r>
      </w:hyperlink>
    </w:p>
    <w:p>
      <w:pPr>
        <w:pStyle w:val="Compact"/>
        <w:numPr>
          <w:ilvl w:val="0"/>
          <w:numId w:val="1001"/>
        </w:numPr>
      </w:pPr>
      <w:hyperlink w:anchor="cardiac-arrest-calls-analysis">
        <w:r>
          <w:rPr>
            <w:rStyle w:val="Hyperlink"/>
            <w:b/>
            <w:bCs/>
          </w:rPr>
          <w:t xml:space="preserve">Cardiac Arrest Calls Analysis</w:t>
        </w:r>
      </w:hyperlink>
    </w:p>
    <w:p>
      <w:pPr>
        <w:pStyle w:val="Compact"/>
        <w:numPr>
          <w:ilvl w:val="0"/>
          <w:numId w:val="1001"/>
        </w:numPr>
      </w:pPr>
      <w:hyperlink w:anchor="mental-health-analyses">
        <w:r>
          <w:rPr>
            <w:rStyle w:val="Hyperlink"/>
            <w:b/>
            <w:bCs/>
          </w:rPr>
          <w:t xml:space="preserve">Mental Health Analyses</w:t>
        </w:r>
      </w:hyperlink>
    </w:p>
    <w:p>
      <w:pPr>
        <w:pStyle w:val="Compact"/>
        <w:numPr>
          <w:ilvl w:val="0"/>
          <w:numId w:val="1001"/>
        </w:numPr>
      </w:pPr>
      <w:hyperlink w:anchor="conclusion">
        <w:r>
          <w:rPr>
            <w:rStyle w:val="Hyperlink"/>
            <w:b/>
            <w:bCs/>
          </w:rPr>
          <w:t xml:space="preserve">Conclusion</w:t>
        </w:r>
      </w:hyperlink>
    </w:p>
    <w:p>
      <w:r>
        <w:pict>
          <v:rect style="width:0;height:1.5pt" o:hralign="center" o:hrstd="t" o:hr="t"/>
        </w:pict>
      </w:r>
    </w:p>
    <w:bookmarkEnd w:id="20"/>
    <w:bookmarkEnd w:id="21"/>
    <w:bookmarkStart w:id="22" w:name="introduction"/>
    <w:p>
      <w:pPr>
        <w:pStyle w:val="Heading2"/>
      </w:pPr>
      <w:r>
        <w:t xml:space="preserve">2 Introduction</w:t>
      </w:r>
    </w:p>
    <w:p>
      <w:pPr>
        <w:pStyle w:val="FirstParagraph"/>
      </w:pPr>
      <w:r>
        <w:t xml:space="preserve">This is the weekly report for week 38 covering the period from 14 Sep through 20 Sep 2025. The report will include analyses of the data to emphasize different information that is contained within the data and may be pertinent to both operations and management.</w:t>
      </w:r>
    </w:p>
    <w:p>
      <w:pPr>
        <w:pStyle w:val="BodyText"/>
      </w:pPr>
      <w:r>
        <w:t xml:space="preserve">For this week, there were a total of 1353 calls for service. The column list is below:</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2"/>
    <w:bookmarkStart w:id="26" w:name="data-cleaning"/>
    <w:p>
      <w:pPr>
        <w:pStyle w:val="Heading2"/>
      </w:pPr>
      <w:r>
        <w:t xml:space="preserve">3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4" name="Picture"/>
            <a:graphic>
              <a:graphicData uri="http://schemas.openxmlformats.org/drawingml/2006/picture">
                <pic:pic>
                  <pic:nvPicPr>
                    <pic:cNvPr descr="report_wk38_files/figure-docx/missing-values-1.png" id="25"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13 columns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12.9% of calls did not have a recorded time that the call stopped. We will have to determine if they were cancelled or how many of those were mutual aid calls where we did not receive a phone call.</w:t>
      </w:r>
    </w:p>
    <w:bookmarkEnd w:id="26"/>
    <w:bookmarkStart w:id="80" w:name="exploratory-analysis"/>
    <w:p>
      <w:pPr>
        <w:pStyle w:val="Heading2"/>
      </w:pPr>
      <w:r>
        <w:t xml:space="preserve">4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8" name="Picture"/>
            <a:graphic>
              <a:graphicData uri="http://schemas.openxmlformats.org/drawingml/2006/picture">
                <pic:pic>
                  <pic:nvPicPr>
                    <pic:cNvPr descr="report_wk38_files/figure-docx/day-of-week-1.png" id="29"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Friday was the busiest day of the week with 235 service calls, and the slowest day was Sunday with 155 service calls.</w:t>
      </w:r>
    </w:p>
    <w:p>
      <w:pPr>
        <w:pStyle w:val="BodyText"/>
      </w:pPr>
      <w:r>
        <w:t xml:space="preserve">Over the last three weeks of this report structure, we’ve seen different days of the week for the busiest and slowest days. A larger sample size will be needed to determine if there are any underlying patterns.</w:t>
      </w:r>
    </w:p>
    <w:p>
      <w:pPr>
        <w:pStyle w:val="CaptionedFigure"/>
      </w:pPr>
      <w:r>
        <w:drawing>
          <wp:inline>
            <wp:extent cx="5334000" cy="3556000"/>
            <wp:effectExtent b="0" l="0" r="0" t="0"/>
            <wp:docPr descr="Number of calls for service by hour of the day." title="" id="31" name="Picture"/>
            <a:graphic>
              <a:graphicData uri="http://schemas.openxmlformats.org/drawingml/2006/picture">
                <pic:pic>
                  <pic:nvPicPr>
                    <pic:cNvPr descr="report_wk38_files/figure-docx/hour-of-day-1.png" id="32" name="Picture"/>
                    <pic:cNvPicPr>
                      <a:picLocks noChangeArrowheads="1" noChangeAspect="1"/>
                    </pic:cNvPicPr>
                  </pic:nvPicPr>
                  <pic:blipFill>
                    <a:blip r:embed="rId3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of the day was 1200 hours, with 90 calls for service. 0400 hours was the slowest hour of the day with 26 calls. Additionally, the pattern shows consistent traffic from late rush hour through the day into the early evening before seeing the volumes start to decline. This appears to confirm assumptions about the busiest parts of the day.</w:t>
      </w:r>
    </w:p>
    <w:p>
      <w:pPr>
        <w:pStyle w:val="CaptionedFigure"/>
      </w:pPr>
      <w:r>
        <w:drawing>
          <wp:inline>
            <wp:extent cx="5334000" cy="3556000"/>
            <wp:effectExtent b="0" l="0" r="0" t="0"/>
            <wp:docPr descr="Number of calls for service by priority level." title="" id="34" name="Picture"/>
            <a:graphic>
              <a:graphicData uri="http://schemas.openxmlformats.org/drawingml/2006/picture">
                <pic:pic>
                  <pic:nvPicPr>
                    <pic:cNvPr descr="report_wk38_files/figure-docx/priority-level-1.png" id="35"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Priority 2 calls are 39.1 percent of the total number of calls, while Priority 1 calls are 25.8 percent of the total number of calls.</w:t>
      </w:r>
    </w:p>
    <w:p>
      <w:pPr>
        <w:pStyle w:val="BodyText"/>
      </w:pPr>
      <w:r>
        <w:t xml:space="preserve">This appears to be consistent through the new reports.</w:t>
      </w:r>
    </w:p>
    <w:p>
      <w:pPr>
        <w:pStyle w:val="CaptionedFigure"/>
      </w:pPr>
      <w:r>
        <w:drawing>
          <wp:inline>
            <wp:extent cx="5334000" cy="3556000"/>
            <wp:effectExtent b="0" l="0" r="0" t="0"/>
            <wp:docPr descr="Number of calls for service by discipline." title="" id="37" name="Picture"/>
            <a:graphic>
              <a:graphicData uri="http://schemas.openxmlformats.org/drawingml/2006/picture">
                <pic:pic>
                  <pic:nvPicPr>
                    <pic:cNvPr descr="report_wk38_files/figure-docx/discipline-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POLICE. They represent 56.7</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40" name="Picture"/>
            <a:graphic>
              <a:graphicData uri="http://schemas.openxmlformats.org/drawingml/2006/picture">
                <pic:pic>
                  <pic:nvPicPr>
                    <pic:cNvPr descr="report_wk38_files/figure-docx/call-reception-1.png" id="41"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911 trunk line calls were 32.3 percent of all calls. There were 52 calls where we did not indicate how the service call was received. This is 3.8 percent of the total number of calls. The number is staying consistent over the lifespan of the reports, but should be investigated to determine why those calls are not being tracked for origination.</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3" name="Picture"/>
            <a:graphic>
              <a:graphicData uri="http://schemas.openxmlformats.org/drawingml/2006/picture">
                <pic:pic>
                  <pic:nvPicPr>
                    <pic:cNvPr descr="report_wk38_files/figure-docx/call-type-1.png" id="44"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FIRE ALARM. The overall trend is that Disorderly Conduct and Trouble Breathing appear in the top 5 weekly over the four weeks of this report. These trends should be brought to the attention of our partners.</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6" name="Picture"/>
            <a:graphic>
              <a:graphicData uri="http://schemas.openxmlformats.org/drawingml/2006/picture">
                <pic:pic>
                  <pic:nvPicPr>
                    <pic:cNvPr descr="report_wk38_files/figure-docx/telecommunicator-1.png" id="47" name="Picture"/>
                    <pic:cNvPicPr>
                      <a:picLocks noChangeArrowheads="1" noChangeAspect="1"/>
                    </pic:cNvPicPr>
                  </pic:nvPicPr>
                  <pic:blipFill>
                    <a:blip r:embed="rId4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C2C again this week with 110 calls, and with a large margin between that volume and the busiest calltaker.</w:t>
      </w:r>
    </w:p>
    <w:bookmarkStart w:id="54" w:name="call-distribution-hour-by-day-of-week"/>
    <w:p>
      <w:pPr>
        <w:pStyle w:val="Heading3"/>
      </w:pPr>
      <w:r>
        <w:t xml:space="preserve">4.1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9" name="Picture"/>
            <a:graphic>
              <a:graphicData uri="http://schemas.openxmlformats.org/drawingml/2006/picture">
                <pic:pic>
                  <pic:nvPicPr>
                    <pic:cNvPr descr="report_wk38_files/figure-docx/hour-dow-analysis-1.png" id="5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2" name="Picture"/>
            <a:graphic>
              <a:graphicData uri="http://schemas.openxmlformats.org/drawingml/2006/picture">
                <pic:pic>
                  <pic:nvPicPr>
                    <pic:cNvPr descr="report_wk38_files/figure-docx/alternative-ridge-plot-1.png" id="53"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w:t>
            </w:r>
          </w:p>
        </w:tc>
      </w:tr>
    </w:tbl>
    <w:p>
      <w:pPr>
        <w:pStyle w:val="BodyText"/>
      </w:pPr>
      <w:r>
        <w:t xml:space="preserve">Based on the heat map, the middle of the day is still the busiest time for calls to arrive in the center. For this week, the 1700 hour for Friday was the busiest day and hour combination for the week. We may need to go back to that date and time range to determine if there was a significant event in that hour that could account for the spike in calls.</w:t>
      </w:r>
    </w:p>
    <w:bookmarkEnd w:id="54"/>
    <w:bookmarkStart w:id="79" w:name="summary-statsitcs-and-analyses"/>
    <w:p>
      <w:pPr>
        <w:pStyle w:val="Heading3"/>
      </w:pPr>
      <w:r>
        <w:t xml:space="preserve">4.2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6"/>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6"/>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6"/>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6"/>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6"/>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6"/>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6"/>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494.83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3,304.48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798.62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3,808.07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2,283.00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16.53</w:t>
            </w:r>
          </w:p>
        </w:tc>
      </w:tr>
    </w:tbl>
    <w:p>
      <w:pPr>
        <w:pStyle w:val="FirstParagraph"/>
      </w:pPr>
      <w:r>
        <w:t xml:space="preserve">The values from this table describe operations for the week being analyzed. In this case, the median time for a call to be placed in queue is 42 seconds. This is still in line with what has been seen in the last two weeks. The median time in queue was 6 seconds. These are comparable numbers with the prior weeks.</w:t>
      </w:r>
    </w:p>
    <w:p>
      <w:pPr>
        <w:pStyle w:val="BodyText"/>
      </w:pPr>
      <w:r>
        <w:drawing>
          <wp:inline>
            <wp:extent cx="5334000" cy="3556000"/>
            <wp:effectExtent b="0" l="0" r="0" t="0"/>
            <wp:docPr descr="" title="" id="56" name="Picture"/>
            <a:graphic>
              <a:graphicData uri="http://schemas.openxmlformats.org/drawingml/2006/picture">
                <pic:pic>
                  <pic:nvPicPr>
                    <pic:cNvPr descr="report_wk38_files/figure-docx/ttq-plots-1.png" id="57"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These combined histogram and density plots are designed to show the distribution of the elapsed time between events in the call’s lifecycle. Using the 90</w:t>
      </w:r>
      <w:r>
        <w:rPr>
          <w:vertAlign w:val="superscript"/>
        </w:rPr>
        <w:t xml:space="preserve">th</w:t>
      </w:r>
      <w:r>
        <w:t xml:space="preserve"> </w:t>
      </w:r>
      <w:r>
        <w:t xml:space="preserve">percentile, we can state that 90% of all service calls are ready to be dispatched within 136 seconds. The same 90</w:t>
      </w:r>
      <w:r>
        <w:rPr>
          <w:vertAlign w:val="superscript"/>
        </w:rPr>
        <w:t xml:space="preserve">th</w:t>
      </w:r>
      <w:r>
        <w:t xml:space="preserve"> </w:t>
      </w:r>
      <w:r>
        <w:t xml:space="preserve">lines are reflected in the remaining plots below.</w:t>
      </w:r>
    </w:p>
    <w:p>
      <w:pPr>
        <w:pStyle w:val="BodyText"/>
      </w:pPr>
      <w:r>
        <w:drawing>
          <wp:inline>
            <wp:extent cx="5334000" cy="3556000"/>
            <wp:effectExtent b="0" l="0" r="0" t="0"/>
            <wp:docPr descr="" title="" id="59" name="Picture"/>
            <a:graphic>
              <a:graphicData uri="http://schemas.openxmlformats.org/drawingml/2006/picture">
                <pic:pic>
                  <pic:nvPicPr>
                    <pic:cNvPr descr="report_wk38_files/figure-docx/elapsed-time-plots-1.png" id="60" name="Picture"/>
                    <pic:cNvPicPr>
                      <a:picLocks noChangeArrowheads="1" noChangeAspect="1"/>
                    </pic:cNvPicPr>
                  </pic:nvPicPr>
                  <pic:blipFill>
                    <a:blip r:embed="rId5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2" name="Picture"/>
            <a:graphic>
              <a:graphicData uri="http://schemas.openxmlformats.org/drawingml/2006/picture">
                <pic:pic>
                  <pic:nvPicPr>
                    <pic:cNvPr descr="report_wk38_files/figure-docx/elapsed-time-plots-2.png" id="63" name="Picture"/>
                    <pic:cNvPicPr>
                      <a:picLocks noChangeArrowheads="1" noChangeAspect="1"/>
                    </pic:cNvPicPr>
                  </pic:nvPicPr>
                  <pic:blipFill>
                    <a:blip r:embed="rId6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5" name="Picture"/>
            <a:graphic>
              <a:graphicData uri="http://schemas.openxmlformats.org/drawingml/2006/picture">
                <pic:pic>
                  <pic:nvPicPr>
                    <pic:cNvPr descr="report_wk38_files/figure-docx/elapsed-time-plots-3.png" id="66" name="Picture"/>
                    <pic:cNvPicPr>
                      <a:picLocks noChangeArrowheads="1" noChangeAspect="1"/>
                    </pic:cNvPicPr>
                  </pic:nvPicPr>
                  <pic:blipFill>
                    <a:blip r:embed="rId6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8" name="Picture"/>
            <a:graphic>
              <a:graphicData uri="http://schemas.openxmlformats.org/drawingml/2006/picture">
                <pic:pic>
                  <pic:nvPicPr>
                    <pic:cNvPr descr="report_wk38_files/figure-docx/elapsed-time-plots-4.png" id="69" name="Picture"/>
                    <pic:cNvPicPr>
                      <a:picLocks noChangeArrowheads="1" noChangeAspect="1"/>
                    </pic:cNvPicPr>
                  </pic:nvPicPr>
                  <pic:blipFill>
                    <a:blip r:embed="rId6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1" name="Picture"/>
            <a:graphic>
              <a:graphicData uri="http://schemas.openxmlformats.org/drawingml/2006/picture">
                <pic:pic>
                  <pic:nvPicPr>
                    <pic:cNvPr descr="report_wk38_files/figure-docx/elapsed-time-plots-5.png" id="72" name="Picture"/>
                    <pic:cNvPicPr>
                      <a:picLocks noChangeArrowheads="1" noChangeAspect="1"/>
                    </pic:cNvPicPr>
                  </pic:nvPicPr>
                  <pic:blipFill>
                    <a:blip r:embed="rId7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4" name="Picture"/>
            <a:graphic>
              <a:graphicData uri="http://schemas.openxmlformats.org/drawingml/2006/picture">
                <pic:pic>
                  <pic:nvPicPr>
                    <pic:cNvPr descr="report_wk38_files/figure-docx/elapsed-time-plots-6.png" id="75" name="Picture"/>
                    <pic:cNvPicPr>
                      <a:picLocks noChangeArrowheads="1" noChangeAspect="1"/>
                    </pic:cNvPicPr>
                  </pic:nvPicPr>
                  <pic:blipFill>
                    <a:blip r:embed="rId7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7" name="Picture"/>
            <a:graphic>
              <a:graphicData uri="http://schemas.openxmlformats.org/drawingml/2006/picture">
                <pic:pic>
                  <pic:nvPicPr>
                    <pic:cNvPr descr="report_wk38_files/figure-docx/elapsed-time-grid-1.png" id="78" name="Picture"/>
                    <pic:cNvPicPr>
                      <a:picLocks noChangeArrowheads="1" noChangeAspect="1"/>
                    </pic:cNvPicPr>
                  </pic:nvPicPr>
                  <pic:blipFill>
                    <a:blip r:embed="rId7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respect to those guidelines. Over time, we can track these metrics to ensure that we continue to meet or exceed those standards.</w:t>
      </w:r>
    </w:p>
    <w:bookmarkEnd w:id="79"/>
    <w:bookmarkEnd w:id="80"/>
    <w:bookmarkStart w:id="129" w:name="discipline-analyses"/>
    <w:p>
      <w:pPr>
        <w:pStyle w:val="Heading2"/>
      </w:pPr>
      <w:r>
        <w:t xml:space="preserve">5 Discipline Analyses</w:t>
      </w:r>
    </w:p>
    <w:p>
      <w:pPr>
        <w:pStyle w:val="FirstParagraph"/>
      </w:pPr>
      <w:r>
        <w:t xml:space="preserve">As discussed earlier, we can create additional subsets from this data to look at specific areas of interest. We will create several new datasets from this weekly set for further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6" w:name="apd-analyses"/>
    <w:p>
      <w:pPr>
        <w:pStyle w:val="Heading3"/>
      </w:pPr>
      <w:r>
        <w:t xml:space="preserve">5.1 APD Analyses</w:t>
      </w:r>
    </w:p>
    <w:p>
      <w:pPr>
        <w:pStyle w:val="CaptionedFigure"/>
      </w:pPr>
      <w:r>
        <w:drawing>
          <wp:inline>
            <wp:extent cx="5334000" cy="3556000"/>
            <wp:effectExtent b="0" l="0" r="0" t="0"/>
            <wp:docPr descr="Number of calls for service by day of the week." title="" id="82" name="Picture"/>
            <a:graphic>
              <a:graphicData uri="http://schemas.openxmlformats.org/drawingml/2006/picture">
                <pic:pic>
                  <pic:nvPicPr>
                    <pic:cNvPr descr="report_wk38_files/figure-docx/apd-day-of-week-1.png" id="83" name="Picture"/>
                    <pic:cNvPicPr>
                      <a:picLocks noChangeArrowheads="1" noChangeAspect="1"/>
                    </pic:cNvPicPr>
                  </pic:nvPicPr>
                  <pic:blipFill>
                    <a:blip r:embed="rId8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Friday was the busiest day of the week for APD service calls. Sunday, being the lightest day of the week overall, was the lightest day for the APD as well.</w:t>
      </w:r>
    </w:p>
    <w:p>
      <w:pPr>
        <w:pStyle w:val="CaptionedFigure"/>
      </w:pPr>
      <w:r>
        <w:drawing>
          <wp:inline>
            <wp:extent cx="5334000" cy="3556000"/>
            <wp:effectExtent b="0" l="0" r="0" t="0"/>
            <wp:docPr descr="Number of calls for service by hour of the day." title="" id="85" name="Picture"/>
            <a:graphic>
              <a:graphicData uri="http://schemas.openxmlformats.org/drawingml/2006/picture">
                <pic:pic>
                  <pic:nvPicPr>
                    <pic:cNvPr descr="report_wk38_files/figure-docx/apd-hour-of-day-1.png" id="86" name="Picture"/>
                    <pic:cNvPicPr>
                      <a:picLocks noChangeArrowheads="1" noChangeAspect="1"/>
                    </pic:cNvPicPr>
                  </pic:nvPicPr>
                  <pic:blipFill>
                    <a:blip r:embed="rId8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0900 to 1200 hours. This is in contrast to the prior three weeks where the mid to late afternoon was the busiest time of the day.</w:t>
      </w:r>
    </w:p>
    <w:p>
      <w:pPr>
        <w:pStyle w:val="CaptionedFigure"/>
      </w:pPr>
      <w:r>
        <w:drawing>
          <wp:inline>
            <wp:extent cx="5334000" cy="3556000"/>
            <wp:effectExtent b="0" l="0" r="0" t="0"/>
            <wp:docPr descr="Number of calls for service by call reception." title="" id="88" name="Picture"/>
            <a:graphic>
              <a:graphicData uri="http://schemas.openxmlformats.org/drawingml/2006/picture">
                <pic:pic>
                  <pic:nvPicPr>
                    <pic:cNvPr descr="report_wk38_files/figure-docx/apd-call-reception-1.png" id="89" name="Picture"/>
                    <pic:cNvPicPr>
                      <a:picLocks noChangeArrowheads="1" noChangeAspect="1"/>
                    </pic:cNvPicPr>
                  </pic:nvPicPr>
                  <pic:blipFill>
                    <a:blip r:embed="rId8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Phone. This comports to the call reception results for the week overall.</w:t>
      </w:r>
    </w:p>
    <w:p>
      <w:pPr>
        <w:pStyle w:val="CaptionedFigure"/>
      </w:pPr>
      <w:r>
        <w:drawing>
          <wp:inline>
            <wp:extent cx="5334000" cy="3556000"/>
            <wp:effectExtent b="0" l="0" r="0" t="0"/>
            <wp:docPr descr="Number of calls for service by call type." title="" id="91" name="Picture"/>
            <a:graphic>
              <a:graphicData uri="http://schemas.openxmlformats.org/drawingml/2006/picture">
                <pic:pic>
                  <pic:nvPicPr>
                    <pic:cNvPr descr="report_wk38_files/figure-docx/apd-call-type-1.png" id="92"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4" name="Picture"/>
            <a:graphic>
              <a:graphicData uri="http://schemas.openxmlformats.org/drawingml/2006/picture">
                <pic:pic>
                  <pic:nvPicPr>
                    <pic:cNvPr descr="report_wk38_files/figure-docx/apd-priority-level-1.png" id="95" name="Picture"/>
                    <pic:cNvPicPr>
                      <a:picLocks noChangeArrowheads="1" noChangeAspect="1"/>
                    </pic:cNvPicPr>
                  </pic:nvPicPr>
                  <pic:blipFill>
                    <a:blip r:embed="rId9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 Priority 2 calls which represent 63.6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317.50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1,298.35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4,306.36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1,378.49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4,321.37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419.23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710.85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4,811.48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6,013.14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9.48</w:t>
            </w:r>
          </w:p>
        </w:tc>
      </w:tr>
    </w:tbl>
    <w:p>
      <w:pPr>
        <w:pStyle w:val="BodyText"/>
      </w:pPr>
      <w:r>
        <w:t xml:space="preserve">This table shows that overall, we have a median time on the phones of about 140 seconds and it takes about double that for a call to start and be dispatched, 267 seconds. Some of that difference is going to be due to having to hold Priority 4 and above calls until there is a unit available. Since the P4 calls are 21.8 percent of APD calls, this could have a measureable impact on service times for DECC staff.</w:t>
      </w:r>
    </w:p>
    <w:bookmarkEnd w:id="96"/>
    <w:bookmarkStart w:id="112" w:name="afd-fire-analyses"/>
    <w:p>
      <w:pPr>
        <w:pStyle w:val="Heading3"/>
      </w:pPr>
      <w:r>
        <w:t xml:space="preserve">5.2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8" name="Picture"/>
            <a:graphic>
              <a:graphicData uri="http://schemas.openxmlformats.org/drawingml/2006/picture">
                <pic:pic>
                  <pic:nvPicPr>
                    <pic:cNvPr descr="report_wk38_files/figure-docx/afd-day-of-week-1.png" id="99" name="Picture"/>
                    <pic:cNvPicPr>
                      <a:picLocks noChangeArrowheads="1" noChangeAspect="1"/>
                    </pic:cNvPicPr>
                  </pic:nvPicPr>
                  <pic:blipFill>
                    <a:blip r:embed="rId9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 busiest day for fire-related calls was Friday with 43 calls for service. Monday was the lightest day for fire-related calls with 19 calls for service. The busiest day this week for fire-related calls comports with the overall weekly information.</w:t>
      </w:r>
    </w:p>
    <w:p>
      <w:pPr>
        <w:pStyle w:val="CaptionedFigure"/>
      </w:pPr>
      <w:r>
        <w:drawing>
          <wp:inline>
            <wp:extent cx="5334000" cy="3556000"/>
            <wp:effectExtent b="0" l="0" r="0" t="0"/>
            <wp:docPr descr="Number of calls for service by hour of the day." title="" id="101" name="Picture"/>
            <a:graphic>
              <a:graphicData uri="http://schemas.openxmlformats.org/drawingml/2006/picture">
                <pic:pic>
                  <pic:nvPicPr>
                    <pic:cNvPr descr="report_wk38_files/figure-docx/afd-hour-of-day-1.png" id="102" name="Picture"/>
                    <pic:cNvPicPr>
                      <a:picLocks noChangeArrowheads="1" noChangeAspect="1"/>
                    </pic:cNvPicPr>
                  </pic:nvPicPr>
                  <pic:blipFill>
                    <a:blip r:embed="rId10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12 hours was the busiest hour for the week There hasn’t been an overall trend identified in the four weeks of this report. However, we will continue to observe the patterns to see if any trends emerge in fire related calls.</w:t>
      </w:r>
    </w:p>
    <w:p>
      <w:pPr>
        <w:pStyle w:val="CaptionedFigure"/>
      </w:pPr>
      <w:r>
        <w:drawing>
          <wp:inline>
            <wp:extent cx="5334000" cy="3556000"/>
            <wp:effectExtent b="0" l="0" r="0" t="0"/>
            <wp:docPr descr="Number of calls for service by call reception." title="" id="104" name="Picture"/>
            <a:graphic>
              <a:graphicData uri="http://schemas.openxmlformats.org/drawingml/2006/picture">
                <pic:pic>
                  <pic:nvPicPr>
                    <pic:cNvPr descr="report_wk38_files/figure-docx/afd-call-reception-1.png" id="105" name="Picture"/>
                    <pic:cNvPicPr>
                      <a:picLocks noChangeArrowheads="1" noChangeAspect="1"/>
                    </pic:cNvPicPr>
                  </pic:nvPicPr>
                  <pic:blipFill>
                    <a:blip r:embed="rId10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That accounts for 0 percent of all fire-related calls. However the numbers for Mutual Aid and E-911 were larger percentages of the overall volume. In this case, Phone, not necessarily E-911 represented 38.1 percent of all fire-related service calls received.</w:t>
      </w:r>
    </w:p>
    <w:p>
      <w:pPr>
        <w:pStyle w:val="CaptionedFigure"/>
      </w:pPr>
      <w:r>
        <w:drawing>
          <wp:inline>
            <wp:extent cx="5334000" cy="3556000"/>
            <wp:effectExtent b="0" l="0" r="0" t="0"/>
            <wp:docPr descr="Number of calls for service by call type." title="" id="107" name="Picture"/>
            <a:graphic>
              <a:graphicData uri="http://schemas.openxmlformats.org/drawingml/2006/picture">
                <pic:pic>
                  <pic:nvPicPr>
                    <pic:cNvPr descr="report_wk38_files/figure-docx/afd-call-type-1.png" id="108" name="Picture"/>
                    <pic:cNvPicPr>
                      <a:picLocks noChangeArrowheads="1" noChangeAspect="1"/>
                    </pic:cNvPicPr>
                  </pic:nvPicPr>
                  <pic:blipFill>
                    <a:blip r:embed="rId10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 That is an interesting observation and should be watched through the future.</w:t>
      </w:r>
    </w:p>
    <w:p>
      <w:pPr>
        <w:pStyle w:val="CaptionedFigure"/>
      </w:pPr>
      <w:r>
        <w:drawing>
          <wp:inline>
            <wp:extent cx="5334000" cy="3556000"/>
            <wp:effectExtent b="0" l="0" r="0" t="0"/>
            <wp:docPr descr="Number of calls for service by priority level." title="" id="110" name="Picture"/>
            <a:graphic>
              <a:graphicData uri="http://schemas.openxmlformats.org/drawingml/2006/picture">
                <pic:pic>
                  <pic:nvPicPr>
                    <pic:cNvPr descr="report_wk38_files/figure-docx/afd-priority-level-1.png" id="111" name="Picture"/>
                    <pic:cNvPicPr>
                      <a:picLocks noChangeArrowheads="1" noChangeAspect="1"/>
                    </pic:cNvPicPr>
                  </pic:nvPicPr>
                  <pic:blipFill>
                    <a:blip r:embed="rId10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most-used priority for fire-related calls was P3. P1 calls account for 38.1 percent of all fire-related calls this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9.81</w:t>
            </w:r>
          </w:p>
        </w:tc>
      </w:tr>
    </w:tbl>
    <w:p>
      <w:pPr>
        <w:pStyle w:val="BodyText"/>
      </w:pPr>
      <w:r>
        <w:t xml:space="preserve">Overall, DECC operations appear to be very efficient at getting fire-related service calls out to the field. The median processing time was only seconds. This shows that we can easily be in compliance with all necessary NENA and NFPA guidelines. The median time on the phone was seconds. The mean time was seconds, which is still amazing.</w:t>
      </w:r>
    </w:p>
    <w:bookmarkEnd w:id="112"/>
    <w:bookmarkStart w:id="128" w:name="afd-ems-analyses"/>
    <w:p>
      <w:pPr>
        <w:pStyle w:val="Heading3"/>
      </w:pPr>
      <w:r>
        <w:t xml:space="preserve">5.3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4" name="Picture"/>
            <a:graphic>
              <a:graphicData uri="http://schemas.openxmlformats.org/drawingml/2006/picture">
                <pic:pic>
                  <pic:nvPicPr>
                    <pic:cNvPr descr="report_wk38_files/figure-docx/ems-day-of-week-1.png" id="115" name="Picture"/>
                    <pic:cNvPicPr>
                      <a:picLocks noChangeArrowheads="1" noChangeAspect="1"/>
                    </pic:cNvPicPr>
                  </pic:nvPicPr>
                  <pic:blipFill>
                    <a:blip r:embed="rId11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This week, there is a spike in medical calls on Friday. This appears to correlate to the information that we saw earlier in the report. Outside of Friday, the remainder of the week appears to be consistent for the number of medical calls handled.</w:t>
      </w:r>
    </w:p>
    <w:p>
      <w:pPr>
        <w:pStyle w:val="CaptionedFigure"/>
      </w:pPr>
      <w:r>
        <w:drawing>
          <wp:inline>
            <wp:extent cx="5334000" cy="3556000"/>
            <wp:effectExtent b="0" l="0" r="0" t="0"/>
            <wp:docPr descr="Number of calls for service by hour of the day." title="" id="117" name="Picture"/>
            <a:graphic>
              <a:graphicData uri="http://schemas.openxmlformats.org/drawingml/2006/picture">
                <pic:pic>
                  <pic:nvPicPr>
                    <pic:cNvPr descr="report_wk38_files/figure-docx/ems-hour-of-day-1.png" id="118" name="Picture"/>
                    <pic:cNvPicPr>
                      <a:picLocks noChangeArrowheads="1" noChangeAspect="1"/>
                    </pic:cNvPicPr>
                  </pic:nvPicPr>
                  <pic:blipFill>
                    <a:blip r:embed="rId11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This week, the busiest hour was 16 hours. The afternoon to evening hours, this week, stayed consistently busy which appears to continue the trends previously observed.</w:t>
      </w:r>
    </w:p>
    <w:p>
      <w:pPr>
        <w:pStyle w:val="CaptionedFigure"/>
      </w:pPr>
      <w:r>
        <w:drawing>
          <wp:inline>
            <wp:extent cx="5334000" cy="3556000"/>
            <wp:effectExtent b="0" l="0" r="0" t="0"/>
            <wp:docPr descr="Number of calls for service by call reception." title="" id="120" name="Picture"/>
            <a:graphic>
              <a:graphicData uri="http://schemas.openxmlformats.org/drawingml/2006/picture">
                <pic:pic>
                  <pic:nvPicPr>
                    <pic:cNvPr descr="report_wk38_files/figure-docx/ems-call-reception-1.png" id="121" name="Picture"/>
                    <pic:cNvPicPr>
                      <a:picLocks noChangeArrowheads="1" noChangeAspect="1"/>
                    </pic:cNvPicPr>
                  </pic:nvPicPr>
                  <pic:blipFill>
                    <a:blip r:embed="rId11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arrived via E-911. However, 8.6 percent of medical calls arrived without a method by which we recevied the call. We should continue to monitor and investigate why these are occurring.</w:t>
      </w:r>
    </w:p>
    <w:p>
      <w:pPr>
        <w:pStyle w:val="CaptionedFigure"/>
      </w:pPr>
      <w:r>
        <w:drawing>
          <wp:inline>
            <wp:extent cx="5334000" cy="3556000"/>
            <wp:effectExtent b="0" l="0" r="0" t="0"/>
            <wp:docPr descr="Number of calls for service by call type." title="" id="123" name="Picture"/>
            <a:graphic>
              <a:graphicData uri="http://schemas.openxmlformats.org/drawingml/2006/picture">
                <pic:pic>
                  <pic:nvPicPr>
                    <pic:cNvPr descr="report_wk38_files/figure-docx/ems-call-type-1.png" id="124" name="Picture"/>
                    <pic:cNvPicPr>
                      <a:picLocks noChangeArrowheads="1" noChangeAspect="1"/>
                    </pic:cNvPicPr>
                  </pic:nvPicPr>
                  <pic:blipFill>
                    <a:blip r:embed="rId12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prevalent medical service type this week was</w:t>
      </w:r>
      <w:r>
        <w:t xml:space="preserve"> </w:t>
      </w:r>
      <w:r>
        <w:t xml:space="preserve">‘r busiest_prob_med’</w:t>
      </w:r>
      <w:r>
        <w:t xml:space="preserve">. Further we had 62 mutual aid medical calls this week.</w:t>
      </w:r>
    </w:p>
    <w:p>
      <w:pPr>
        <w:pStyle w:val="CaptionedFigure"/>
      </w:pPr>
      <w:r>
        <w:drawing>
          <wp:inline>
            <wp:extent cx="5334000" cy="3556000"/>
            <wp:effectExtent b="0" l="0" r="0" t="0"/>
            <wp:docPr descr="Number of calls for service by priority level." title="" id="126" name="Picture"/>
            <a:graphic>
              <a:graphicData uri="http://schemas.openxmlformats.org/drawingml/2006/picture">
                <pic:pic>
                  <pic:nvPicPr>
                    <pic:cNvPr descr="report_wk38_files/figure-docx/ems-priority-level-1.png" id="127" name="Picture"/>
                    <pic:cNvPicPr>
                      <a:picLocks noChangeArrowheads="1" noChangeAspect="1"/>
                    </pic:cNvPicPr>
                  </pic:nvPicPr>
                  <pic:blipFill>
                    <a:blip r:embed="rId1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220.89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2,973.67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3,091.00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-0.88</w:t>
            </w:r>
          </w:p>
        </w:tc>
      </w:tr>
    </w:tbl>
    <w:p>
      <w:pPr>
        <w:pStyle w:val="BodyText"/>
      </w:pPr>
      <w:r>
        <w:t xml:space="preserve">The median time to process medical calls was seconds. Again, this puts us in good form when examening our operational efficiency. The median time on phones, seconds, is longer than the overall median. That is to be expected with these calls taking longer to triage.</w:t>
      </w:r>
    </w:p>
    <w:bookmarkEnd w:id="128"/>
    <w:bookmarkEnd w:id="129"/>
    <w:bookmarkStart w:id="131" w:name="additional-analyses"/>
    <w:p>
      <w:pPr>
        <w:pStyle w:val="Heading2"/>
      </w:pPr>
      <w:r>
        <w:t xml:space="preserve">6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79 emergency service calls where the elapsed time from call start to the call entering the queue for dispatch was over 60 seconds. There are also 10 emergency service calls where the elapsed time from entering queue to the first unit assigned was over 60 seconds.</w:t>
      </w:r>
    </w:p>
    <w:bookmarkStart w:id="130" w:name="possible-service-delays"/>
    <w:p>
      <w:pPr>
        <w:pStyle w:val="Heading3"/>
      </w:pPr>
      <w:r>
        <w:t xml:space="preserve">6.1 Possible Service Delays</w:t>
      </w:r>
    </w:p>
    <w:p>
      <w:pPr>
        <w:pStyle w:val="FirstParagraph"/>
      </w:pPr>
      <w:r>
        <w:t xml:space="preserve">We can look at the datasets and see if there are telecommunicators who may experience more challenging calls during the week. First will be a table of telecommunicators who worked emergency calls that took longer than 60 seconds to go from start to queue. The second will be a table of dispatchers who assigned an emergency call that waited in queue longer than 60 seconds.</w:t>
      </w:r>
    </w:p>
    <w:p>
      <w:pPr>
        <w:pStyle w:val="TableCaption"/>
      </w:pPr>
      <w:r>
        <w:t xml:space="preserve">Frequency of Call Taker in Delayed TTQ Calls (Descending)</w:t>
      </w:r>
    </w:p>
    <w:tbl>
      <w:tblPr>
        <w:tblStyle w:val="Table"/>
        <w:tblW w:type="auto" w:w="0"/>
        <w:tblLook w:firstRow="1" w:lastRow="0" w:firstColumn="0" w:lastColumn="0" w:noHBand="0" w:noVBand="0" w:val="0020"/>
        <w:tblCaption w:val="Frequency of Call Taker in Delayed TTQ Calls (Descending)"/>
      </w:tblPr>
      <w:tblGrid>
        <w:gridCol w:w="3960"/>
        <w:gridCol w:w="3960"/>
      </w:tblGrid>
      <w:tr>
        <w:trPr>
          <w:tblHeader w:val="on"/>
        </w:trPr>
        <w:tc>
          <w:tcPr/>
          <w:p>
            <w:pPr>
              <w:pStyle w:val="Compact"/>
              <w:jc w:val="left"/>
            </w:pPr>
            <w:r>
              <w:t xml:space="preserve">Call Taker</w:t>
            </w:r>
          </w:p>
        </w:tc>
        <w:tc>
          <w:tcPr/>
          <w:p>
            <w:pPr>
              <w:pStyle w:val="Compact"/>
              <w:jc w:val="right"/>
            </w:pPr>
            <w:r>
              <w:t xml:space="preserve">Count</w:t>
            </w:r>
          </w:p>
        </w:tc>
      </w:tr>
      <w:tr>
        <w:tc>
          <w:tcPr/>
          <w:p>
            <w:pPr>
              <w:pStyle w:val="Compact"/>
              <w:jc w:val="left"/>
            </w:pPr>
            <w:r>
              <w:t xml:space="preserve">CRUZ, STEPHANIE</w:t>
            </w:r>
          </w:p>
        </w:tc>
        <w:tc>
          <w:tcPr/>
          <w:p>
            <w:pPr>
              <w:pStyle w:val="Compact"/>
              <w:jc w:val="right"/>
            </w:pPr>
            <w:r>
              <w:t xml:space="preserve">13</w:t>
            </w:r>
          </w:p>
        </w:tc>
      </w:tr>
      <w:tr>
        <w:tc>
          <w:tcPr/>
          <w:p>
            <w:pPr>
              <w:pStyle w:val="Compact"/>
              <w:jc w:val="left"/>
            </w:pPr>
            <w:r>
              <w:t xml:space="preserve">LEWIS, LESLIE</w:t>
            </w:r>
          </w:p>
        </w:tc>
        <w:tc>
          <w:tcPr/>
          <w:p>
            <w:pPr>
              <w:pStyle w:val="Compact"/>
              <w:jc w:val="right"/>
            </w:pPr>
            <w:r>
              <w:t xml:space="preserve">7</w:t>
            </w:r>
          </w:p>
        </w:tc>
      </w:tr>
      <w:tr>
        <w:tc>
          <w:tcPr/>
          <w:p>
            <w:pPr>
              <w:pStyle w:val="Compact"/>
              <w:jc w:val="left"/>
            </w:pPr>
            <w:r>
              <w:t xml:space="preserve">JACKSON, MALIKA</w:t>
            </w:r>
          </w:p>
        </w:tc>
        <w:tc>
          <w:tcPr/>
          <w:p>
            <w:pPr>
              <w:pStyle w:val="Compact"/>
              <w:jc w:val="right"/>
            </w:pPr>
            <w:r>
              <w:t xml:space="preserve">6</w:t>
            </w:r>
          </w:p>
        </w:tc>
      </w:tr>
      <w:tr>
        <w:tc>
          <w:tcPr/>
          <w:p>
            <w:pPr>
              <w:pStyle w:val="Compact"/>
              <w:jc w:val="left"/>
            </w:pPr>
            <w:r>
              <w:t xml:space="preserve">BRYANT, THEO</w:t>
            </w:r>
          </w:p>
        </w:tc>
        <w:tc>
          <w:tcPr/>
          <w:p>
            <w:pPr>
              <w:pStyle w:val="Compact"/>
              <w:jc w:val="right"/>
            </w:pPr>
            <w:r>
              <w:t xml:space="preserve">5</w:t>
            </w:r>
          </w:p>
        </w:tc>
      </w:tr>
      <w:tr>
        <w:tc>
          <w:tcPr/>
          <w:p>
            <w:pPr>
              <w:pStyle w:val="Compact"/>
              <w:jc w:val="left"/>
            </w:pPr>
            <w:r>
              <w:t xml:space="preserve">PERALTA, ANNETTE</w:t>
            </w:r>
          </w:p>
        </w:tc>
        <w:tc>
          <w:tcPr/>
          <w:p>
            <w:pPr>
              <w:pStyle w:val="Compact"/>
              <w:jc w:val="right"/>
            </w:pPr>
            <w:r>
              <w:t xml:space="preserve">5</w:t>
            </w:r>
          </w:p>
        </w:tc>
      </w:tr>
      <w:tr>
        <w:tc>
          <w:tcPr/>
          <w:p>
            <w:pPr>
              <w:pStyle w:val="Compact"/>
              <w:jc w:val="left"/>
            </w:pPr>
            <w:r>
              <w:t xml:space="preserve">PRIESTLY, SHAVAUGHN</w:t>
            </w:r>
          </w:p>
        </w:tc>
        <w:tc>
          <w:tcPr/>
          <w:p>
            <w:pPr>
              <w:pStyle w:val="Compact"/>
              <w:jc w:val="right"/>
            </w:pPr>
            <w:r>
              <w:t xml:space="preserve">5</w:t>
            </w:r>
          </w:p>
        </w:tc>
      </w:tr>
      <w:tr>
        <w:tc>
          <w:tcPr/>
          <w:p>
            <w:pPr>
              <w:pStyle w:val="Compact"/>
              <w:jc w:val="left"/>
            </w:pPr>
            <w:r>
              <w:t xml:space="preserve">FLOURNOY, ERICKA</w:t>
            </w:r>
          </w:p>
        </w:tc>
        <w:tc>
          <w:tcPr/>
          <w:p>
            <w:pPr>
              <w:pStyle w:val="Compact"/>
              <w:jc w:val="right"/>
            </w:pPr>
            <w:r>
              <w:t xml:space="preserve">4</w:t>
            </w:r>
          </w:p>
        </w:tc>
      </w:tr>
      <w:tr>
        <w:tc>
          <w:tcPr/>
          <w:p>
            <w:pPr>
              <w:pStyle w:val="Compact"/>
              <w:jc w:val="left"/>
            </w:pPr>
            <w:r>
              <w:t xml:space="preserve">GARCIA, VILMA</w:t>
            </w:r>
          </w:p>
        </w:tc>
        <w:tc>
          <w:tcPr/>
          <w:p>
            <w:pPr>
              <w:pStyle w:val="Compact"/>
              <w:jc w:val="right"/>
            </w:pPr>
            <w:r>
              <w:t xml:space="preserve">4</w:t>
            </w:r>
          </w:p>
        </w:tc>
      </w:tr>
      <w:tr>
        <w:tc>
          <w:tcPr/>
          <w:p>
            <w:pPr>
              <w:pStyle w:val="Compact"/>
              <w:jc w:val="left"/>
            </w:pPr>
            <w:r>
              <w:t xml:space="preserve">MCLEOD, DOUGLAS</w:t>
            </w:r>
          </w:p>
        </w:tc>
        <w:tc>
          <w:tcPr/>
          <w:p>
            <w:pPr>
              <w:pStyle w:val="Compact"/>
              <w:jc w:val="right"/>
            </w:pPr>
            <w:r>
              <w:t xml:space="preserve">4</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VALENTIN, EMERITA</w:t>
            </w:r>
          </w:p>
        </w:tc>
        <w:tc>
          <w:tcPr/>
          <w:p>
            <w:pPr>
              <w:pStyle w:val="Compact"/>
              <w:jc w:val="right"/>
            </w:pPr>
            <w:r>
              <w:t xml:space="preserve">3</w:t>
            </w:r>
          </w:p>
        </w:tc>
      </w:tr>
      <w:tr>
        <w:tc>
          <w:tcPr/>
          <w:p>
            <w:pPr>
              <w:pStyle w:val="Compact"/>
              <w:jc w:val="left"/>
            </w:pPr>
            <w:r>
              <w:t xml:space="preserve">WATSON, JOANNE</w:t>
            </w:r>
          </w:p>
        </w:tc>
        <w:tc>
          <w:tcPr/>
          <w:p>
            <w:pPr>
              <w:pStyle w:val="Compact"/>
              <w:jc w:val="right"/>
            </w:pPr>
            <w:r>
              <w:t xml:space="preserve">3</w:t>
            </w:r>
          </w:p>
        </w:tc>
      </w:tr>
      <w:tr>
        <w:tc>
          <w:tcPr/>
          <w:p>
            <w:pPr>
              <w:pStyle w:val="Compact"/>
              <w:jc w:val="left"/>
            </w:pPr>
            <w:r>
              <w:t xml:space="preserve">WILLIAMS, DARNELL</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2</w:t>
            </w:r>
          </w:p>
        </w:tc>
      </w:tr>
      <w:tr>
        <w:tc>
          <w:tcPr/>
          <w:p>
            <w:pPr>
              <w:pStyle w:val="Compact"/>
              <w:jc w:val="left"/>
            </w:pPr>
            <w:r>
              <w:t xml:space="preserve">WALKER, JUANITA</w:t>
            </w:r>
          </w:p>
        </w:tc>
        <w:tc>
          <w:tcPr/>
          <w:p>
            <w:pPr>
              <w:pStyle w:val="Compact"/>
              <w:jc w:val="right"/>
            </w:pPr>
            <w:r>
              <w:t xml:space="preserve">2</w:t>
            </w:r>
          </w:p>
        </w:tc>
      </w:tr>
      <w:tr>
        <w:tc>
          <w:tcPr/>
          <w:p>
            <w:pPr>
              <w:pStyle w:val="Compact"/>
              <w:jc w:val="left"/>
            </w:pPr>
            <w:r>
              <w:t xml:space="preserve">ANDERSON, MARILYN</w:t>
            </w:r>
          </w:p>
        </w:tc>
        <w:tc>
          <w:tcPr/>
          <w:p>
            <w:pPr>
              <w:pStyle w:val="Compact"/>
              <w:jc w:val="right"/>
            </w:pPr>
            <w:r>
              <w:t xml:space="preserve">1</w:t>
            </w:r>
          </w:p>
        </w:tc>
      </w:tr>
      <w:tr>
        <w:tc>
          <w:tcPr/>
          <w:p>
            <w:pPr>
              <w:pStyle w:val="Compact"/>
              <w:jc w:val="left"/>
            </w:pPr>
            <w:r>
              <w:t xml:space="preserve">GOODWIN, SHEENA</w:t>
            </w:r>
          </w:p>
        </w:tc>
        <w:tc>
          <w:tcPr/>
          <w:p>
            <w:pPr>
              <w:pStyle w:val="Compact"/>
              <w:jc w:val="right"/>
            </w:pPr>
            <w:r>
              <w:t xml:space="preserve">1</w:t>
            </w:r>
          </w:p>
        </w:tc>
      </w:tr>
      <w:tr>
        <w:tc>
          <w:tcPr/>
          <w:p>
            <w:pPr>
              <w:pStyle w:val="Compact"/>
              <w:jc w:val="left"/>
            </w:pPr>
            <w:r>
              <w:t xml:space="preserve">HARDING, AUTUMN</w:t>
            </w:r>
          </w:p>
        </w:tc>
        <w:tc>
          <w:tcPr/>
          <w:p>
            <w:pPr>
              <w:pStyle w:val="Compact"/>
              <w:jc w:val="right"/>
            </w:pPr>
            <w:r>
              <w:t xml:space="preserve">1</w:t>
            </w:r>
          </w:p>
        </w:tc>
      </w:tr>
      <w:tr>
        <w:tc>
          <w:tcPr/>
          <w:p>
            <w:pPr>
              <w:pStyle w:val="Compact"/>
              <w:jc w:val="left"/>
            </w:pPr>
            <w:r>
              <w:t xml:space="preserve">MACK, BRIANA</w:t>
            </w:r>
          </w:p>
        </w:tc>
        <w:tc>
          <w:tcPr/>
          <w:p>
            <w:pPr>
              <w:pStyle w:val="Compact"/>
              <w:jc w:val="right"/>
            </w:pPr>
            <w:r>
              <w:t xml:space="preserve">1</w:t>
            </w:r>
          </w:p>
        </w:tc>
      </w:tr>
      <w:tr>
        <w:tc>
          <w:tcPr/>
          <w:p>
            <w:pPr>
              <w:pStyle w:val="Compact"/>
              <w:jc w:val="left"/>
            </w:pPr>
            <w:r>
              <w:t xml:space="preserve">MESARIS, MATTHEW</w:t>
            </w:r>
          </w:p>
        </w:tc>
        <w:tc>
          <w:tcPr/>
          <w:p>
            <w:pPr>
              <w:pStyle w:val="Compact"/>
              <w:jc w:val="right"/>
            </w:pPr>
            <w:r>
              <w:t xml:space="preserve">1</w:t>
            </w:r>
          </w:p>
        </w:tc>
      </w:tr>
      <w:tr>
        <w:tc>
          <w:tcPr/>
          <w:p>
            <w:pPr>
              <w:pStyle w:val="Compact"/>
              <w:jc w:val="left"/>
            </w:pPr>
            <w:r>
              <w:t xml:space="preserve">PATTERSON, JAHAIRA</w:t>
            </w:r>
          </w:p>
        </w:tc>
        <w:tc>
          <w:tcPr/>
          <w:p>
            <w:pPr>
              <w:pStyle w:val="Compact"/>
              <w:jc w:val="right"/>
            </w:pPr>
            <w:r>
              <w:t xml:space="preserve">1</w:t>
            </w:r>
          </w:p>
        </w:tc>
      </w:tr>
      <w:tr>
        <w:tc>
          <w:tcPr/>
          <w:p>
            <w:pPr>
              <w:pStyle w:val="Compact"/>
              <w:jc w:val="left"/>
            </w:pPr>
            <w:r>
              <w:t xml:space="preserve">PEREZ, CARLOS</w:t>
            </w:r>
          </w:p>
        </w:tc>
        <w:tc>
          <w:tcPr/>
          <w:p>
            <w:pPr>
              <w:pStyle w:val="Compact"/>
              <w:jc w:val="right"/>
            </w:pPr>
            <w:r>
              <w:t xml:space="preserve">1</w:t>
            </w:r>
          </w:p>
        </w:tc>
      </w:tr>
      <w:tr>
        <w:tc>
          <w:tcPr/>
          <w:p>
            <w:pPr>
              <w:pStyle w:val="Compact"/>
              <w:jc w:val="left"/>
            </w:pPr>
            <w:r>
              <w:t xml:space="preserve">SMITH, TERESA</w:t>
            </w:r>
          </w:p>
        </w:tc>
        <w:tc>
          <w:tcPr/>
          <w:p>
            <w:pPr>
              <w:pStyle w:val="Compact"/>
              <w:jc w:val="right"/>
            </w:pPr>
            <w:r>
              <w:t xml:space="preserve">1</w:t>
            </w:r>
          </w:p>
        </w:tc>
      </w:tr>
      <w:tr>
        <w:tc>
          <w:tcPr/>
          <w:p>
            <w:pPr>
              <w:pStyle w:val="Compact"/>
              <w:jc w:val="left"/>
            </w:pPr>
            <w:r>
              <w:t xml:space="preserve">WALKER, KAREN</w:t>
            </w:r>
          </w:p>
        </w:tc>
        <w:tc>
          <w:tcPr/>
          <w:p>
            <w:pPr>
              <w:pStyle w:val="Compact"/>
              <w:jc w:val="right"/>
            </w:pPr>
            <w:r>
              <w:t xml:space="preserve">1</w:t>
            </w:r>
          </w:p>
        </w:tc>
      </w:tr>
      <w:tr>
        <w:tc>
          <w:tcPr/>
          <w:p>
            <w:pPr>
              <w:pStyle w:val="Compact"/>
              <w:jc w:val="left"/>
            </w:pPr>
            <w:r>
              <w:t xml:space="preserve">WALKER, LATITIA</w:t>
            </w:r>
          </w:p>
        </w:tc>
        <w:tc>
          <w:tcPr/>
          <w:p>
            <w:pPr>
              <w:pStyle w:val="Compact"/>
              <w:jc w:val="right"/>
            </w:pPr>
            <w:r>
              <w:t xml:space="preserve">1</w:t>
            </w:r>
          </w:p>
        </w:tc>
      </w:tr>
    </w:tbl>
    <w:p>
      <w:pPr>
        <w:pStyle w:val="BodyText"/>
      </w:pPr>
      <w:r>
        <w:t xml:space="preserve">From this, since there are a small number of telecommunicators who have more than one call in the table above, there may not be any need for amerlioration. This, however, could be something that is included in the report template in order to monitor. Should a telecommunicator appear multiple times in this table over a period of time, additional training or mentoring may be called for.</w:t>
      </w:r>
    </w:p>
    <w:p>
      <w:pPr>
        <w:pStyle w:val="TableCaption"/>
      </w:pPr>
      <w:r>
        <w:t xml:space="preserve">Frequency of Dispatcher in Delayed TTD Calls (Descending)</w:t>
      </w:r>
    </w:p>
    <w:tbl>
      <w:tblPr>
        <w:tblStyle w:val="Table"/>
        <w:tblW w:type="auto" w:w="0"/>
        <w:tblLook w:firstRow="1" w:lastRow="0" w:firstColumn="0" w:lastColumn="0" w:noHBand="0" w:noVBand="0" w:val="0020"/>
        <w:tblCaption w:val="Frequency of Dispatcher in Delayed TTD Calls (Descending)"/>
      </w:tblPr>
      <w:tblGrid>
        <w:gridCol w:w="3960"/>
        <w:gridCol w:w="3960"/>
      </w:tblGrid>
      <w:tr>
        <w:trPr>
          <w:tblHeader w:val="on"/>
        </w:trPr>
        <w:tc>
          <w:tcPr/>
          <w:p>
            <w:pPr>
              <w:pStyle w:val="Compact"/>
              <w:jc w:val="left"/>
            </w:pPr>
            <w:r>
              <w:t xml:space="preserve">Dispatcher</w:t>
            </w:r>
          </w:p>
        </w:tc>
        <w:tc>
          <w:tcPr/>
          <w:p>
            <w:pPr>
              <w:pStyle w:val="Compact"/>
              <w:jc w:val="right"/>
            </w:pPr>
            <w:r>
              <w:t xml:space="preserve">Count</w:t>
            </w:r>
          </w:p>
        </w:tc>
      </w:tr>
      <w:tr>
        <w:tc>
          <w:tcPr/>
          <w:p>
            <w:pPr>
              <w:pStyle w:val="Compact"/>
              <w:jc w:val="left"/>
            </w:pPr>
            <w:r>
              <w:t xml:space="preserve">DEWBERRY, RE’KEYA</w:t>
            </w:r>
          </w:p>
        </w:tc>
        <w:tc>
          <w:tcPr/>
          <w:p>
            <w:pPr>
              <w:pStyle w:val="Compact"/>
              <w:jc w:val="right"/>
            </w:pPr>
            <w:r>
              <w:t xml:space="preserve">3</w:t>
            </w:r>
          </w:p>
        </w:tc>
      </w:tr>
      <w:tr>
        <w:tc>
          <w:tcPr/>
          <w:p>
            <w:pPr>
              <w:pStyle w:val="Compact"/>
              <w:jc w:val="left"/>
            </w:pPr>
            <w:r>
              <w:t xml:space="preserve">BONSU, VALERIE</w:t>
            </w:r>
          </w:p>
        </w:tc>
        <w:tc>
          <w:tcPr/>
          <w:p>
            <w:pPr>
              <w:pStyle w:val="Compact"/>
              <w:jc w:val="right"/>
            </w:pPr>
            <w:r>
              <w:t xml:space="preserve">1</w:t>
            </w:r>
          </w:p>
        </w:tc>
      </w:tr>
      <w:tr>
        <w:tc>
          <w:tcPr/>
          <w:p>
            <w:pPr>
              <w:pStyle w:val="Compact"/>
              <w:jc w:val="left"/>
            </w:pPr>
            <w:r>
              <w:t xml:space="preserve">BRYANT, THEO</w:t>
            </w:r>
          </w:p>
        </w:tc>
        <w:tc>
          <w:tcPr/>
          <w:p>
            <w:pPr>
              <w:pStyle w:val="Compact"/>
              <w:jc w:val="right"/>
            </w:pPr>
            <w:r>
              <w:t xml:space="preserve">1</w:t>
            </w:r>
          </w:p>
        </w:tc>
      </w:tr>
      <w:tr>
        <w:tc>
          <w:tcPr/>
          <w:p>
            <w:pPr>
              <w:pStyle w:val="Compact"/>
              <w:jc w:val="left"/>
            </w:pPr>
            <w:r>
              <w:t xml:space="preserve">FLOURNOY, ERICKA</w:t>
            </w:r>
          </w:p>
        </w:tc>
        <w:tc>
          <w:tcPr/>
          <w:p>
            <w:pPr>
              <w:pStyle w:val="Compact"/>
              <w:jc w:val="right"/>
            </w:pPr>
            <w:r>
              <w:t xml:space="preserve">1</w:t>
            </w:r>
          </w:p>
        </w:tc>
      </w:tr>
      <w:tr>
        <w:tc>
          <w:tcPr/>
          <w:p>
            <w:pPr>
              <w:pStyle w:val="Compact"/>
              <w:jc w:val="left"/>
            </w:pPr>
            <w:r>
              <w:t xml:space="preserve">GATTO, GIANNA</w:t>
            </w:r>
          </w:p>
        </w:tc>
        <w:tc>
          <w:tcPr/>
          <w:p>
            <w:pPr>
              <w:pStyle w:val="Compact"/>
              <w:jc w:val="right"/>
            </w:pPr>
            <w:r>
              <w:t xml:space="preserve">1</w:t>
            </w:r>
          </w:p>
        </w:tc>
      </w:tr>
      <w:tr>
        <w:tc>
          <w:tcPr/>
          <w:p>
            <w:pPr>
              <w:pStyle w:val="Compact"/>
              <w:jc w:val="left"/>
            </w:pPr>
            <w:r>
              <w:t xml:space="preserve">LEWIS, LESLIE</w:t>
            </w:r>
          </w:p>
        </w:tc>
        <w:tc>
          <w:tcPr/>
          <w:p>
            <w:pPr>
              <w:pStyle w:val="Compact"/>
              <w:jc w:val="right"/>
            </w:pPr>
            <w:r>
              <w:t xml:space="preserve">1</w:t>
            </w:r>
          </w:p>
        </w:tc>
      </w:tr>
      <w:tr>
        <w:tc>
          <w:tcPr/>
          <w:p>
            <w:pPr>
              <w:pStyle w:val="Compact"/>
              <w:jc w:val="left"/>
            </w:pPr>
            <w:r>
              <w:t xml:space="preserve">PRIESTLY, SHAVAUGHN</w:t>
            </w:r>
          </w:p>
        </w:tc>
        <w:tc>
          <w:tcPr/>
          <w:p>
            <w:pPr>
              <w:pStyle w:val="Compact"/>
              <w:jc w:val="right"/>
            </w:pPr>
            <w:r>
              <w:t xml:space="preserve">1</w:t>
            </w:r>
          </w:p>
        </w:tc>
      </w:tr>
      <w:tr>
        <w:tc>
          <w:tcPr/>
          <w:p>
            <w:pPr>
              <w:pStyle w:val="Compact"/>
              <w:jc w:val="left"/>
            </w:pPr>
            <w:r>
              <w:t xml:space="preserve">WALKER, JUANITA</w:t>
            </w:r>
          </w:p>
        </w:tc>
        <w:tc>
          <w:tcPr/>
          <w:p>
            <w:pPr>
              <w:pStyle w:val="Compact"/>
              <w:jc w:val="right"/>
            </w:pPr>
            <w:r>
              <w:t xml:space="preserve">1</w:t>
            </w:r>
          </w:p>
        </w:tc>
      </w:tr>
    </w:tbl>
    <w:p>
      <w:pPr>
        <w:pStyle w:val="BodyText"/>
      </w:pPr>
      <w:r>
        <w:t xml:space="preserve">This list is fairly short and could simply be monitored in future should the need arise.</w:t>
      </w:r>
    </w:p>
    <w:bookmarkEnd w:id="130"/>
    <w:bookmarkEnd w:id="131"/>
    <w:bookmarkStart w:id="140" w:name="high-priority-and-critical-calls"/>
    <w:p>
      <w:pPr>
        <w:pStyle w:val="Heading2"/>
      </w:pPr>
      <w:r>
        <w:t xml:space="preserve">7 High-Priority and Critical Calls</w:t>
      </w:r>
    </w:p>
    <w:p>
      <w:pPr>
        <w:pStyle w:val="FirstParagraph"/>
      </w:pPr>
      <w:r>
        <w:t xml:space="preserve">In this section, we will focus on the calls that are deemed high-priority or critical. This includes APD Priority 1 calls and AFD Priority 1 and 2 calls. We have identified these calls in the</w:t>
      </w:r>
      <w:r>
        <w:t xml:space="preserve"> </w:t>
      </w:r>
      <w:r>
        <w:rPr>
          <w:rStyle w:val="VerbatimChar"/>
        </w:rPr>
        <w:t xml:space="preserve">df_hp</w:t>
      </w:r>
      <w:r>
        <w:t xml:space="preserve"> </w:t>
      </w:r>
      <w:r>
        <w:t xml:space="preserve">dataset created earlier.</w:t>
      </w:r>
    </w:p>
    <w:bookmarkStart w:id="135" w:name="high-priority-call-types"/>
    <w:p>
      <w:pPr>
        <w:pStyle w:val="Heading3"/>
      </w:pPr>
      <w:r>
        <w:t xml:space="preserve">7.1 High-Priority Call Types</w:t>
      </w:r>
    </w:p>
    <w:p>
      <w:pPr>
        <w:pStyle w:val="CaptionedFigure"/>
      </w:pPr>
      <w:r>
        <w:drawing>
          <wp:inline>
            <wp:extent cx="5334000" cy="3556000"/>
            <wp:effectExtent b="0" l="0" r="0" t="0"/>
            <wp:docPr descr="Top High-Priority Call Types" title="" id="133" name="Picture"/>
            <a:graphic>
              <a:graphicData uri="http://schemas.openxmlformats.org/drawingml/2006/picture">
                <pic:pic>
                  <pic:nvPicPr>
                    <pic:cNvPr descr="report_wk38_files/figure-docx/hp-call-types-1.png" id="134" name="Picture"/>
                    <pic:cNvPicPr>
                      <a:picLocks noChangeArrowheads="1" noChangeAspect="1"/>
                    </pic:cNvPicPr>
                  </pic:nvPicPr>
                  <pic:blipFill>
                    <a:blip r:embed="rId1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Top High-Priority Call Types</w:t>
      </w:r>
    </w:p>
    <w:p>
      <w:pPr>
        <w:pStyle w:val="BodyText"/>
      </w:pPr>
      <w:r>
        <w:t xml:space="preserve">Almost all of the problem types in this graph belong to AFD and are medical calls. Based on the information above, this is to be expected.</w:t>
      </w:r>
    </w:p>
    <w:bookmarkEnd w:id="135"/>
    <w:bookmarkStart w:id="139" w:name="high-priority-response-times"/>
    <w:p>
      <w:pPr>
        <w:pStyle w:val="Heading3"/>
      </w:pPr>
      <w:r>
        <w:t xml:space="preserve">7.2 High-Priority Response Times</w:t>
      </w:r>
    </w:p>
    <w:p>
      <w:pPr>
        <w:pStyle w:val="CaptionedFigure"/>
      </w:pPr>
      <w:r>
        <w:drawing>
          <wp:inline>
            <wp:extent cx="5334000" cy="3556000"/>
            <wp:effectExtent b="0" l="0" r="0" t="0"/>
            <wp:docPr descr="High-Priority Call Response Times" title="" id="137" name="Picture"/>
            <a:graphic>
              <a:graphicData uri="http://schemas.openxmlformats.org/drawingml/2006/picture">
                <pic:pic>
                  <pic:nvPicPr>
                    <pic:cNvPr descr="report_wk38_files/figure-docx/hp-response-times-1.png" id="138" name="Picture"/>
                    <pic:cNvPicPr>
                      <a:picLocks noChangeArrowheads="1" noChangeAspect="1"/>
                    </pic:cNvPicPr>
                  </pic:nvPicPr>
                  <pic:blipFill>
                    <a:blip r:embed="rId1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High-Priority Call Response Times</w:t>
      </w:r>
    </w:p>
    <w:p>
      <w:pPr>
        <w:pStyle w:val="BodyText"/>
      </w:pPr>
      <w:r>
        <w:t xml:space="preserve">These histograms show that, overall, our record for handling these calls is excellent.</w:t>
      </w:r>
    </w:p>
    <w:bookmarkEnd w:id="139"/>
    <w:bookmarkEnd w:id="140"/>
    <w:bookmarkStart w:id="160" w:name="cardiac-arrest-calls-analysis"/>
    <w:p>
      <w:pPr>
        <w:pStyle w:val="Heading2"/>
      </w:pPr>
      <w:r>
        <w:t xml:space="preserve">8 Cardiac Arrest Calls Analysis</w:t>
      </w:r>
    </w:p>
    <w:p>
      <w:pPr>
        <w:pStyle w:val="FirstParagraph"/>
      </w:pPr>
      <w:r>
        <w:t xml:space="preserve">Finally, we will look into the specific subset of calls that are related to cardiac arrests. These calls have been identified in the</w:t>
      </w:r>
      <w:r>
        <w:t xml:space="preserve"> </w:t>
      </w:r>
      <w:r>
        <w:rPr>
          <w:rStyle w:val="VerbatimChar"/>
        </w:rPr>
        <w:t xml:space="preserve">df_ca</w:t>
      </w:r>
      <w:r>
        <w:t xml:space="preserve"> </w:t>
      </w:r>
      <w:r>
        <w:t xml:space="preserve">dataset.</w:t>
      </w:r>
    </w:p>
    <w:p>
      <w:pPr>
        <w:pStyle w:val="CaptionedFigure"/>
      </w:pPr>
      <w:r>
        <w:drawing>
          <wp:inline>
            <wp:extent cx="5334000" cy="3556000"/>
            <wp:effectExtent b="0" l="0" r="0" t="0"/>
            <wp:docPr descr="Cardiac Arrest Call Volume by Day and Hour" title="" id="142" name="Picture"/>
            <a:graphic>
              <a:graphicData uri="http://schemas.openxmlformats.org/drawingml/2006/picture">
                <pic:pic>
                  <pic:nvPicPr>
                    <pic:cNvPr descr="report_wk38_files/figure-docx/ca-call-volume-1.png" id="143" name="Picture"/>
                    <pic:cNvPicPr>
                      <a:picLocks noChangeArrowheads="1" noChangeAspect="1"/>
                    </pic:cNvPicPr>
                  </pic:nvPicPr>
                  <pic:blipFill>
                    <a:blip r:embed="rId14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Cardiac Arrest Call Volume by Day and Hour</w:t>
      </w:r>
    </w:p>
    <w:p>
      <w:pPr>
        <w:pStyle w:val="BodyText"/>
      </w:pPr>
      <w:r>
        <w:t xml:space="preserve">As we can see, with a very limited number of cardiac arrest calls for the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4,415.33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4,657.50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-0.76</w:t>
            </w:r>
          </w:p>
        </w:tc>
      </w:tr>
    </w:tbl>
    <w:p>
      <w:pPr>
        <w:pStyle w:val="BodyText"/>
      </w:pPr>
      <w:r>
        <w:t xml:space="preserve">Cardiac Arrest Call Response Times</w:t>
      </w:r>
    </w:p>
    <w:p>
      <w:pPr>
        <w:pStyle w:val="BodyText"/>
      </w:pPr>
      <w:r>
        <w:t xml:space="preserve">However, we can see that the median time to process a cardiac arrest and get the units rolling is about seconds. The median time that we are on the phone is significantly longer, seconds. That is to be expected since the calltaker is likely giving T-CPR instructions while the units are en route.</w:t>
      </w:r>
    </w:p>
    <w:bookmarkStart w:id="159" w:name="mental-health-analyses"/>
    <w:p>
      <w:pPr>
        <w:pStyle w:val="Heading3"/>
      </w:pPr>
      <w:r>
        <w:t xml:space="preserve">8.1 Mental Health Analyses</w:t>
      </w:r>
    </w:p>
    <w:p>
      <w:pPr>
        <w:pStyle w:val="FirstParagraph"/>
      </w:pPr>
      <w:r>
        <w:t xml:space="preserve">With the advent of Marcus’ Law in Virginia, there has been an emphasis on how mental health calls are processed and serviced. The following analyses will focus on the mental health calls that have been defined as such after consultation with DCHS.</w:t>
      </w:r>
    </w:p>
    <w:p>
      <w:pPr>
        <w:pStyle w:val="CaptionedFigure"/>
      </w:pPr>
      <w:r>
        <w:drawing>
          <wp:inline>
            <wp:extent cx="5334000" cy="3556000"/>
            <wp:effectExtent b="0" l="0" r="0" t="0"/>
            <wp:docPr descr="Number of calls for service by day of the week." title="" id="145" name="Picture"/>
            <a:graphic>
              <a:graphicData uri="http://schemas.openxmlformats.org/drawingml/2006/picture">
                <pic:pic>
                  <pic:nvPicPr>
                    <pic:cNvPr descr="report_wk38_files/figure-docx/mh-day-of-week-1.png" id="146" name="Picture"/>
                    <pic:cNvPicPr>
                      <a:picLocks noChangeArrowheads="1" noChangeAspect="1"/>
                    </pic:cNvPicPr>
                  </pic:nvPicPr>
                  <pic:blipFill>
                    <a:blip r:embed="rId1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The busiest day of the week for mental health calls was Wednesday with 6 service calls.</w:t>
      </w:r>
    </w:p>
    <w:p>
      <w:pPr>
        <w:pStyle w:val="CaptionedFigure"/>
      </w:pPr>
      <w:r>
        <w:drawing>
          <wp:inline>
            <wp:extent cx="5334000" cy="3556000"/>
            <wp:effectExtent b="0" l="0" r="0" t="0"/>
            <wp:docPr descr="Number of calls for service by hour of the day." title="" id="148" name="Picture"/>
            <a:graphic>
              <a:graphicData uri="http://schemas.openxmlformats.org/drawingml/2006/picture">
                <pic:pic>
                  <pic:nvPicPr>
                    <pic:cNvPr descr="report_wk38_files/figure-docx/mh-hour-of-day-1.png" id="149" name="Picture"/>
                    <pic:cNvPicPr>
                      <a:picLocks noChangeArrowheads="1" noChangeAspect="1"/>
                    </pic:cNvPicPr>
                  </pic:nvPicPr>
                  <pic:blipFill>
                    <a:blip r:embed="rId14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Most of these calls arrived, for this past week, in the late mornings through evenings. Again, should this data prove to be part of a trend, then we should adjust the availability of repsonders to address the community’s needs.</w:t>
      </w:r>
    </w:p>
    <w:p>
      <w:pPr>
        <w:pStyle w:val="CaptionedFigure"/>
      </w:pPr>
      <w:r>
        <w:drawing>
          <wp:inline>
            <wp:extent cx="5334000" cy="3556000"/>
            <wp:effectExtent b="0" l="0" r="0" t="0"/>
            <wp:docPr descr="Number of calls for service by call reception." title="" id="151" name="Picture"/>
            <a:graphic>
              <a:graphicData uri="http://schemas.openxmlformats.org/drawingml/2006/picture">
                <pic:pic>
                  <pic:nvPicPr>
                    <pic:cNvPr descr="report_wk38_files/figure-docx/mh-call-reception-1.png" id="152" name="Picture"/>
                    <pic:cNvPicPr>
                      <a:picLocks noChangeArrowheads="1" noChangeAspect="1"/>
                    </pic:cNvPicPr>
                  </pic:nvPicPr>
                  <pic:blipFill>
                    <a:blip r:embed="rId15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This week, most of our mental health calls Phone Further analysis could be understaken to determine if any of these are transfer calls from our local 988 provider partner.</w:t>
      </w:r>
    </w:p>
    <w:p>
      <w:pPr>
        <w:pStyle w:val="CaptionedFigure"/>
      </w:pPr>
      <w:r>
        <w:drawing>
          <wp:inline>
            <wp:extent cx="5334000" cy="3556000"/>
            <wp:effectExtent b="0" l="0" r="0" t="0"/>
            <wp:docPr descr="Number of calls for service by call type." title="" id="154" name="Picture"/>
            <a:graphic>
              <a:graphicData uri="http://schemas.openxmlformats.org/drawingml/2006/picture">
                <pic:pic>
                  <pic:nvPicPr>
                    <pic:cNvPr descr="report_wk38_files/figure-docx/mh-call-type-1.png" id="155" name="Picture"/>
                    <pic:cNvPicPr>
                      <a:picLocks noChangeArrowheads="1" noChangeAspect="1"/>
                    </pic:cNvPicPr>
                  </pic:nvPicPr>
                  <pic:blipFill>
                    <a:blip r:embed="rId15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most used call type was MENTAL HEALTH CASE which is expected.</w:t>
      </w:r>
    </w:p>
    <w:p>
      <w:pPr>
        <w:pStyle w:val="CaptionedFigure"/>
      </w:pPr>
      <w:r>
        <w:drawing>
          <wp:inline>
            <wp:extent cx="5334000" cy="3556000"/>
            <wp:effectExtent b="0" l="0" r="0" t="0"/>
            <wp:docPr descr="Number of calls for service by priority level." title="" id="157" name="Picture"/>
            <a:graphic>
              <a:graphicData uri="http://schemas.openxmlformats.org/drawingml/2006/picture">
                <pic:pic>
                  <pic:nvPicPr>
                    <pic:cNvPr descr="report_wk38_files/figure-docx/mh-priority-level-1.png" id="158" name="Picture"/>
                    <pic:cNvPicPr>
                      <a:picLocks noChangeArrowheads="1" noChangeAspect="1"/>
                    </pic:cNvPicPr>
                  </pic:nvPicPr>
                  <pic:blipFill>
                    <a:blip r:embed="rId15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Since MENTAL HEALTH CASE was the most used call type and is a P2 call, Priority 2 is the most used priority. The question, in the future, will be does these calls need to changed to a higher priority?</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206.12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207.08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264.90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254.44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399.86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5,583.03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3,727.00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r>
    </w:tbl>
    <w:p>
      <w:pPr>
        <w:pStyle w:val="BodyText"/>
      </w:pPr>
      <w:r>
        <w:t xml:space="preserve">Processing times for these calls are longer, somewhere around seconds. There are several factors that can impact this. The time to make it dispatchable was longer, implying that with these types of calls, it take calltakers longer to get the information necessary in the initial triage to accurately locate and classify the call. Another possible issue, in reviewing the dispatch times is that these calls require specialized training and skill sets on the part of the field responders. If those responders are already assigned to other calls, this could create the delay as seen here. As these values change over time, we should be able to build better pictures and determine the delay points and create strategies to ameliorate them.</w:t>
      </w:r>
    </w:p>
    <w:bookmarkEnd w:id="159"/>
    <w:bookmarkEnd w:id="160"/>
    <w:bookmarkStart w:id="161" w:name="conclusion"/>
    <w:p>
      <w:pPr>
        <w:pStyle w:val="Heading2"/>
      </w:pPr>
      <w:r>
        <w:t xml:space="preserve">9 Conclusion</w:t>
      </w:r>
    </w:p>
    <w:p>
      <w:pPr>
        <w:pStyle w:val="FirstParagraph"/>
      </w:pPr>
      <w:r>
        <w:t xml:space="preserve">This report has covered various aspects of the calls for service during week 35, 2025. We have analyzed the data for completeness and accuracy, explored it for insights into call patterns and trends, and focused on specific areas of interest such as high-priority calls and cardiac arrest incidents. The findings will assist in making informed decisions to improve service delivery and operational efficiency.</w:t>
      </w:r>
    </w:p>
    <w:bookmarkEnd w:id="16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3" Target="media/rId103.png" /><Relationship Type="http://schemas.openxmlformats.org/officeDocument/2006/relationships/image" Id="rId106" Target="media/rId106.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9" Target="media/rId109.png" /><Relationship Type="http://schemas.openxmlformats.org/officeDocument/2006/relationships/image" Id="rId51" Target="media/rId51.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141" Target="media/rId141.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76" Target="media/rId76.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119" Target="media/rId119.png" /><Relationship Type="http://schemas.openxmlformats.org/officeDocument/2006/relationships/image" Id="rId122" Target="media/rId122.png" /><Relationship Type="http://schemas.openxmlformats.org/officeDocument/2006/relationships/image" Id="rId113" Target="media/rId113.png" /><Relationship Type="http://schemas.openxmlformats.org/officeDocument/2006/relationships/image" Id="rId116" Target="media/rId116.png" /><Relationship Type="http://schemas.openxmlformats.org/officeDocument/2006/relationships/image" Id="rId125" Target="media/rId125.png" /><Relationship Type="http://schemas.openxmlformats.org/officeDocument/2006/relationships/image" Id="rId48" Target="media/rId48.png" /><Relationship Type="http://schemas.openxmlformats.org/officeDocument/2006/relationships/image" Id="rId30" Target="media/rId30.png" /><Relationship Type="http://schemas.openxmlformats.org/officeDocument/2006/relationships/image" Id="rId132" Target="media/rId132.png" /><Relationship Type="http://schemas.openxmlformats.org/officeDocument/2006/relationships/image" Id="rId136" Target="media/rId136.png" /><Relationship Type="http://schemas.openxmlformats.org/officeDocument/2006/relationships/image" Id="rId150" Target="media/rId150.png" /><Relationship Type="http://schemas.openxmlformats.org/officeDocument/2006/relationships/image" Id="rId153" Target="media/rId153.png" /><Relationship Type="http://schemas.openxmlformats.org/officeDocument/2006/relationships/image" Id="rId144" Target="media/rId144.png" /><Relationship Type="http://schemas.openxmlformats.org/officeDocument/2006/relationships/image" Id="rId147" Target="media/rId147.png" /><Relationship Type="http://schemas.openxmlformats.org/officeDocument/2006/relationships/image" Id="rId156" Target="media/rId156.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5" Target="media/rId5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DECC Weekly Report</dc:title>
  <dc:creator>Tony Dunsworth, PhD</dc:creator>
  <cp:keywords/>
  <dcterms:created xsi:type="dcterms:W3CDTF">2025-09-23T19:30:19Z</dcterms:created>
  <dcterms:modified xsi:type="dcterms:W3CDTF">2025-09-23T19:30:19Z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2025-09-23</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