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139.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117.png" ContentType="image/png"/>
  <Override PartName="/word/media/rId120.png" ContentType="image/png"/>
  <Override PartName="/word/media/rId111.png" ContentType="image/png"/>
  <Override PartName="/word/media/rId114.png" ContentType="image/png"/>
  <Override PartName="/word/media/rId123.png" ContentType="image/png"/>
  <Override PartName="/word/media/rId46.png" ContentType="image/png"/>
  <Override PartName="/word/media/rId28.png" ContentType="image/png"/>
  <Override PartName="/word/media/rId130.png" ContentType="image/png"/>
  <Override PartName="/word/media/rId134.png" ContentType="image/png"/>
  <Override PartName="/word/media/rId148.png" ContentType="image/png"/>
  <Override PartName="/word/media/rId151.png" ContentType="image/png"/>
  <Override PartName="/word/media/rId142.png" ContentType="image/png"/>
  <Override PartName="/word/media/rId145.png" ContentType="image/png"/>
  <Override PartName="/word/media/rId154.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 Report: Week 38 (14 Sep through 20 Sep)</w:t>
      </w:r>
    </w:p>
    <w:p>
      <w:pPr>
        <w:pStyle w:val="Author"/>
      </w:pPr>
      <w:r>
        <w:t xml:space="preserve">Tony Dunsworth, PhD</w:t>
      </w:r>
    </w:p>
    <w:p>
      <w:pPr>
        <w:pStyle w:val="Date"/>
      </w:pPr>
      <w:r>
        <w:t xml:space="preserve">2025-09-22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Week 38 dates: 14 Sep through 20 Sep </w:t>
      </w:r>
    </w:p>
    <w:bookmarkStart w:id="20" w:name="introduction"/>
    <w:p>
      <w:pPr>
        <w:pStyle w:val="Heading2"/>
      </w:pPr>
      <w:r>
        <w:t xml:space="preserve">1 Introduction</w:t>
      </w:r>
    </w:p>
    <w:p>
      <w:pPr>
        <w:pStyle w:val="FirstParagraph"/>
      </w:pPr>
      <w:r>
        <w:t xml:space="preserve">This is the weekly report for week 38 covering the period from 14 Sep through 20 Sep 2025. The report will include analyses of the data to emphasize different information that is contained within the data and may be pertinent to both operations and management.</w:t>
      </w:r>
    </w:p>
    <w:p>
      <w:pPr>
        <w:pStyle w:val="BodyText"/>
      </w:pPr>
      <w:r>
        <w:t xml:space="preserve">For this week, there were a total of 1353 calls for service. The column list is below:</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w_report_base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13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12.9%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w_report_base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Friday was the busiest day of the week with 235 service calls, and the slowest day was Sunday with 155 service calls.</w:t>
      </w:r>
    </w:p>
    <w:p>
      <w:pPr>
        <w:pStyle w:val="BodyText"/>
      </w:pPr>
      <w:r>
        <w:t xml:space="preserve">Over the last three weeks of this report structure, we’ve seen different days of the week for the busiest and slowest days. A larger sample size will be needed to determine if there are any underlying patterns.</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w_report_base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of the day was 1200 hours, with 90 calls for service. 0400 hours was the slowest hour of the day with 26 calls. Additionally, the pattern shows consistent traffic from late rush hour through the day into the early evening before seeing the volumes start to decline. This appears to confirm assumptions about the busiest parts of the day.</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w_report_base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Priority 2 calls are 39.1 percent of the total number of calls, while Priority 1 calls are 25.8 percent of the total number of calls.</w:t>
      </w:r>
    </w:p>
    <w:p>
      <w:pPr>
        <w:pStyle w:val="BodyText"/>
      </w:pPr>
      <w:r>
        <w:t xml:space="preserve">This appears to be consistent through the new reports.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w_report_base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POLICE. They represent 56.7</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w_report_base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911 trunk line calls were 32.3 percent of all calls. There were 52 calls where we did not indicated how the service call was received. Since this is only 3.8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w_report_base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FIRE ALARM. The overall trend is that Disorderly Conduct and Trouble Breathing appear in the top 5 weekly over the three weeks of this report. These trends should be brought to the attention of our partners.</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w_report_base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C2C again this week and with a large margin between that volume and the busiest calltaker.</w:t>
      </w:r>
    </w:p>
    <w:bookmarkStart w:id="52" w:name="call-distribution-hour-by-day-of-week"/>
    <w:p>
      <w:pPr>
        <w:pStyle w:val="Heading3"/>
      </w:pPr>
      <w:r>
        <w:t xml:space="preserve">3.1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w_report_base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w_report_base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r>
    </w:tbl>
    <w:p>
      <w:pPr>
        <w:pStyle w:val="BodyText"/>
      </w:pPr>
      <w:r>
        <w:t xml:space="preserve">These visualizations show that the bulk of our calls are concentrated between 1000 hours and 1400 hours for the week. Additionally, we had a large concentration of service calls during the 0800 and 0900 hours on Wednesday. We should review that time period to see if there were any significant events that impacted our call volumes.</w:t>
      </w:r>
    </w:p>
    <w:bookmarkEnd w:id="52"/>
    <w:bookmarkStart w:id="77" w:name="summary-statsitcs-and-analyses"/>
    <w:p>
      <w:pPr>
        <w:pStyle w:val="Heading3"/>
      </w:pPr>
      <w:r>
        <w:t xml:space="preserve">3.2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w:t>
            </w:r>
          </w:p>
        </w:tc>
      </w:tr>
    </w:tbl>
    <w:p>
      <w:pPr>
        <w:pStyle w:val="FirstParagraph"/>
      </w:pPr>
      <w:r>
        <w:t xml:space="preserve">The values from this table describe operations for the week being analyzed. In this case, the median time for a call to be placed in queue is 42 seconds. This is still in line with what has been seen in the last two weeks. The median time in queue was 6 seconds. These are comparable numbers with the prior weeks.</w:t>
      </w:r>
    </w:p>
    <w:p>
      <w:pPr>
        <w:pStyle w:val="BodyText"/>
      </w:pPr>
      <w:r>
        <w:drawing>
          <wp:inline>
            <wp:extent cx="5334000" cy="3556000"/>
            <wp:effectExtent b="0" l="0" r="0" t="0"/>
            <wp:docPr descr="" title="" id="54" name="Picture"/>
            <a:graphic>
              <a:graphicData uri="http://schemas.openxmlformats.org/drawingml/2006/picture">
                <pic:pic>
                  <pic:nvPicPr>
                    <pic:cNvPr descr="w_report_base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w_report_base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w_report_base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w_report_base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w_report_base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w_report_base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w_report_base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w_report_base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respect to those guidelines. Over time, we can track these metrics to ensure that we continue to meet or exceed those standards.</w:t>
      </w:r>
    </w:p>
    <w:bookmarkEnd w:id="77"/>
    <w:bookmarkEnd w:id="78"/>
    <w:bookmarkStart w:id="127" w:name="discipline-analyses"/>
    <w:p>
      <w:pPr>
        <w:pStyle w:val="Heading2"/>
      </w:pPr>
      <w:r>
        <w:t xml:space="preserve">4 Discipline Analyses</w:t>
      </w:r>
    </w:p>
    <w:p>
      <w:pPr>
        <w:pStyle w:val="FirstParagraph"/>
      </w:pPr>
      <w:r>
        <w:t xml:space="preserve">As discussed earlier, we can create additional subsets from this data to look at specific areas of interest. We will create several new datasets from this weekly set for further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w_report_base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Friday was the busiest day of the week for APD service calls. Sunday, being the lightest day of the week overall, was the lightest day for the APD as well.</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w_report_base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1400 to 1700 hours. 0900 was also very busy in relation to surrounding hours for the APD. This is showing that the late afternoon/evening rush hour time period may need additional support in the future.</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w_report_base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w_report_base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w_report_base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 Priority 2 calls which represent 63.6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4,306.36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9.48</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21.8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w_report_base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busiest day for fire-related calls was Wednesday with Thursday and Friday both showing similar numbers. Monday was the lightest day for fire-related calls.</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w_report_base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the 1100 and 1800 hours stand out as the hour where the most calls were received for the week. There hasn’t been an overall trend identified in the three weeks of this report. However, we will continue to observe the patterns to see if any trends emerge in fire related calls.</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w_report_base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However the numbers for Mutual Aid and E-911 were larger percentages of the overall volume. In this case, Phone, not necessarily E-911 represented 38.1 percent of all fire-related service calls received.</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w_report_base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Alarms. That is an interesting observation and should be watched through the future.</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w_report_base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This week there were an equal number of priority 1 and 3 fire-related service calls for AFD.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9.81</w:t>
            </w:r>
          </w:p>
        </w:tc>
      </w:tr>
    </w:tbl>
    <w:p>
      <w:pPr>
        <w:pStyle w:val="BodyText"/>
      </w:pPr>
      <w:r>
        <w:t xml:space="preserve">Overall, DECC operations appear to be very efficient at getting fire-related service calls out to the field. The median processing time was only 32 seconds. This shows that we can easily be in compliance with all necessary NENA and NFPA guidelines. The median time on the phone was just over 2 minutes. The mean time was just over 3 minutes which is still amazing.</w:t>
      </w:r>
    </w:p>
    <w:bookmarkEnd w:id="110"/>
    <w:bookmarkStart w:id="126" w:name="afd-ems-analyses"/>
    <w:p>
      <w:pPr>
        <w:pStyle w:val="Heading3"/>
      </w:pPr>
      <w:r>
        <w:t xml:space="preserve">4.3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2" name="Picture"/>
            <a:graphic>
              <a:graphicData uri="http://schemas.openxmlformats.org/drawingml/2006/picture">
                <pic:pic>
                  <pic:nvPicPr>
                    <pic:cNvPr descr="w_report_base_files/figure-docx/ems-day-of-week-1.png" id="113" name="Picture"/>
                    <pic:cNvPicPr>
                      <a:picLocks noChangeArrowheads="1" noChangeAspect="1"/>
                    </pic:cNvPicPr>
                  </pic:nvPicPr>
                  <pic:blipFill>
                    <a:blip r:embed="rId11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there is a spike in medical calls on Wednesday. This appears to correlate to the information that we saw earlier in the report. Due to the difference between Wednesday and the remainder of the week, like the calls by hour heatmap above, we should look at this time period to determine if there were any significant events that happened which can account for the increase in volume.</w:t>
      </w:r>
    </w:p>
    <w:p>
      <w:pPr>
        <w:pStyle w:val="CaptionedFigure"/>
      </w:pPr>
      <w:r>
        <w:drawing>
          <wp:inline>
            <wp:extent cx="5334000" cy="3556000"/>
            <wp:effectExtent b="0" l="0" r="0" t="0"/>
            <wp:docPr descr="Number of calls for service by hour of the day." title="" id="115" name="Picture"/>
            <a:graphic>
              <a:graphicData uri="http://schemas.openxmlformats.org/drawingml/2006/picture">
                <pic:pic>
                  <pic:nvPicPr>
                    <pic:cNvPr descr="w_report_base_files/figure-docx/ems-hour-of-day-1.png" id="116" name="Picture"/>
                    <pic:cNvPicPr>
                      <a:picLocks noChangeArrowheads="1" noChangeAspect="1"/>
                    </pic:cNvPicPr>
                  </pic:nvPicPr>
                  <pic:blipFill>
                    <a:blip r:embed="rId11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spike of calls at 0800 also corresponds to the increase that we’ve seen around Wednesday morning. Remvoing that from the equation, the remainder of the week followed the expected curve where there are fewer calls in the early morning and the remainder of the day sees the increase and fall that would be normally anticipated.</w:t>
      </w:r>
    </w:p>
    <w:p>
      <w:pPr>
        <w:pStyle w:val="CaptionedFigure"/>
      </w:pPr>
      <w:r>
        <w:drawing>
          <wp:inline>
            <wp:extent cx="5334000" cy="3556000"/>
            <wp:effectExtent b="0" l="0" r="0" t="0"/>
            <wp:docPr descr="Number of calls for service by call reception." title="" id="118" name="Picture"/>
            <a:graphic>
              <a:graphicData uri="http://schemas.openxmlformats.org/drawingml/2006/picture">
                <pic:pic>
                  <pic:nvPicPr>
                    <pic:cNvPr descr="w_report_base_files/figure-docx/ems-call-reception-1.png" id="119" name="Picture"/>
                    <pic:cNvPicPr>
                      <a:picLocks noChangeArrowheads="1" noChangeAspect="1"/>
                    </pic:cNvPicPr>
                  </pic:nvPicPr>
                  <pic:blipFill>
                    <a:blip r:embed="rId11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 via 911 trunk lines. However, 8.6 percent of medical calls arrived without a method by which we recevied the call. We should track this further to see if this is a one-off or if there is some issue that needs to be addressed.</w:t>
      </w:r>
    </w:p>
    <w:p>
      <w:pPr>
        <w:pStyle w:val="CaptionedFigure"/>
      </w:pPr>
      <w:r>
        <w:drawing>
          <wp:inline>
            <wp:extent cx="5334000" cy="3556000"/>
            <wp:effectExtent b="0" l="0" r="0" t="0"/>
            <wp:docPr descr="Number of calls for service by call type." title="" id="121" name="Picture"/>
            <a:graphic>
              <a:graphicData uri="http://schemas.openxmlformats.org/drawingml/2006/picture">
                <pic:pic>
                  <pic:nvPicPr>
                    <pic:cNvPr descr="w_report_base_files/figure-docx/ems-call-type-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Breathing issues and BLS Emergency calls were the two most prevalent call types for the week. The other call type that has a good percentage of service calls is Mutual ALS which spiked to 44 calls this week, third in the overall count.</w:t>
      </w:r>
    </w:p>
    <w:p>
      <w:pPr>
        <w:pStyle w:val="CaptionedFigure"/>
      </w:pPr>
      <w:r>
        <w:drawing>
          <wp:inline>
            <wp:extent cx="5334000" cy="3556000"/>
            <wp:effectExtent b="0" l="0" r="0" t="0"/>
            <wp:docPr descr="Number of calls for service by priority level." title="" id="124" name="Picture"/>
            <a:graphic>
              <a:graphicData uri="http://schemas.openxmlformats.org/drawingml/2006/picture">
                <pic:pic>
                  <pic:nvPicPr>
                    <pic:cNvPr descr="w_report_base_files/figure-docx/ems-priority-level-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 P3 calls were the second most prevalent.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bl>
    <w:p>
      <w:pPr>
        <w:pStyle w:val="BodyText"/>
      </w:pPr>
      <w:r>
        <w:t xml:space="preserve">The median time to process medical calls was 42 seconds. Again, this puts us in good form when examening our operational efficiency. The median time on phones, 175 seconds, is longer than the overall median. That is to be expected with these calls taking longer to triage.</w:t>
      </w:r>
    </w:p>
    <w:bookmarkEnd w:id="126"/>
    <w:bookmarkEnd w:id="127"/>
    <w:bookmarkStart w:id="129" w:name="additional-analyses"/>
    <w:p>
      <w:pPr>
        <w:pStyle w:val="Heading2"/>
      </w:pPr>
      <w:r>
        <w:t xml:space="preserve">5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79 emergency service calls where the elapsed time from call start to the call entering the queue for dispatch was over 60 seconds. There are also 10 emergency service calls where the elapsed time from entering queue to the first unit assigned was over 60 seconds.</w:t>
      </w:r>
    </w:p>
    <w:bookmarkStart w:id="128" w:name="possible-service-delays"/>
    <w:p>
      <w:pPr>
        <w:pStyle w:val="Heading3"/>
      </w:pPr>
      <w:r>
        <w:t xml:space="preserve">5.1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CRUZ, STEPHANIE</w:t>
            </w:r>
          </w:p>
        </w:tc>
        <w:tc>
          <w:tcPr/>
          <w:p>
            <w:pPr>
              <w:pStyle w:val="Compact"/>
              <w:jc w:val="right"/>
            </w:pPr>
            <w:r>
              <w:t xml:space="preserve">13</w:t>
            </w:r>
          </w:p>
        </w:tc>
      </w:tr>
      <w:tr>
        <w:tc>
          <w:tcPr/>
          <w:p>
            <w:pPr>
              <w:pStyle w:val="Compact"/>
              <w:jc w:val="left"/>
            </w:pPr>
            <w:r>
              <w:t xml:space="preserve">LEWIS, LESLIE</w:t>
            </w:r>
          </w:p>
        </w:tc>
        <w:tc>
          <w:tcPr/>
          <w:p>
            <w:pPr>
              <w:pStyle w:val="Compact"/>
              <w:jc w:val="right"/>
            </w:pPr>
            <w:r>
              <w:t xml:space="preserve">7</w:t>
            </w:r>
          </w:p>
        </w:tc>
      </w:tr>
      <w:tr>
        <w:tc>
          <w:tcPr/>
          <w:p>
            <w:pPr>
              <w:pStyle w:val="Compact"/>
              <w:jc w:val="left"/>
            </w:pPr>
            <w:r>
              <w:t xml:space="preserve">JACKSON, MALIKA</w:t>
            </w:r>
          </w:p>
        </w:tc>
        <w:tc>
          <w:tcPr/>
          <w:p>
            <w:pPr>
              <w:pStyle w:val="Compact"/>
              <w:jc w:val="right"/>
            </w:pPr>
            <w:r>
              <w:t xml:space="preserve">6</w:t>
            </w:r>
          </w:p>
        </w:tc>
      </w:tr>
      <w:tr>
        <w:tc>
          <w:tcPr/>
          <w:p>
            <w:pPr>
              <w:pStyle w:val="Compact"/>
              <w:jc w:val="left"/>
            </w:pPr>
            <w:r>
              <w:t xml:space="preserve">BRYANT, THEO</w:t>
            </w:r>
          </w:p>
        </w:tc>
        <w:tc>
          <w:tcPr/>
          <w:p>
            <w:pPr>
              <w:pStyle w:val="Compact"/>
              <w:jc w:val="right"/>
            </w:pPr>
            <w:r>
              <w:t xml:space="preserve">5</w:t>
            </w:r>
          </w:p>
        </w:tc>
      </w:tr>
      <w:tr>
        <w:tc>
          <w:tcPr/>
          <w:p>
            <w:pPr>
              <w:pStyle w:val="Compact"/>
              <w:jc w:val="left"/>
            </w:pPr>
            <w:r>
              <w:t xml:space="preserve">PERALTA, ANNETTE</w:t>
            </w:r>
          </w:p>
        </w:tc>
        <w:tc>
          <w:tcPr/>
          <w:p>
            <w:pPr>
              <w:pStyle w:val="Compact"/>
              <w:jc w:val="right"/>
            </w:pPr>
            <w:r>
              <w:t xml:space="preserve">5</w:t>
            </w:r>
          </w:p>
        </w:tc>
      </w:tr>
      <w:tr>
        <w:tc>
          <w:tcPr/>
          <w:p>
            <w:pPr>
              <w:pStyle w:val="Compact"/>
              <w:jc w:val="left"/>
            </w:pPr>
            <w:r>
              <w:t xml:space="preserve">PRIESTLY, SHAVAUGHN</w:t>
            </w:r>
          </w:p>
        </w:tc>
        <w:tc>
          <w:tcPr/>
          <w:p>
            <w:pPr>
              <w:pStyle w:val="Compact"/>
              <w:jc w:val="right"/>
            </w:pPr>
            <w:r>
              <w:t xml:space="preserve">5</w:t>
            </w:r>
          </w:p>
        </w:tc>
      </w:tr>
      <w:tr>
        <w:tc>
          <w:tcPr/>
          <w:p>
            <w:pPr>
              <w:pStyle w:val="Compact"/>
              <w:jc w:val="left"/>
            </w:pPr>
            <w:r>
              <w:t xml:space="preserve">FLOURNOY, ERICKA</w:t>
            </w:r>
          </w:p>
        </w:tc>
        <w:tc>
          <w:tcPr/>
          <w:p>
            <w:pPr>
              <w:pStyle w:val="Compact"/>
              <w:jc w:val="right"/>
            </w:pPr>
            <w:r>
              <w:t xml:space="preserve">4</w:t>
            </w:r>
          </w:p>
        </w:tc>
      </w:tr>
      <w:tr>
        <w:tc>
          <w:tcPr/>
          <w:p>
            <w:pPr>
              <w:pStyle w:val="Compact"/>
              <w:jc w:val="left"/>
            </w:pPr>
            <w:r>
              <w:t xml:space="preserve">GARCIA, VILMA</w:t>
            </w:r>
          </w:p>
        </w:tc>
        <w:tc>
          <w:tcPr/>
          <w:p>
            <w:pPr>
              <w:pStyle w:val="Compact"/>
              <w:jc w:val="right"/>
            </w:pPr>
            <w:r>
              <w:t xml:space="preserve">4</w:t>
            </w:r>
          </w:p>
        </w:tc>
      </w:tr>
      <w:tr>
        <w:tc>
          <w:tcPr/>
          <w:p>
            <w:pPr>
              <w:pStyle w:val="Compact"/>
              <w:jc w:val="left"/>
            </w:pPr>
            <w:r>
              <w:t xml:space="preserve">MCLEOD, DOUGLAS</w:t>
            </w:r>
          </w:p>
        </w:tc>
        <w:tc>
          <w:tcPr/>
          <w:p>
            <w:pPr>
              <w:pStyle w:val="Compact"/>
              <w:jc w:val="right"/>
            </w:pPr>
            <w:r>
              <w:t xml:space="preserve">4</w:t>
            </w:r>
          </w:p>
        </w:tc>
      </w:tr>
      <w:tr>
        <w:tc>
          <w:tcPr/>
          <w:p>
            <w:pPr>
              <w:pStyle w:val="Compact"/>
              <w:jc w:val="left"/>
            </w:pPr>
            <w:r>
              <w:t xml:space="preserve">DEWBERRY, RE’KEYA</w:t>
            </w:r>
          </w:p>
        </w:tc>
        <w:tc>
          <w:tcPr/>
          <w:p>
            <w:pPr>
              <w:pStyle w:val="Compact"/>
              <w:jc w:val="right"/>
            </w:pPr>
            <w:r>
              <w:t xml:space="preserve">3</w:t>
            </w:r>
          </w:p>
        </w:tc>
      </w:tr>
      <w:tr>
        <w:tc>
          <w:tcPr/>
          <w:p>
            <w:pPr>
              <w:pStyle w:val="Compact"/>
              <w:jc w:val="left"/>
            </w:pPr>
            <w:r>
              <w:t xml:space="preserve">VALENTIN, EMERITA</w:t>
            </w:r>
          </w:p>
        </w:tc>
        <w:tc>
          <w:tcPr/>
          <w:p>
            <w:pPr>
              <w:pStyle w:val="Compact"/>
              <w:jc w:val="right"/>
            </w:pPr>
            <w:r>
              <w:t xml:space="preserve">3</w:t>
            </w:r>
          </w:p>
        </w:tc>
      </w:tr>
      <w:tr>
        <w:tc>
          <w:tcPr/>
          <w:p>
            <w:pPr>
              <w:pStyle w:val="Compact"/>
              <w:jc w:val="left"/>
            </w:pPr>
            <w:r>
              <w:t xml:space="preserve">WATSON, JOANNE</w:t>
            </w:r>
          </w:p>
        </w:tc>
        <w:tc>
          <w:tcPr/>
          <w:p>
            <w:pPr>
              <w:pStyle w:val="Compact"/>
              <w:jc w:val="right"/>
            </w:pPr>
            <w:r>
              <w:t xml:space="preserve">3</w:t>
            </w:r>
          </w:p>
        </w:tc>
      </w:tr>
      <w:tr>
        <w:tc>
          <w:tcPr/>
          <w:p>
            <w:pPr>
              <w:pStyle w:val="Compact"/>
              <w:jc w:val="left"/>
            </w:pPr>
            <w:r>
              <w:t xml:space="preserve">WILLIAMS, DARNELL</w:t>
            </w:r>
          </w:p>
        </w:tc>
        <w:tc>
          <w:tcPr/>
          <w:p>
            <w:pPr>
              <w:pStyle w:val="Compact"/>
              <w:jc w:val="right"/>
            </w:pPr>
            <w:r>
              <w:t xml:space="preserve">3</w:t>
            </w:r>
          </w:p>
        </w:tc>
      </w:tr>
      <w:tr>
        <w:tc>
          <w:tcPr/>
          <w:p>
            <w:pPr>
              <w:pStyle w:val="Compact"/>
              <w:jc w:val="left"/>
            </w:pPr>
            <w:r>
              <w:t xml:space="preserve">BONSU, VALERIE</w:t>
            </w:r>
          </w:p>
        </w:tc>
        <w:tc>
          <w:tcPr/>
          <w:p>
            <w:pPr>
              <w:pStyle w:val="Compact"/>
              <w:jc w:val="right"/>
            </w:pPr>
            <w:r>
              <w:t xml:space="preserve">2</w:t>
            </w:r>
          </w:p>
        </w:tc>
      </w:tr>
      <w:tr>
        <w:tc>
          <w:tcPr/>
          <w:p>
            <w:pPr>
              <w:pStyle w:val="Compact"/>
              <w:jc w:val="left"/>
            </w:pPr>
            <w:r>
              <w:t xml:space="preserve">WALKER, JUANITA</w:t>
            </w:r>
          </w:p>
        </w:tc>
        <w:tc>
          <w:tcPr/>
          <w:p>
            <w:pPr>
              <w:pStyle w:val="Compact"/>
              <w:jc w:val="right"/>
            </w:pPr>
            <w:r>
              <w:t xml:space="preserve">2</w:t>
            </w:r>
          </w:p>
        </w:tc>
      </w:tr>
      <w:tr>
        <w:tc>
          <w:tcPr/>
          <w:p>
            <w:pPr>
              <w:pStyle w:val="Compact"/>
              <w:jc w:val="left"/>
            </w:pPr>
            <w:r>
              <w:t xml:space="preserve">ANDERSON, MARILYN</w:t>
            </w:r>
          </w:p>
        </w:tc>
        <w:tc>
          <w:tcPr/>
          <w:p>
            <w:pPr>
              <w:pStyle w:val="Compact"/>
              <w:jc w:val="right"/>
            </w:pPr>
            <w:r>
              <w:t xml:space="preserve">1</w:t>
            </w:r>
          </w:p>
        </w:tc>
      </w:tr>
      <w:tr>
        <w:tc>
          <w:tcPr/>
          <w:p>
            <w:pPr>
              <w:pStyle w:val="Compact"/>
              <w:jc w:val="left"/>
            </w:pPr>
            <w:r>
              <w:t xml:space="preserve">GOODWIN, SHEENA</w:t>
            </w:r>
          </w:p>
        </w:tc>
        <w:tc>
          <w:tcPr/>
          <w:p>
            <w:pPr>
              <w:pStyle w:val="Compact"/>
              <w:jc w:val="right"/>
            </w:pPr>
            <w:r>
              <w:t xml:space="preserve">1</w:t>
            </w:r>
          </w:p>
        </w:tc>
      </w:tr>
      <w:tr>
        <w:tc>
          <w:tcPr/>
          <w:p>
            <w:pPr>
              <w:pStyle w:val="Compact"/>
              <w:jc w:val="left"/>
            </w:pPr>
            <w:r>
              <w:t xml:space="preserve">HARDING, AUTUMN</w:t>
            </w:r>
          </w:p>
        </w:tc>
        <w:tc>
          <w:tcPr/>
          <w:p>
            <w:pPr>
              <w:pStyle w:val="Compact"/>
              <w:jc w:val="right"/>
            </w:pPr>
            <w:r>
              <w:t xml:space="preserve">1</w:t>
            </w:r>
          </w:p>
        </w:tc>
      </w:tr>
      <w:tr>
        <w:tc>
          <w:tcPr/>
          <w:p>
            <w:pPr>
              <w:pStyle w:val="Compact"/>
              <w:jc w:val="left"/>
            </w:pPr>
            <w:r>
              <w:t xml:space="preserve">MACK, BRIANA</w:t>
            </w:r>
          </w:p>
        </w:tc>
        <w:tc>
          <w:tcPr/>
          <w:p>
            <w:pPr>
              <w:pStyle w:val="Compact"/>
              <w:jc w:val="right"/>
            </w:pPr>
            <w:r>
              <w:t xml:space="preserve">1</w:t>
            </w:r>
          </w:p>
        </w:tc>
      </w:tr>
      <w:tr>
        <w:tc>
          <w:tcPr/>
          <w:p>
            <w:pPr>
              <w:pStyle w:val="Compact"/>
              <w:jc w:val="left"/>
            </w:pPr>
            <w:r>
              <w:t xml:space="preserve">MESARIS, MATTHEW</w:t>
            </w:r>
          </w:p>
        </w:tc>
        <w:tc>
          <w:tcPr/>
          <w:p>
            <w:pPr>
              <w:pStyle w:val="Compact"/>
              <w:jc w:val="right"/>
            </w:pPr>
            <w:r>
              <w:t xml:space="preserve">1</w:t>
            </w:r>
          </w:p>
        </w:tc>
      </w:tr>
      <w:tr>
        <w:tc>
          <w:tcPr/>
          <w:p>
            <w:pPr>
              <w:pStyle w:val="Compact"/>
              <w:jc w:val="left"/>
            </w:pPr>
            <w:r>
              <w:t xml:space="preserve">PATTERSON, JAHAIRA</w:t>
            </w:r>
          </w:p>
        </w:tc>
        <w:tc>
          <w:tcPr/>
          <w:p>
            <w:pPr>
              <w:pStyle w:val="Compact"/>
              <w:jc w:val="right"/>
            </w:pPr>
            <w:r>
              <w:t xml:space="preserve">1</w:t>
            </w:r>
          </w:p>
        </w:tc>
      </w:tr>
      <w:tr>
        <w:tc>
          <w:tcPr/>
          <w:p>
            <w:pPr>
              <w:pStyle w:val="Compact"/>
              <w:jc w:val="left"/>
            </w:pPr>
            <w:r>
              <w:t xml:space="preserve">PEREZ, CARLOS</w:t>
            </w:r>
          </w:p>
        </w:tc>
        <w:tc>
          <w:tcPr/>
          <w:p>
            <w:pPr>
              <w:pStyle w:val="Compact"/>
              <w:jc w:val="right"/>
            </w:pPr>
            <w:r>
              <w:t xml:space="preserve">1</w:t>
            </w:r>
          </w:p>
        </w:tc>
      </w:tr>
      <w:tr>
        <w:tc>
          <w:tcPr/>
          <w:p>
            <w:pPr>
              <w:pStyle w:val="Compact"/>
              <w:jc w:val="left"/>
            </w:pPr>
            <w:r>
              <w:t xml:space="preserve">SMITH, TERESA</w:t>
            </w:r>
          </w:p>
        </w:tc>
        <w:tc>
          <w:tcPr/>
          <w:p>
            <w:pPr>
              <w:pStyle w:val="Compact"/>
              <w:jc w:val="right"/>
            </w:pPr>
            <w:r>
              <w:t xml:space="preserve">1</w:t>
            </w:r>
          </w:p>
        </w:tc>
      </w:tr>
      <w:tr>
        <w:tc>
          <w:tcPr/>
          <w:p>
            <w:pPr>
              <w:pStyle w:val="Compact"/>
              <w:jc w:val="left"/>
            </w:pPr>
            <w:r>
              <w:t xml:space="preserve">WALKER, KAREN</w:t>
            </w:r>
          </w:p>
        </w:tc>
        <w:tc>
          <w:tcPr/>
          <w:p>
            <w:pPr>
              <w:pStyle w:val="Compact"/>
              <w:jc w:val="right"/>
            </w:pPr>
            <w:r>
              <w:t xml:space="preserve">1</w:t>
            </w:r>
          </w:p>
        </w:tc>
      </w:tr>
      <w:tr>
        <w:tc>
          <w:tcPr/>
          <w:p>
            <w:pPr>
              <w:pStyle w:val="Compact"/>
              <w:jc w:val="left"/>
            </w:pPr>
            <w:r>
              <w:t xml:space="preserve">WALKER, LATITIA</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DEWBERRY, RE’KEYA</w:t>
            </w:r>
          </w:p>
        </w:tc>
        <w:tc>
          <w:tcPr/>
          <w:p>
            <w:pPr>
              <w:pStyle w:val="Compact"/>
              <w:jc w:val="right"/>
            </w:pPr>
            <w:r>
              <w:t xml:space="preserve">3</w:t>
            </w:r>
          </w:p>
        </w:tc>
      </w:tr>
      <w:tr>
        <w:tc>
          <w:tcPr/>
          <w:p>
            <w:pPr>
              <w:pStyle w:val="Compact"/>
              <w:jc w:val="left"/>
            </w:pPr>
            <w:r>
              <w:t xml:space="preserve">BONSU, VALERIE</w:t>
            </w:r>
          </w:p>
        </w:tc>
        <w:tc>
          <w:tcPr/>
          <w:p>
            <w:pPr>
              <w:pStyle w:val="Compact"/>
              <w:jc w:val="right"/>
            </w:pPr>
            <w:r>
              <w:t xml:space="preserve">1</w:t>
            </w:r>
          </w:p>
        </w:tc>
      </w:tr>
      <w:tr>
        <w:tc>
          <w:tcPr/>
          <w:p>
            <w:pPr>
              <w:pStyle w:val="Compact"/>
              <w:jc w:val="left"/>
            </w:pPr>
            <w:r>
              <w:t xml:space="preserve">BRYANT, THEO</w:t>
            </w:r>
          </w:p>
        </w:tc>
        <w:tc>
          <w:tcPr/>
          <w:p>
            <w:pPr>
              <w:pStyle w:val="Compact"/>
              <w:jc w:val="right"/>
            </w:pPr>
            <w:r>
              <w:t xml:space="preserve">1</w:t>
            </w:r>
          </w:p>
        </w:tc>
      </w:tr>
      <w:tr>
        <w:tc>
          <w:tcPr/>
          <w:p>
            <w:pPr>
              <w:pStyle w:val="Compact"/>
              <w:jc w:val="left"/>
            </w:pPr>
            <w:r>
              <w:t xml:space="preserve">FLOURNOY, ERICKA</w:t>
            </w:r>
          </w:p>
        </w:tc>
        <w:tc>
          <w:tcPr/>
          <w:p>
            <w:pPr>
              <w:pStyle w:val="Compact"/>
              <w:jc w:val="right"/>
            </w:pPr>
            <w:r>
              <w:t xml:space="preserve">1</w:t>
            </w:r>
          </w:p>
        </w:tc>
      </w:tr>
      <w:tr>
        <w:tc>
          <w:tcPr/>
          <w:p>
            <w:pPr>
              <w:pStyle w:val="Compact"/>
              <w:jc w:val="left"/>
            </w:pPr>
            <w:r>
              <w:t xml:space="preserve">GATTO, GIANNA</w:t>
            </w:r>
          </w:p>
        </w:tc>
        <w:tc>
          <w:tcPr/>
          <w:p>
            <w:pPr>
              <w:pStyle w:val="Compact"/>
              <w:jc w:val="right"/>
            </w:pPr>
            <w:r>
              <w:t xml:space="preserve">1</w:t>
            </w:r>
          </w:p>
        </w:tc>
      </w:tr>
      <w:tr>
        <w:tc>
          <w:tcPr/>
          <w:p>
            <w:pPr>
              <w:pStyle w:val="Compact"/>
              <w:jc w:val="left"/>
            </w:pPr>
            <w:r>
              <w:t xml:space="preserve">LEWIS, LESLIE</w:t>
            </w:r>
          </w:p>
        </w:tc>
        <w:tc>
          <w:tcPr/>
          <w:p>
            <w:pPr>
              <w:pStyle w:val="Compact"/>
              <w:jc w:val="right"/>
            </w:pPr>
            <w:r>
              <w:t xml:space="preserve">1</w:t>
            </w:r>
          </w:p>
        </w:tc>
      </w:tr>
      <w:tr>
        <w:tc>
          <w:tcPr/>
          <w:p>
            <w:pPr>
              <w:pStyle w:val="Compact"/>
              <w:jc w:val="left"/>
            </w:pPr>
            <w:r>
              <w:t xml:space="preserve">PRIESTLY, SHAVAUGHN</w:t>
            </w:r>
          </w:p>
        </w:tc>
        <w:tc>
          <w:tcPr/>
          <w:p>
            <w:pPr>
              <w:pStyle w:val="Compact"/>
              <w:jc w:val="right"/>
            </w:pPr>
            <w:r>
              <w:t xml:space="preserve">1</w:t>
            </w:r>
          </w:p>
        </w:tc>
      </w:tr>
      <w:tr>
        <w:tc>
          <w:tcPr/>
          <w:p>
            <w:pPr>
              <w:pStyle w:val="Compact"/>
              <w:jc w:val="left"/>
            </w:pPr>
            <w:r>
              <w:t xml:space="preserve">WALKER, JUANITA</w:t>
            </w:r>
          </w:p>
        </w:tc>
        <w:tc>
          <w:tcPr/>
          <w:p>
            <w:pPr>
              <w:pStyle w:val="Compact"/>
              <w:jc w:val="right"/>
            </w:pPr>
            <w:r>
              <w:t xml:space="preserve">1</w:t>
            </w:r>
          </w:p>
        </w:tc>
      </w:tr>
    </w:tbl>
    <w:p>
      <w:pPr>
        <w:pStyle w:val="BodyText"/>
      </w:pPr>
      <w:r>
        <w:t xml:space="preserve">This list is fairly short and could simply be monitored in future should the need arise.</w:t>
      </w:r>
    </w:p>
    <w:bookmarkEnd w:id="128"/>
    <w:bookmarkEnd w:id="129"/>
    <w:bookmarkStart w:id="138" w:name="high-priority-and-critical-calls"/>
    <w:p>
      <w:pPr>
        <w:pStyle w:val="Heading2"/>
      </w:pPr>
      <w:r>
        <w:t xml:space="preserve">6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33" w:name="high-priority-call-types"/>
    <w:p>
      <w:pPr>
        <w:pStyle w:val="Heading3"/>
      </w:pPr>
      <w:r>
        <w:t xml:space="preserve">6.1 High-Priority Call Types</w:t>
      </w:r>
    </w:p>
    <w:p>
      <w:pPr>
        <w:pStyle w:val="CaptionedFigure"/>
      </w:pPr>
      <w:r>
        <w:drawing>
          <wp:inline>
            <wp:extent cx="5334000" cy="3556000"/>
            <wp:effectExtent b="0" l="0" r="0" t="0"/>
            <wp:docPr descr="Top High-Priority Call Types" title="" id="131" name="Picture"/>
            <a:graphic>
              <a:graphicData uri="http://schemas.openxmlformats.org/drawingml/2006/picture">
                <pic:pic>
                  <pic:nvPicPr>
                    <pic:cNvPr descr="w_report_base_files/figure-docx/hp-call-types-1.png" id="132" name="Picture"/>
                    <pic:cNvPicPr>
                      <a:picLocks noChangeArrowheads="1" noChangeAspect="1"/>
                    </pic:cNvPicPr>
                  </pic:nvPicPr>
                  <pic:blipFill>
                    <a:blip r:embed="rId1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33"/>
    <w:bookmarkStart w:id="137" w:name="high-priority-response-times"/>
    <w:p>
      <w:pPr>
        <w:pStyle w:val="Heading3"/>
      </w:pPr>
      <w:r>
        <w:t xml:space="preserve">6.2 High-Priority Response Times</w:t>
      </w:r>
    </w:p>
    <w:p>
      <w:pPr>
        <w:pStyle w:val="CaptionedFigure"/>
      </w:pPr>
      <w:r>
        <w:drawing>
          <wp:inline>
            <wp:extent cx="5334000" cy="3556000"/>
            <wp:effectExtent b="0" l="0" r="0" t="0"/>
            <wp:docPr descr="High-Priority Call Response Times" title="" id="135" name="Picture"/>
            <a:graphic>
              <a:graphicData uri="http://schemas.openxmlformats.org/drawingml/2006/picture">
                <pic:pic>
                  <pic:nvPicPr>
                    <pic:cNvPr descr="w_report_base_files/figure-docx/hp-response-times-1.png" id="136" name="Picture"/>
                    <pic:cNvPicPr>
                      <a:picLocks noChangeArrowheads="1" noChangeAspect="1"/>
                    </pic:cNvPicPr>
                  </pic:nvPicPr>
                  <pic:blipFill>
                    <a:blip r:embed="rId1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37"/>
    <w:bookmarkEnd w:id="138"/>
    <w:bookmarkStart w:id="158" w:name="cardiac-arrest-calls-analysis"/>
    <w:p>
      <w:pPr>
        <w:pStyle w:val="Heading2"/>
      </w:pPr>
      <w:r>
        <w:t xml:space="preserve">7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0" name="Picture"/>
            <a:graphic>
              <a:graphicData uri="http://schemas.openxmlformats.org/drawingml/2006/picture">
                <pic:pic>
                  <pic:nvPicPr>
                    <pic:cNvPr descr="w_report_base_files/figure-docx/ca-call-volume-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4,415.33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46.5 seconds. The median time that we are on the phone is significantly longer, 313 seconds. That is to be expected since the calltaker is likely giving T-CPR instructions while the units are en route.</w:t>
      </w:r>
    </w:p>
    <w:bookmarkStart w:id="157" w:name="mental-health-analyses"/>
    <w:p>
      <w:pPr>
        <w:pStyle w:val="Heading3"/>
      </w:pPr>
      <w:r>
        <w:t xml:space="preserve">7.1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43" name="Picture"/>
            <a:graphic>
              <a:graphicData uri="http://schemas.openxmlformats.org/drawingml/2006/picture">
                <pic:pic>
                  <pic:nvPicPr>
                    <pic:cNvPr descr="w_report_base_files/figure-docx/mh-day-of-week-1.png" id="144" name="Picture"/>
                    <pic:cNvPicPr>
                      <a:picLocks noChangeArrowheads="1" noChangeAspect="1"/>
                    </pic:cNvPicPr>
                  </pic:nvPicPr>
                  <pic:blipFill>
                    <a:blip r:embed="rId1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 tday for mental health related calls was also Wednesday. Friday followed closely with a few mental health calls also.</w:t>
      </w:r>
    </w:p>
    <w:p>
      <w:pPr>
        <w:pStyle w:val="CaptionedFigure"/>
      </w:pPr>
      <w:r>
        <w:drawing>
          <wp:inline>
            <wp:extent cx="5334000" cy="3556000"/>
            <wp:effectExtent b="0" l="0" r="0" t="0"/>
            <wp:docPr descr="Number of calls for service by hour of the day." title="" id="146" name="Picture"/>
            <a:graphic>
              <a:graphicData uri="http://schemas.openxmlformats.org/drawingml/2006/picture">
                <pic:pic>
                  <pic:nvPicPr>
                    <pic:cNvPr descr="w_report_base_files/figure-docx/mh-hour-of-day-1.png" id="147" name="Picture"/>
                    <pic:cNvPicPr>
                      <a:picLocks noChangeArrowheads="1" noChangeAspect="1"/>
                    </pic:cNvPicPr>
                  </pic:nvPicPr>
                  <pic:blipFill>
                    <a:blip r:embed="rId1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afternoon and evenings.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49" name="Picture"/>
            <a:graphic>
              <a:graphicData uri="http://schemas.openxmlformats.org/drawingml/2006/picture">
                <pic:pic>
                  <pic:nvPicPr>
                    <pic:cNvPr descr="w_report_base_files/figure-docx/mh-call-reception-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most of the calls arrived by either phone, trunk line not defined, or from E-911 service calls.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52" name="Picture"/>
            <a:graphic>
              <a:graphicData uri="http://schemas.openxmlformats.org/drawingml/2006/picture">
                <pic:pic>
                  <pic:nvPicPr>
                    <pic:cNvPr descr="w_report_base_files/figure-docx/mh-call-type-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55" name="Picture"/>
            <a:graphic>
              <a:graphicData uri="http://schemas.openxmlformats.org/drawingml/2006/picture">
                <pic:pic>
                  <pic:nvPicPr>
                    <pic:cNvPr descr="w_report_base_files/figure-docx/mh-priority-level-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r>
    </w:tbl>
    <w:p>
      <w:pPr>
        <w:pStyle w:val="BodyText"/>
      </w:pPr>
      <w:r>
        <w:t xml:space="preserve">Processing times for these calls are longer, somewhere around 175 seconds.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57"/>
    <w:bookmarkEnd w:id="158"/>
    <w:bookmarkStart w:id="159" w:name="conclusion"/>
    <w:p>
      <w:pPr>
        <w:pStyle w:val="Heading2"/>
      </w:pPr>
      <w:r>
        <w:t xml:space="preserve">8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139" Target="media/rId1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54" Target="media/rId15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 Week 38 (14 Sep through 20 Sep)</dc:title>
  <dc:creator>Tony Dunsworth, PhD</dc:creator>
  <cp:keywords/>
  <dcterms:created xsi:type="dcterms:W3CDTF">2025-09-22T19:17:18Z</dcterms:created>
  <dcterms:modified xsi:type="dcterms:W3CDTF">2025-09-22T19:17:18Z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2025-09-22</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