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DC64477" w14:textId="04CA2866" w:rsidR="00E81978" w:rsidRDefault="003B3767">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p w14:paraId="46637342" w14:textId="2A13646E" w:rsidR="00E81978" w:rsidRDefault="000210B0" w:rsidP="00BC54A3">
      <w:pPr>
        <w:ind w:firstLine="0"/>
      </w:pPr>
      <w:r>
        <w:t xml:space="preserve">During the SARS-COV2 pandemic, the City of Alexandria, Virginia’s Department of Emergency and Customer Communications implemented measures to ensure the continuity of operations to ensure 911 emergency services were available to the constituents of the city. In order to gauge the efficacy of these efforts and to </w:t>
      </w:r>
      <w:r w:rsidR="00BC54A3">
        <w:t xml:space="preserve">see how those efforts impacted operational times, Kruskal-Wallis and Scheirer-Ray-Hare tests are run on that data to ensure the samples are different and then the medians are compared to one another and using Dunn and Wilcoxon tests to verify which weeks were significantly different and compared to a timeline of continuity measures to see the impacts of those measures on the various </w:t>
      </w:r>
      <w:r w:rsidR="00E512F2">
        <w:t xml:space="preserve">call handling points throughout the 911 process from initial call reception to assignment of the first unit in response. These measures lead to suggestions </w:t>
      </w:r>
      <w:r w:rsidR="00F30448">
        <w:t xml:space="preserve">for the department to ameliorate any service impacts identified and thereby ensure quicker, more accurate service to the constituents of the City of Alexandria. </w:t>
      </w:r>
    </w:p>
    <w:p w14:paraId="70499260" w14:textId="4A84A332" w:rsidR="00E81978" w:rsidRDefault="005D3A03">
      <w:r>
        <w:t xml:space="preserve">Keywords:  </w:t>
      </w:r>
      <w:r w:rsidR="00687B30">
        <w:t>SARS-COV2, Kruskal-Wallis, Scheirer-Ray-Hare, nonparametric analysis, Alexandria, PSAP, DECC. 911, Continuity</w:t>
      </w:r>
    </w:p>
    <w:p w14:paraId="51816030" w14:textId="77177A03" w:rsidR="00E81978" w:rsidRDefault="003B3767">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w:t>
      </w:r>
      <w:r w:rsidR="00E44E39">
        <w:rPr>
          <w:rFonts w:asciiTheme="majorHAnsi" w:hAnsiTheme="majorHAnsi" w:cstheme="majorHAnsi"/>
          <w:shd w:val="clear" w:color="auto" w:fill="FFFFFF"/>
        </w:rPr>
        <w:lastRenderedPageBreak/>
        <w:t xml:space="preserve">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00D4C241" w:rsidR="00E81978" w:rsidRDefault="000B7255">
      <w:r>
        <w:t>Is there a statistically significant difference in service call processing times in response to the Alexandria, VA efforts to preserve the continuity of service to the public in their 911 Public Safety Access Point?</w:t>
      </w:r>
    </w:p>
    <w:p w14:paraId="59A2C480" w14:textId="1E46A2AA" w:rsidR="00E81978" w:rsidRPr="00C31D30" w:rsidRDefault="00AC0AAA" w:rsidP="00AC0AAA">
      <w:pPr>
        <w:pStyle w:val="Heading2"/>
        <w:jc w:val="center"/>
      </w:pPr>
      <w:r>
        <w:t>Data Collection</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w:t>
      </w:r>
      <w:r>
        <w:lastRenderedPageBreak/>
        <w:t xml:space="preserve">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w:t>
      </w:r>
      <w:r w:rsidR="00C3401E">
        <w:lastRenderedPageBreak/>
        <w:t xml:space="preserve">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w:t>
      </w:r>
      <w:r w:rsidR="009C640D">
        <w:lastRenderedPageBreak/>
        <w:t xml:space="preserve">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w:t>
      </w:r>
      <w:r w:rsidR="00A72D7D">
        <w:lastRenderedPageBreak/>
        <w:t xml:space="preserve">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t>
      </w:r>
      <w:r w:rsidR="00AE4DAB">
        <w:lastRenderedPageBreak/>
        <w:t xml:space="preserve">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04DC1214" w:rsidR="008E16E3" w:rsidRDefault="008E16E3">
      <w:r>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w:t>
      </w:r>
      <w:r w:rsidR="00A632CB">
        <w:t xml:space="preserve">is </w:t>
      </w:r>
      <w:r w:rsidR="00F77967">
        <w:t xml:space="preserve">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w:t>
      </w:r>
      <w:r w:rsidR="00D712C8">
        <w:lastRenderedPageBreak/>
        <w:t xml:space="preserve">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302FA227" w:rsidR="00F81B74" w:rsidRDefault="004E2009" w:rsidP="004E2009">
      <w:pPr>
        <w:ind w:firstLine="0"/>
        <w:rPr>
          <w:b/>
          <w:bCs/>
        </w:rPr>
      </w:pPr>
      <w:r>
        <w:rPr>
          <w:b/>
          <w:bCs/>
          <w:noProof/>
        </w:rPr>
        <w:lastRenderedPageBreak/>
        <w:drawing>
          <wp:inline distT="0" distB="0" distL="0" distR="0" wp14:anchorId="50B7EF73" wp14:editId="03AB07F6">
            <wp:extent cx="5762625" cy="243649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2625" cy="2436495"/>
                    </a:xfrm>
                    <a:prstGeom prst="rect">
                      <a:avLst/>
                    </a:prstGeom>
                  </pic:spPr>
                </pic:pic>
              </a:graphicData>
            </a:graphic>
          </wp:inline>
        </w:drawing>
      </w:r>
    </w:p>
    <w:p w14:paraId="2E6C7DC6" w14:textId="07845F02" w:rsidR="004E2009" w:rsidRDefault="004E2009" w:rsidP="004E2009">
      <w:pPr>
        <w:ind w:firstLine="0"/>
        <w:rPr>
          <w:b/>
          <w:bCs/>
        </w:rPr>
      </w:pPr>
      <w:r>
        <w:rPr>
          <w:b/>
          <w:bCs/>
          <w:noProof/>
        </w:rPr>
        <w:drawing>
          <wp:inline distT="0" distB="0" distL="0" distR="0" wp14:anchorId="6CC31653" wp14:editId="48F559D7">
            <wp:extent cx="5943600" cy="2436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7C3D714B" w14:textId="2F4A05C5" w:rsidR="004E2009" w:rsidRDefault="004E2009" w:rsidP="004E2009">
      <w:pPr>
        <w:ind w:firstLine="0"/>
        <w:rPr>
          <w:b/>
          <w:bCs/>
        </w:rPr>
      </w:pPr>
      <w:r>
        <w:rPr>
          <w:b/>
          <w:bCs/>
          <w:noProof/>
        </w:rPr>
        <w:drawing>
          <wp:inline distT="0" distB="0" distL="0" distR="0" wp14:anchorId="00B48AC8" wp14:editId="496E80A5">
            <wp:extent cx="5943600" cy="24364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45CC2983" w14:textId="38E119E5" w:rsidR="004E2009" w:rsidRDefault="004E2009" w:rsidP="004E2009">
      <w:pPr>
        <w:ind w:firstLine="0"/>
        <w:rPr>
          <w:b/>
          <w:bCs/>
        </w:rPr>
      </w:pPr>
      <w:r>
        <w:rPr>
          <w:b/>
          <w:bCs/>
          <w:noProof/>
        </w:rPr>
        <w:lastRenderedPageBreak/>
        <w:drawing>
          <wp:inline distT="0" distB="0" distL="0" distR="0" wp14:anchorId="2EAB3431" wp14:editId="4EA4C0CC">
            <wp:extent cx="5943600" cy="24364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5B6A456D" w:rsidR="00F24D0B" w:rsidRDefault="004E2009" w:rsidP="00DA4A0A">
      <w:pPr>
        <w:ind w:firstLine="0"/>
      </w:pPr>
      <w:r>
        <w:rPr>
          <w:noProof/>
        </w:rPr>
        <w:drawing>
          <wp:inline distT="0" distB="0" distL="0" distR="0" wp14:anchorId="5E5D6A5C" wp14:editId="0F08B090">
            <wp:extent cx="5391902" cy="2210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16F63A85" w14:textId="66CA6314" w:rsidR="004E2009" w:rsidRDefault="004E2009" w:rsidP="00DA4A0A">
      <w:pPr>
        <w:ind w:firstLine="0"/>
      </w:pPr>
      <w:r>
        <w:rPr>
          <w:noProof/>
        </w:rPr>
        <w:lastRenderedPageBreak/>
        <w:drawing>
          <wp:inline distT="0" distB="0" distL="0" distR="0" wp14:anchorId="37C60ADE" wp14:editId="48E3D0B4">
            <wp:extent cx="5391902" cy="2210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7D47E05C" w14:textId="5141A755" w:rsidR="004E2009" w:rsidRDefault="004E2009" w:rsidP="00DA4A0A">
      <w:pPr>
        <w:ind w:firstLine="0"/>
      </w:pPr>
      <w:r>
        <w:rPr>
          <w:noProof/>
        </w:rPr>
        <w:drawing>
          <wp:inline distT="0" distB="0" distL="0" distR="0" wp14:anchorId="1ABAB77F" wp14:editId="0ED66086">
            <wp:extent cx="5391902" cy="2210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EBD39A0" w14:textId="66C0B287" w:rsidR="004E2009" w:rsidRDefault="004E2009" w:rsidP="00DA4A0A">
      <w:pPr>
        <w:ind w:firstLine="0"/>
      </w:pPr>
      <w:r>
        <w:rPr>
          <w:noProof/>
        </w:rPr>
        <w:drawing>
          <wp:inline distT="0" distB="0" distL="0" distR="0" wp14:anchorId="098DC268" wp14:editId="0F97B72F">
            <wp:extent cx="5391902" cy="2210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5391902" cy="2210108"/>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 xml:space="preserve">n Anderson-Darling normality test was run on each </w:t>
      </w:r>
      <w:r w:rsidR="00B31C05">
        <w:lastRenderedPageBreak/>
        <w:t>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lastRenderedPageBreak/>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lastRenderedPageBreak/>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56F7A974" w:rsid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762CACE4" w14:textId="77777777" w:rsidR="00133CD7" w:rsidRPr="00901E01" w:rsidRDefault="00133CD7"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1CAF23C6" w:rsid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05FC31E8" w14:textId="77777777" w:rsidR="00AC304C" w:rsidRPr="00901E01" w:rsidRDefault="00AC304C"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lastRenderedPageBreak/>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lastRenderedPageBreak/>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033BDEF0" w:rsidR="00A73A7F" w:rsidRDefault="00450933" w:rsidP="00DA4A0A">
      <w:pPr>
        <w:ind w:firstLine="0"/>
      </w:pPr>
      <w:r>
        <w:t xml:space="preserve">Since there is a significant difference in the medians between 2019 and 2020, further research between the two years using an additional independent variable can show further details into the overall impact DECC’s continuity decisions had on the call handling times between the two years and if there are specific areas to analyze within 2020 to view that impact at a more granular level. Since the reporting currently supplied to DECC is compiled and submitted weekly, further research into the differences between weeks can show those impacts most clearly. The medians for each week and the differences between them </w:t>
      </w:r>
      <w:r w:rsidR="005F4403">
        <w:t>in numeric form is included at the end of this analysis. The graphical versions of these comparisons are immediately below.</w:t>
      </w:r>
    </w:p>
    <w:p w14:paraId="1DE7307E" w14:textId="77777777" w:rsidR="00450933" w:rsidRDefault="00450933" w:rsidP="00450933">
      <w:pPr>
        <w:ind w:firstLine="0"/>
      </w:pPr>
      <w:r>
        <w:rPr>
          <w:noProof/>
        </w:rPr>
        <w:drawing>
          <wp:inline distT="0" distB="0" distL="0" distR="0" wp14:anchorId="2E4C40CD" wp14:editId="3E5EC5E0">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493C094C" w14:textId="77777777" w:rsidR="00450933" w:rsidRDefault="00450933" w:rsidP="00450933">
      <w:pPr>
        <w:ind w:firstLine="0"/>
      </w:pPr>
      <w:r>
        <w:rPr>
          <w:noProof/>
        </w:rPr>
        <w:lastRenderedPageBreak/>
        <w:drawing>
          <wp:inline distT="0" distB="0" distL="0" distR="0" wp14:anchorId="54D9EE34" wp14:editId="479413D6">
            <wp:extent cx="5943600" cy="204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F3D72F1" w14:textId="77777777" w:rsidR="00450933" w:rsidRDefault="00450933" w:rsidP="00450933">
      <w:pPr>
        <w:ind w:firstLine="0"/>
      </w:pPr>
      <w:r>
        <w:rPr>
          <w:noProof/>
        </w:rPr>
        <w:drawing>
          <wp:inline distT="0" distB="0" distL="0" distR="0" wp14:anchorId="16C9D582" wp14:editId="58108AC2">
            <wp:extent cx="5943600" cy="204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118189B8" w14:textId="2AE4553C" w:rsidR="00450933" w:rsidRDefault="00450933" w:rsidP="00DA4A0A">
      <w:pPr>
        <w:ind w:firstLine="0"/>
      </w:pPr>
      <w:r>
        <w:rPr>
          <w:noProof/>
        </w:rPr>
        <w:drawing>
          <wp:inline distT="0" distB="0" distL="0" distR="0" wp14:anchorId="0DA8069A" wp14:editId="0211F86C">
            <wp:extent cx="5943600" cy="2050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14A6B38C" w14:textId="2670CA32" w:rsidR="005F4403" w:rsidRDefault="005F4403" w:rsidP="00DA4A0A">
      <w:pPr>
        <w:ind w:firstLine="0"/>
      </w:pPr>
      <w:r>
        <w:t xml:space="preserve">In three of the four variables, there is a noticeable separation of the medians between 2019 and 2020 starting around week 12. Per the former DECC Systems Administrator, Robert Bloom, in an interview with FirstNet (Stone 2020), the use of </w:t>
      </w:r>
      <w:r w:rsidR="00BB70FE">
        <w:t xml:space="preserve">remote call takers working from home and fielding non-emergency calls started on March 06, 2020. Beginning at the end of week 10, the </w:t>
      </w:r>
      <w:r w:rsidR="00BB70FE">
        <w:lastRenderedPageBreak/>
        <w:t xml:space="preserve">impact on the medians of the computed variables can be monitored starting with week 11. With the remote call takers restricted to handling non-emergency calls, these call takers could not field inbound 911 calls </w:t>
      </w:r>
      <w:r w:rsidR="00B566A0">
        <w:t xml:space="preserve">which now added to the work load of the remaining staff on site. The three computed variables which demonstrate a greater separation all center around the call taking procedures. The remaining variable which doesn’t show the same degree of separation concerns the radio dispatch procedures. In DECC’s workflows, the Fired and EMS services utilize algorithmic assistance for the assignment </w:t>
      </w:r>
      <w:r w:rsidR="00B409F7">
        <w:t>of resources while the Police services use the algorithmic recommendations as a guide. Because of this workflow difference, the dispatch times for the Fire and EMS services are much lower overall and consistent between the two years. Combining the observation of the median separations with the Kruskal-Wallis and Scheirer-Ray-Hare test, demonstrates the significance and continuity measures had on call handling weekly between 2019 and 2002,</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1.6704e+</w:t>
      </w:r>
      <w:proofErr w:type="gramStart"/>
      <w:r w:rsidRPr="00E94E11">
        <w:rPr>
          <w:rFonts w:ascii="Consolas" w:eastAsia="Times New Roman" w:hAnsi="Consolas" w:cs="Courier New"/>
          <w:color w:val="000000"/>
          <w:kern w:val="0"/>
          <w:sz w:val="21"/>
          <w:szCs w:val="21"/>
          <w:bdr w:val="none" w:sz="0" w:space="0" w:color="auto" w:frame="1"/>
          <w:lang w:eastAsia="en-US"/>
        </w:rPr>
        <w:t>12  896.69</w:t>
      </w:r>
      <w:proofErr w:type="gramEnd"/>
      <w:r w:rsidRPr="00E94E11">
        <w:rPr>
          <w:rFonts w:ascii="Consolas" w:eastAsia="Times New Roman" w:hAnsi="Consolas" w:cs="Courier New"/>
          <w:color w:val="000000"/>
          <w:kern w:val="0"/>
          <w:sz w:val="21"/>
          <w:szCs w:val="21"/>
          <w:bdr w:val="none" w:sz="0" w:space="0" w:color="auto" w:frame="1"/>
          <w:lang w:eastAsia="en-US"/>
        </w:rPr>
        <w:t xml:space="preserve">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2F6DAD31" w:rsidR="00E94E11" w:rsidRDefault="00B409F7" w:rsidP="00DA4A0A">
      <w:pPr>
        <w:ind w:firstLine="0"/>
      </w:pPr>
      <w:r>
        <w:t>As the p-values for each of the computed variables are recorded as p &lt; 0.05, the null hypothesis can be rejected; the weekly medians between years in the data set do come from significantly different populations. After this, Dunn tests were run against the Week_No variable to determine which weeks exhibited statistically significant medians within all 53 weeks. Due to the size of the output of the Dunn test, the data will be included as a separate spreadsheet</w:t>
      </w:r>
      <w:r w:rsidR="0024115F">
        <w:t xml:space="preserve"> with this analysis. That spreadsheet consists of four worksheets, one for each of the computed variables. In brief, week 12 shows significant differences with most of the remaining weeks. In contract, weeks 13 through 15 do not show the same significant differences with other weeks. Approximately half of the week combinations in the Dunn test show some measure of significance and confirm there </w:t>
      </w:r>
      <w:r w:rsidR="0024115F">
        <w:lastRenderedPageBreak/>
        <w:t>are differences between populations medians from the same week number in the different years. With these results, analysis can be shifted into 2020 to examine the impact of continuity efforts</w:t>
      </w:r>
      <w:r w:rsidR="00E416B4">
        <w:t>.</w:t>
      </w:r>
    </w:p>
    <w:p w14:paraId="6F6AB660" w14:textId="148AE3E0" w:rsidR="007E5DEC" w:rsidRDefault="007E5DEC" w:rsidP="007E5DEC">
      <w:pPr>
        <w:ind w:firstLine="0"/>
        <w:rPr>
          <w:b/>
          <w:bCs/>
        </w:rPr>
      </w:pPr>
      <w:r>
        <w:tab/>
      </w:r>
      <w:r>
        <w:rPr>
          <w:b/>
          <w:bCs/>
        </w:rPr>
        <w:t xml:space="preserve">Continuity of Operations </w:t>
      </w:r>
    </w:p>
    <w:p w14:paraId="2F54D241" w14:textId="5588D826" w:rsidR="007E5DEC" w:rsidRDefault="00DA6FFE" w:rsidP="007E5DEC">
      <w:pPr>
        <w:ind w:firstLine="0"/>
      </w:pPr>
      <w:r>
        <w:t>Per interviews with Jeff Wobbleton, DECC’s Assistant Director for IT and HR, b</w:t>
      </w:r>
      <w:r w:rsidR="0011188D">
        <w:t>eginning with the 6</w:t>
      </w:r>
      <w:r w:rsidR="0011188D" w:rsidRPr="0011188D">
        <w:rPr>
          <w:vertAlign w:val="superscript"/>
        </w:rPr>
        <w:t>th</w:t>
      </w:r>
      <w:r w:rsidR="0011188D">
        <w:t xml:space="preserve"> of March, the end of week 10, DECC began the implementation of measures to ensure the continuity of 911 operations as the SARS-COV2 pandemic worsened in the region. </w:t>
      </w:r>
      <w:r w:rsidR="008522BA">
        <w:t>The first of these measures was the assignment of some call-takers to work from home using an emergency dispatch kit</w:t>
      </w:r>
      <w:r w:rsidR="00700ACA">
        <w:t>. When the program started, the remote call-takers were only taking calls from the non-emergency lines. This continued through week 11. At the beginning of week 12, the 16</w:t>
      </w:r>
      <w:r w:rsidR="00700ACA" w:rsidRPr="00700ACA">
        <w:rPr>
          <w:vertAlign w:val="superscript"/>
        </w:rPr>
        <w:t>th</w:t>
      </w:r>
      <w:r w:rsidR="00700ACA">
        <w:t xml:space="preserve"> of March, </w:t>
      </w:r>
      <w:r w:rsidR="006452FB">
        <w:t xml:space="preserve">those call-takers started receiving 911 calls remotely as well. This continuity measure has continued for the remainder of the year. </w:t>
      </w:r>
      <w:r w:rsidR="00E26A22">
        <w:t>As the situation in the community worsened, DECC created an isolation bubble in the primary dispatch center, accepting volunteers on ten-day assignments to live within the isolation bubble. This started at the end of week 13 and continued through week 22. Three weeks into this program, DECC created a second isolation bubble for one ten-day assignment in weeks 16 and 17; from the 16</w:t>
      </w:r>
      <w:r w:rsidR="00E26A22" w:rsidRPr="00E26A22">
        <w:rPr>
          <w:vertAlign w:val="superscript"/>
        </w:rPr>
        <w:t>th</w:t>
      </w:r>
      <w:r w:rsidR="00E26A22">
        <w:t xml:space="preserve"> of April through the 24</w:t>
      </w:r>
      <w:r w:rsidR="00E26A22" w:rsidRPr="00E26A22">
        <w:rPr>
          <w:vertAlign w:val="superscript"/>
        </w:rPr>
        <w:t>th</w:t>
      </w:r>
      <w:r w:rsidR="00E26A22">
        <w:t xml:space="preserve"> of April. This isolation bubble was set up a local hotel away from any city sites. During these isolation bubbles, operations continued normally at the secondary call center. </w:t>
      </w:r>
      <w:r w:rsidR="004568D2">
        <w:t xml:space="preserve">The last additional continuity measure taken was contracting tele-nurse provider to provide additional screening for certain basic medical calls. </w:t>
      </w:r>
      <w:r w:rsidR="009E256A">
        <w:t xml:space="preserve">This additional screening allows for calls to be moved away from the call-takers quicker and conserve responding resources. </w:t>
      </w:r>
      <w:r w:rsidR="009424F5">
        <w:t>This started in week 19 and continued through the remainder of 2020</w:t>
      </w:r>
      <w:r>
        <w:t xml:space="preserve"> (J. Wobbleton, personal communication, May 27, 2021)</w:t>
      </w:r>
      <w:r w:rsidR="009424F5">
        <w:t xml:space="preserve">. </w:t>
      </w:r>
    </w:p>
    <w:p w14:paraId="797DD646" w14:textId="4E3D53BD" w:rsidR="00510788" w:rsidRDefault="00E16242" w:rsidP="007E5DEC">
      <w:pPr>
        <w:ind w:firstLine="0"/>
      </w:pPr>
      <w:r>
        <w:t xml:space="preserve">Analyzing the effects these efforts demonstrated on the </w:t>
      </w:r>
      <w:r w:rsidR="009A551E">
        <w:t xml:space="preserve">medians of 2020 and how those compared </w:t>
      </w:r>
      <w:r w:rsidR="00B26C8B">
        <w:t xml:space="preserve">with the medians for 2019, as demonstrated above, the separation in medians started </w:t>
      </w:r>
      <w:r w:rsidR="00B26C8B">
        <w:lastRenderedPageBreak/>
        <w:t xml:space="preserve">being more pronounced in week 12. The highest medians and differences between 2019 and 2020 for the time from call pickup </w:t>
      </w:r>
      <w:r w:rsidR="0092346C">
        <w:t xml:space="preserve">to when it is dispatchable can be seen at weeks 16 and 17 when the isolation bubble at the hotel was deployed. The time to queue remained elevated in 2020 as opposed to 2019 for the remainder of the year. In contrast, </w:t>
      </w:r>
      <w:r w:rsidR="003054D9">
        <w:t xml:space="preserve">neither </w:t>
      </w:r>
      <w:r w:rsidR="0092346C">
        <w:t xml:space="preserve">the addition </w:t>
      </w:r>
      <w:r w:rsidR="003054D9">
        <w:t xml:space="preserve">of </w:t>
      </w:r>
      <w:r w:rsidR="0092346C">
        <w:t>the tele-nurse service</w:t>
      </w:r>
      <w:r w:rsidR="003054D9">
        <w:t xml:space="preserve"> nor the isolation bubble at the primary call center </w:t>
      </w:r>
      <w:r w:rsidR="0092346C">
        <w:t>show</w:t>
      </w:r>
      <w:r w:rsidR="003054D9">
        <w:t>ed</w:t>
      </w:r>
      <w:r w:rsidR="0092346C">
        <w:t xml:space="preserve"> impact</w:t>
      </w:r>
      <w:r w:rsidR="003054D9">
        <w:t>s</w:t>
      </w:r>
      <w:r w:rsidR="0092346C">
        <w:t xml:space="preserve"> on the service time for call handling.</w:t>
      </w:r>
      <w:r w:rsidR="00C361EA">
        <w:t xml:space="preserve"> In the time frame from the call entering the queue for dispatch to the time the first unit was assigned by the radio dispatcher, the medians show some separation, but not as marked for most of the year. The largest median and the greatest separation both appear at week 39. </w:t>
      </w:r>
      <w:r w:rsidR="002617DD">
        <w:t>Looking at the volume of calls for that week, the call volume does not appear to contribute to an increase in the dispatch times</w:t>
      </w:r>
      <w:r w:rsidR="002F1C06">
        <w:t xml:space="preserve"> for that week, nor do call volumes </w:t>
      </w:r>
      <w:r w:rsidR="00090A01">
        <w:t xml:space="preserve">between the two years account for that either. The call volume for that week for each of the two years is as follows: </w:t>
      </w:r>
    </w:p>
    <w:tbl>
      <w:tblPr>
        <w:tblStyle w:val="TableGrid"/>
        <w:tblW w:w="9452" w:type="dxa"/>
        <w:tblLook w:val="04A0" w:firstRow="1" w:lastRow="0" w:firstColumn="1" w:lastColumn="0" w:noHBand="0" w:noVBand="1"/>
      </w:tblPr>
      <w:tblGrid>
        <w:gridCol w:w="3150"/>
        <w:gridCol w:w="3151"/>
        <w:gridCol w:w="3151"/>
      </w:tblGrid>
      <w:tr w:rsidR="00090A01" w14:paraId="12C4E54B" w14:textId="77777777" w:rsidTr="00090A01">
        <w:trPr>
          <w:trHeight w:val="355"/>
        </w:trPr>
        <w:tc>
          <w:tcPr>
            <w:tcW w:w="3150" w:type="dxa"/>
          </w:tcPr>
          <w:p w14:paraId="5589C7CD" w14:textId="77777777" w:rsidR="00090A01" w:rsidRDefault="00090A01" w:rsidP="007E5DEC">
            <w:pPr>
              <w:ind w:firstLine="0"/>
            </w:pPr>
          </w:p>
        </w:tc>
        <w:tc>
          <w:tcPr>
            <w:tcW w:w="3151" w:type="dxa"/>
          </w:tcPr>
          <w:p w14:paraId="21C2ED59" w14:textId="11F79BCF" w:rsidR="00090A01" w:rsidRDefault="00090A01" w:rsidP="007E5DEC">
            <w:pPr>
              <w:ind w:firstLine="0"/>
            </w:pPr>
            <w:r>
              <w:t>2019</w:t>
            </w:r>
          </w:p>
        </w:tc>
        <w:tc>
          <w:tcPr>
            <w:tcW w:w="3151" w:type="dxa"/>
          </w:tcPr>
          <w:p w14:paraId="4E183C0F" w14:textId="5124665E" w:rsidR="00090A01" w:rsidRDefault="00090A01" w:rsidP="007E5DEC">
            <w:pPr>
              <w:ind w:firstLine="0"/>
            </w:pPr>
            <w:r>
              <w:t>2020</w:t>
            </w:r>
          </w:p>
        </w:tc>
      </w:tr>
      <w:tr w:rsidR="00090A01" w14:paraId="6994461C" w14:textId="77777777" w:rsidTr="00090A01">
        <w:trPr>
          <w:trHeight w:val="355"/>
        </w:trPr>
        <w:tc>
          <w:tcPr>
            <w:tcW w:w="3150" w:type="dxa"/>
          </w:tcPr>
          <w:p w14:paraId="269D198E" w14:textId="20343C76" w:rsidR="00090A01" w:rsidRDefault="00090A01" w:rsidP="007E5DEC">
            <w:pPr>
              <w:ind w:firstLine="0"/>
            </w:pPr>
            <w:r>
              <w:t>Call Volume</w:t>
            </w:r>
          </w:p>
        </w:tc>
        <w:tc>
          <w:tcPr>
            <w:tcW w:w="3151" w:type="dxa"/>
          </w:tcPr>
          <w:p w14:paraId="73EA35F9" w14:textId="0EA62A9F" w:rsidR="00090A01" w:rsidRDefault="00090A01" w:rsidP="007E5DEC">
            <w:pPr>
              <w:ind w:firstLine="0"/>
            </w:pPr>
            <w:r>
              <w:t>1637</w:t>
            </w:r>
          </w:p>
        </w:tc>
        <w:tc>
          <w:tcPr>
            <w:tcW w:w="3151" w:type="dxa"/>
          </w:tcPr>
          <w:p w14:paraId="7B25860B" w14:textId="757573DA" w:rsidR="00090A01" w:rsidRDefault="00090A01" w:rsidP="007E5DEC">
            <w:pPr>
              <w:ind w:firstLine="0"/>
            </w:pPr>
            <w:r>
              <w:t>1265</w:t>
            </w:r>
          </w:p>
        </w:tc>
      </w:tr>
      <w:tr w:rsidR="00090A01" w14:paraId="734F7CD9" w14:textId="77777777" w:rsidTr="00090A01">
        <w:trPr>
          <w:trHeight w:val="355"/>
        </w:trPr>
        <w:tc>
          <w:tcPr>
            <w:tcW w:w="3150" w:type="dxa"/>
          </w:tcPr>
          <w:p w14:paraId="5689ACDD" w14:textId="04F16FC9" w:rsidR="00090A01" w:rsidRDefault="00090A01" w:rsidP="007E5DEC">
            <w:pPr>
              <w:ind w:firstLine="0"/>
            </w:pPr>
            <w:r>
              <w:t>Median for Dispatch Time</w:t>
            </w:r>
          </w:p>
        </w:tc>
        <w:tc>
          <w:tcPr>
            <w:tcW w:w="3151" w:type="dxa"/>
          </w:tcPr>
          <w:p w14:paraId="7AB9855B" w14:textId="0CD0D37D" w:rsidR="00090A01" w:rsidRDefault="00090A01" w:rsidP="007E5DEC">
            <w:pPr>
              <w:ind w:firstLine="0"/>
            </w:pPr>
            <w:r>
              <w:t>36.0</w:t>
            </w:r>
          </w:p>
        </w:tc>
        <w:tc>
          <w:tcPr>
            <w:tcW w:w="3151" w:type="dxa"/>
          </w:tcPr>
          <w:p w14:paraId="3A3DE38D" w14:textId="403D375B" w:rsidR="00090A01" w:rsidRDefault="00090A01" w:rsidP="007E5DEC">
            <w:pPr>
              <w:ind w:firstLine="0"/>
            </w:pPr>
            <w:r>
              <w:t>90.0</w:t>
            </w:r>
          </w:p>
        </w:tc>
      </w:tr>
    </w:tbl>
    <w:p w14:paraId="0B457662" w14:textId="5C8830F1" w:rsidR="00090A01" w:rsidRDefault="00090A01"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sz w:val="21"/>
          <w:szCs w:val="21"/>
          <w:bdr w:val="none" w:sz="0" w:space="0" w:color="auto" w:frame="1"/>
          <w:lang w:eastAsia="en-US"/>
        </w:rPr>
      </w:pPr>
    </w:p>
    <w:p w14:paraId="5CB2C54F" w14:textId="77777777" w:rsidR="00A35EC7" w:rsidRDefault="00090A01"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eastAsia="Times New Roman" w:cstheme="minorHAnsi"/>
          <w:color w:val="000000"/>
          <w:bdr w:val="none" w:sz="0" w:space="0" w:color="auto" w:frame="1"/>
          <w:lang w:eastAsia="en-US"/>
        </w:rPr>
      </w:pPr>
      <w:r>
        <w:rPr>
          <w:rFonts w:eastAsia="Times New Roman" w:cstheme="minorHAnsi"/>
          <w:color w:val="000000"/>
          <w:bdr w:val="none" w:sz="0" w:space="0" w:color="auto" w:frame="1"/>
          <w:lang w:eastAsia="en-US"/>
        </w:rPr>
        <w:t xml:space="preserve">Call volume fell 22.72% from 2019 to 2020. At the same time, the median time for a dispatcher </w:t>
      </w:r>
      <w:r w:rsidR="00A35EC7">
        <w:rPr>
          <w:rFonts w:eastAsia="Times New Roman" w:cstheme="minorHAnsi"/>
          <w:color w:val="000000"/>
          <w:bdr w:val="none" w:sz="0" w:space="0" w:color="auto" w:frame="1"/>
          <w:lang w:eastAsia="en-US"/>
        </w:rPr>
        <w:t xml:space="preserve">  to assign a call to a unit rose by 150% from 2019 to 2020. Further details will need to be </w:t>
      </w:r>
    </w:p>
    <w:p w14:paraId="1F79374E" w14:textId="66D11392" w:rsidR="00945864" w:rsidRPr="00945864" w:rsidRDefault="00A35EC7" w:rsidP="00A35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both"/>
        <w:rPr>
          <w:rFonts w:ascii="Consolas" w:eastAsia="Times New Roman" w:hAnsi="Consolas" w:cs="Courier New"/>
          <w:color w:val="000000"/>
          <w:kern w:val="0"/>
          <w:sz w:val="21"/>
          <w:szCs w:val="21"/>
          <w:lang w:eastAsia="en-US"/>
        </w:rPr>
      </w:pPr>
      <w:r>
        <w:rPr>
          <w:rFonts w:eastAsia="Times New Roman" w:cstheme="minorHAnsi"/>
          <w:color w:val="000000"/>
          <w:bdr w:val="none" w:sz="0" w:space="0" w:color="auto" w:frame="1"/>
          <w:lang w:eastAsia="en-US"/>
        </w:rPr>
        <w:t xml:space="preserve">examined to see what factors contributed to that increase.  </w:t>
      </w:r>
    </w:p>
    <w:p w14:paraId="1C10D59B" w14:textId="06B036CF" w:rsidR="00355DCA" w:rsidRPr="00AB73F3" w:rsidRDefault="00DE6A53" w:rsidP="00C31D30">
      <w:pPr>
        <w:pStyle w:val="Heading5"/>
        <w:rPr>
          <w:b/>
          <w:bCs/>
          <w:i w:val="0"/>
          <w:iCs w:val="0"/>
        </w:rPr>
      </w:pPr>
      <w:r>
        <w:rPr>
          <w:b/>
          <w:bCs/>
          <w:i w:val="0"/>
          <w:iCs w:val="0"/>
        </w:rPr>
        <w:t>Summary and Implications</w:t>
      </w:r>
    </w:p>
    <w:p w14:paraId="584FA6C9" w14:textId="4018CE64" w:rsidR="00696648" w:rsidRDefault="00696648">
      <w:r>
        <w:t xml:space="preserve">Based on the analysis of the dataset, it has been shown that the use of call-takers working remotely contributed significantly to the increase in medians for </w:t>
      </w:r>
      <w:r w:rsidR="0035692A">
        <w:t xml:space="preserve">most of the measured time points in 2020 over the previous year. </w:t>
      </w:r>
      <w:r w:rsidR="00BF66E8">
        <w:t xml:space="preserve">As noted, the difference in the medians for the time from initial call pickup to the call being sent to the dispatching queue rose significantly in week 12 of 2020 and remainder significantly higher through the remainder of the year. </w:t>
      </w:r>
      <w:r w:rsidR="00861345">
        <w:t xml:space="preserve">The other continuity </w:t>
      </w:r>
      <w:r w:rsidR="00861345">
        <w:lastRenderedPageBreak/>
        <w:t xml:space="preserve">effort which showed an impact on this time point was the use of the isolation bubble at an off-site facility. In both cases, parts of the process require an indirect connection to the city’s network and includes data transmission outside of that network. </w:t>
      </w:r>
      <w:r w:rsidR="00776CE7">
        <w:t xml:space="preserve">One suggestion would be to utilize the </w:t>
      </w:r>
      <w:proofErr w:type="spellStart"/>
      <w:r w:rsidR="00776CE7">
        <w:t>NetMotion</w:t>
      </w:r>
      <w:proofErr w:type="spellEnd"/>
      <w:r w:rsidR="00776CE7">
        <w:t xml:space="preserve"> solution used by the Police Department which allow connections </w:t>
      </w:r>
      <w:r w:rsidR="00DF151F">
        <w:t xml:space="preserve">to be persisted on slower networks and maintain a session </w:t>
      </w:r>
      <w:r w:rsidR="00987356">
        <w:t>even with the loss of connection. (</w:t>
      </w:r>
      <w:proofErr w:type="spellStart"/>
      <w:r w:rsidR="00987356">
        <w:t>NetMotion</w:t>
      </w:r>
      <w:proofErr w:type="spellEnd"/>
      <w:r w:rsidR="00987356">
        <w:t xml:space="preserve"> Software, 2021) </w:t>
      </w:r>
      <w:r w:rsidR="00734AA9">
        <w:t xml:space="preserve">Another recommendation is to include on-duty supervisors on all reports DECC currently receives so they can use that data when response times elevate to develop and implement amelioration strategies to address those elevated response times. </w:t>
      </w:r>
      <w:r w:rsidR="002B067D">
        <w:t xml:space="preserve">Further areas for research </w:t>
      </w:r>
      <w:r w:rsidR="003246CD">
        <w:t xml:space="preserve">can be undertaken through more detailed analysis of the dataset </w:t>
      </w:r>
      <w:r w:rsidR="005F65B9">
        <w:t>with resp</w:t>
      </w:r>
      <w:r w:rsidR="00196BA0">
        <w:t xml:space="preserve">ect to the agencies DECC serves, </w:t>
      </w:r>
      <w:r w:rsidR="00664F66">
        <w:t>the problem types</w:t>
      </w:r>
      <w:r w:rsidR="00702CBA">
        <w:t xml:space="preserve"> used, or the priority levels </w:t>
      </w:r>
      <w:r w:rsidR="00D76C4C">
        <w:t>assigned to the calls.</w:t>
      </w:r>
      <w:r w:rsidR="003C6699">
        <w:t xml:space="preserve"> </w:t>
      </w:r>
      <w:r w:rsidR="00F0657A">
        <w:t xml:space="preserve">In these additional areas, the differences in medians could determine if there are </w:t>
      </w:r>
      <w:r w:rsidR="00531778">
        <w:t xml:space="preserve">additional points of significance in the data. </w:t>
      </w:r>
      <w:r w:rsidR="00734AA9">
        <w:t xml:space="preserve">It is clear that DECC is creative and willing to employ unique strategies to ensure operational continuity and when that same creativity and willingness to innovate to serve the community are applied, they find solutions which benefit the community’s and their public safety partners’ needs while continuing to be a leader in their field. </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5E78CD">
              <w:pPr>
                <w:ind w:firstLine="0"/>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9"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lastRenderedPageBreak/>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30"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https://www.researchgate.net/post/Is_there_a_non-parametric_equivalent_of_a_two_way_ANOVA</w:t>
              </w:r>
            </w:p>
            <w:p w14:paraId="42C945D3" w14:textId="3FDA8B5C" w:rsidR="00DF151F" w:rsidRDefault="00DF151F" w:rsidP="00DF151F">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DF151F">
                <w:rPr>
                  <w:rFonts w:ascii="Times New Roman" w:eastAsia="Times New Roman" w:hAnsi="Times New Roman" w:cs="Times New Roman"/>
                  <w:kern w:val="0"/>
                  <w:lang w:eastAsia="en-US"/>
                </w:rPr>
                <w:t>NetMotion</w:t>
              </w:r>
              <w:proofErr w:type="spellEnd"/>
              <w:r w:rsidRPr="00DF151F">
                <w:rPr>
                  <w:rFonts w:ascii="Times New Roman" w:eastAsia="Times New Roman" w:hAnsi="Times New Roman" w:cs="Times New Roman"/>
                  <w:kern w:val="0"/>
                  <w:lang w:eastAsia="en-US"/>
                </w:rPr>
                <w:t xml:space="preserve"> Software. (2021, May 20). </w:t>
              </w:r>
              <w:r w:rsidRPr="00DF151F">
                <w:rPr>
                  <w:rFonts w:ascii="Times New Roman" w:eastAsia="Times New Roman" w:hAnsi="Times New Roman" w:cs="Times New Roman"/>
                  <w:i/>
                  <w:iCs/>
                  <w:kern w:val="0"/>
                  <w:lang w:eastAsia="en-US"/>
                </w:rPr>
                <w:t>Digitally transforming public safety</w:t>
              </w:r>
              <w:r w:rsidRPr="00DF151F">
                <w:rPr>
                  <w:rFonts w:ascii="Times New Roman" w:eastAsia="Times New Roman" w:hAnsi="Times New Roman" w:cs="Times New Roman"/>
                  <w:kern w:val="0"/>
                  <w:lang w:eastAsia="en-US"/>
                </w:rPr>
                <w:t xml:space="preserve">. </w:t>
              </w:r>
              <w:hyperlink r:id="rId31" w:history="1">
                <w:r w:rsidR="00DA6FFE" w:rsidRPr="00B65AA0">
                  <w:rPr>
                    <w:rStyle w:val="Hyperlink"/>
                    <w:rFonts w:ascii="Times New Roman" w:eastAsia="Times New Roman" w:hAnsi="Times New Roman" w:cs="Times New Roman"/>
                    <w:kern w:val="0"/>
                    <w:lang w:eastAsia="en-US"/>
                  </w:rPr>
                  <w:t>https://www.netmotionsoftware.com/publicsafety</w:t>
                </w:r>
              </w:hyperlink>
            </w:p>
            <w:p w14:paraId="476D0678" w14:textId="77777777" w:rsidR="00DA6FFE" w:rsidRDefault="00DA6FFE" w:rsidP="00DA6FFE">
              <w:pPr>
                <w:spacing w:before="100" w:beforeAutospacing="1" w:after="100" w:afterAutospacing="1"/>
                <w:ind w:left="720" w:hanging="72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Wobbleton, J (2021, May 27). Personal communication [email, online chats, and text messages]</w:t>
              </w:r>
            </w:p>
            <w:p w14:paraId="0B3DECF1" w14:textId="77777777" w:rsidR="00DA6FFE" w:rsidRPr="00DF151F" w:rsidRDefault="00DA6FFE" w:rsidP="00DF151F">
              <w:pPr>
                <w:spacing w:before="100" w:beforeAutospacing="1" w:after="100" w:afterAutospacing="1"/>
                <w:ind w:left="720" w:hanging="720"/>
                <w:rPr>
                  <w:rFonts w:ascii="Times New Roman" w:eastAsia="Times New Roman" w:hAnsi="Times New Roman" w:cs="Times New Roman"/>
                  <w:kern w:val="0"/>
                  <w:lang w:eastAsia="en-US"/>
                </w:rPr>
              </w:pP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3B3767" w:rsidP="00E44E39"/>
          </w:sdtContent>
        </w:sdt>
      </w:sdtContent>
    </w:sdt>
    <w:p w14:paraId="28620570" w14:textId="3238A99E" w:rsidR="00E81978" w:rsidRDefault="00E81978" w:rsidP="00E44E39">
      <w:pPr>
        <w:rPr>
          <w:noProof/>
        </w:rPr>
      </w:pPr>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lastRenderedPageBreak/>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lastRenderedPageBreak/>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lastRenderedPageBreak/>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lastRenderedPageBreak/>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586ECB56" w:rsidR="00A40104" w:rsidRDefault="00450933" w:rsidP="00450933">
            <w:pPr>
              <w:ind w:firstLine="0"/>
              <w:cnfStyle w:val="000000000000" w:firstRow="0" w:lastRow="0" w:firstColumn="0" w:lastColumn="0" w:oddVBand="0" w:evenVBand="0" w:oddHBand="0" w:evenHBand="0" w:firstRowFirstColumn="0" w:firstRowLastColumn="0" w:lastRowFirstColumn="0" w:lastRowLastColumn="0"/>
            </w:pPr>
            <w:r>
              <w:rPr>
                <w:color w:val="000000"/>
              </w:rPr>
              <w:t xml:space="preserve">        </w:t>
            </w:r>
            <w:r w:rsidR="00A40104">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lastRenderedPageBreak/>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2B191EA5" w14:textId="1EE7B613" w:rsidR="00160CDA" w:rsidRDefault="00160CDA" w:rsidP="002950C9">
      <w:pPr>
        <w:ind w:firstLine="0"/>
      </w:pPr>
    </w:p>
    <w:p w14:paraId="61F20D3E" w14:textId="67937476" w:rsidR="00E85BE0" w:rsidRDefault="00E85BE0" w:rsidP="002950C9">
      <w:pPr>
        <w:ind w:firstLine="0"/>
      </w:pPr>
    </w:p>
    <w:p w14:paraId="69C26E69" w14:textId="35EEEF7C" w:rsidR="00E85BE0" w:rsidRDefault="00E85BE0" w:rsidP="002950C9">
      <w:pPr>
        <w:ind w:firstLine="0"/>
      </w:pPr>
    </w:p>
    <w:sectPr w:rsidR="00E85BE0" w:rsidSect="003B3767">
      <w:headerReference w:type="default" r:id="rId32"/>
      <w:headerReference w:type="first" r:id="rId3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DCA6" w14:textId="77777777" w:rsidR="00A804A4" w:rsidRDefault="00A804A4">
      <w:pPr>
        <w:spacing w:line="240" w:lineRule="auto"/>
      </w:pPr>
      <w:r>
        <w:separator/>
      </w:r>
    </w:p>
    <w:p w14:paraId="04F5A46D" w14:textId="77777777" w:rsidR="00A804A4" w:rsidRDefault="00A804A4"/>
  </w:endnote>
  <w:endnote w:type="continuationSeparator" w:id="0">
    <w:p w14:paraId="5CA4CD70" w14:textId="77777777" w:rsidR="00A804A4" w:rsidRDefault="00A804A4">
      <w:pPr>
        <w:spacing w:line="240" w:lineRule="auto"/>
      </w:pPr>
      <w:r>
        <w:continuationSeparator/>
      </w:r>
    </w:p>
    <w:p w14:paraId="396A2DA9" w14:textId="77777777" w:rsidR="00A804A4" w:rsidRDefault="00A804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4C5A3" w14:textId="77777777" w:rsidR="00A804A4" w:rsidRDefault="00A804A4">
      <w:pPr>
        <w:spacing w:line="240" w:lineRule="auto"/>
      </w:pPr>
      <w:r>
        <w:separator/>
      </w:r>
    </w:p>
    <w:p w14:paraId="5EBEC9E4" w14:textId="77777777" w:rsidR="00A804A4" w:rsidRDefault="00A804A4"/>
  </w:footnote>
  <w:footnote w:type="continuationSeparator" w:id="0">
    <w:p w14:paraId="2DA45888" w14:textId="77777777" w:rsidR="00A804A4" w:rsidRDefault="00A804A4">
      <w:pPr>
        <w:spacing w:line="240" w:lineRule="auto"/>
      </w:pPr>
      <w:r>
        <w:continuationSeparator/>
      </w:r>
    </w:p>
    <w:p w14:paraId="14E52D8E" w14:textId="77777777" w:rsidR="00A804A4" w:rsidRDefault="00A804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E2D66" w14:textId="5C2C1B32" w:rsidR="00E81978" w:rsidRDefault="003B3767">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r w:rsidR="00160CDA">
          <w:rPr>
            <w:rStyle w:val="Heading4Char"/>
          </w:rPr>
          <w:t>W</w:t>
        </w:r>
        <w:r w:rsidR="00F953E5">
          <w:rPr>
            <w:rStyle w:val="Heading4Char"/>
          </w:rPr>
          <w:t>allis ana</w:t>
        </w:r>
        <w:r w:rsidR="00160CDA">
          <w:rPr>
            <w:rStyle w:val="Heading4Char"/>
          </w:rPr>
          <w:t>l</w:t>
        </w:r>
        <w:r w:rsidR="00F953E5">
          <w:rPr>
            <w:rStyle w:val="Heading4Char"/>
          </w:rPr>
          <w:t>ysis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208C" w14:textId="7BA3A40B"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160CDA">
          <w:rPr>
            <w:rStyle w:val="Heading4Char"/>
          </w:rPr>
          <w:t>Kruskal-Wallis analysis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210B0"/>
    <w:rsid w:val="00044774"/>
    <w:rsid w:val="000574AD"/>
    <w:rsid w:val="00076EB2"/>
    <w:rsid w:val="00082AC6"/>
    <w:rsid w:val="00090A01"/>
    <w:rsid w:val="000A19E6"/>
    <w:rsid w:val="000A1DC5"/>
    <w:rsid w:val="000B349D"/>
    <w:rsid w:val="000B7255"/>
    <w:rsid w:val="000C22C1"/>
    <w:rsid w:val="000D3F41"/>
    <w:rsid w:val="000D482C"/>
    <w:rsid w:val="000D6C31"/>
    <w:rsid w:val="000E4C62"/>
    <w:rsid w:val="000E6B52"/>
    <w:rsid w:val="00110F39"/>
    <w:rsid w:val="00111538"/>
    <w:rsid w:val="0011188D"/>
    <w:rsid w:val="00133CD7"/>
    <w:rsid w:val="001529D7"/>
    <w:rsid w:val="00157C4F"/>
    <w:rsid w:val="00160CDA"/>
    <w:rsid w:val="00162523"/>
    <w:rsid w:val="00180AD2"/>
    <w:rsid w:val="00196BA0"/>
    <w:rsid w:val="001A130B"/>
    <w:rsid w:val="001A6506"/>
    <w:rsid w:val="001D3BF5"/>
    <w:rsid w:val="0024115F"/>
    <w:rsid w:val="002617DD"/>
    <w:rsid w:val="002722C2"/>
    <w:rsid w:val="00286464"/>
    <w:rsid w:val="002950C9"/>
    <w:rsid w:val="002B067D"/>
    <w:rsid w:val="002B58DA"/>
    <w:rsid w:val="002E1C8D"/>
    <w:rsid w:val="002F1C06"/>
    <w:rsid w:val="002F5F3C"/>
    <w:rsid w:val="003054D9"/>
    <w:rsid w:val="00322326"/>
    <w:rsid w:val="003246CD"/>
    <w:rsid w:val="00326813"/>
    <w:rsid w:val="00355DCA"/>
    <w:rsid w:val="0035692A"/>
    <w:rsid w:val="003637A5"/>
    <w:rsid w:val="00363D74"/>
    <w:rsid w:val="0036435E"/>
    <w:rsid w:val="00377E40"/>
    <w:rsid w:val="0038191D"/>
    <w:rsid w:val="00386EE9"/>
    <w:rsid w:val="0038732D"/>
    <w:rsid w:val="003A0B52"/>
    <w:rsid w:val="003B3767"/>
    <w:rsid w:val="003C6699"/>
    <w:rsid w:val="003D4FC3"/>
    <w:rsid w:val="003D50F6"/>
    <w:rsid w:val="003E406B"/>
    <w:rsid w:val="003E5649"/>
    <w:rsid w:val="003F30B3"/>
    <w:rsid w:val="003F7333"/>
    <w:rsid w:val="00415925"/>
    <w:rsid w:val="004326DD"/>
    <w:rsid w:val="004333C4"/>
    <w:rsid w:val="00436F72"/>
    <w:rsid w:val="00444B8E"/>
    <w:rsid w:val="00450933"/>
    <w:rsid w:val="004568D2"/>
    <w:rsid w:val="004606D6"/>
    <w:rsid w:val="00464E3A"/>
    <w:rsid w:val="00466576"/>
    <w:rsid w:val="0049681F"/>
    <w:rsid w:val="004A5630"/>
    <w:rsid w:val="004C02D0"/>
    <w:rsid w:val="004C085A"/>
    <w:rsid w:val="004C7AEC"/>
    <w:rsid w:val="004D179E"/>
    <w:rsid w:val="004E2009"/>
    <w:rsid w:val="004F1DC4"/>
    <w:rsid w:val="004F35C9"/>
    <w:rsid w:val="004F663A"/>
    <w:rsid w:val="00500E6A"/>
    <w:rsid w:val="00510788"/>
    <w:rsid w:val="00523746"/>
    <w:rsid w:val="00531778"/>
    <w:rsid w:val="00534F08"/>
    <w:rsid w:val="00540F3B"/>
    <w:rsid w:val="00543BBA"/>
    <w:rsid w:val="00547500"/>
    <w:rsid w:val="00551A02"/>
    <w:rsid w:val="005534FA"/>
    <w:rsid w:val="00575D68"/>
    <w:rsid w:val="00597426"/>
    <w:rsid w:val="005A0AE5"/>
    <w:rsid w:val="005C1A38"/>
    <w:rsid w:val="005C321C"/>
    <w:rsid w:val="005D3A03"/>
    <w:rsid w:val="005E6D05"/>
    <w:rsid w:val="005E78CD"/>
    <w:rsid w:val="005F4403"/>
    <w:rsid w:val="005F65B9"/>
    <w:rsid w:val="005F6753"/>
    <w:rsid w:val="00601ED3"/>
    <w:rsid w:val="00602E80"/>
    <w:rsid w:val="00615B0F"/>
    <w:rsid w:val="006309B1"/>
    <w:rsid w:val="0064480E"/>
    <w:rsid w:val="006452FB"/>
    <w:rsid w:val="00654D40"/>
    <w:rsid w:val="00655ED0"/>
    <w:rsid w:val="00664F66"/>
    <w:rsid w:val="006761BA"/>
    <w:rsid w:val="0068648D"/>
    <w:rsid w:val="00687B30"/>
    <w:rsid w:val="00696648"/>
    <w:rsid w:val="006B5312"/>
    <w:rsid w:val="006D3ACD"/>
    <w:rsid w:val="006D3E63"/>
    <w:rsid w:val="006F334D"/>
    <w:rsid w:val="006F74EE"/>
    <w:rsid w:val="00700ACA"/>
    <w:rsid w:val="00700C1B"/>
    <w:rsid w:val="00702CBA"/>
    <w:rsid w:val="00715F92"/>
    <w:rsid w:val="00731AB9"/>
    <w:rsid w:val="007330DF"/>
    <w:rsid w:val="00734AA9"/>
    <w:rsid w:val="0074563F"/>
    <w:rsid w:val="00776CE7"/>
    <w:rsid w:val="007808DD"/>
    <w:rsid w:val="007A48E4"/>
    <w:rsid w:val="007C3380"/>
    <w:rsid w:val="007C5C74"/>
    <w:rsid w:val="007D0B92"/>
    <w:rsid w:val="007D5168"/>
    <w:rsid w:val="007E5DEC"/>
    <w:rsid w:val="007F3834"/>
    <w:rsid w:val="007F5F51"/>
    <w:rsid w:val="007F7F87"/>
    <w:rsid w:val="008002C0"/>
    <w:rsid w:val="00801E95"/>
    <w:rsid w:val="00827208"/>
    <w:rsid w:val="00836817"/>
    <w:rsid w:val="00840E1E"/>
    <w:rsid w:val="008522BA"/>
    <w:rsid w:val="00861345"/>
    <w:rsid w:val="008B364B"/>
    <w:rsid w:val="008B4787"/>
    <w:rsid w:val="008C1AC8"/>
    <w:rsid w:val="008C2F82"/>
    <w:rsid w:val="008C5323"/>
    <w:rsid w:val="008E16E3"/>
    <w:rsid w:val="008E2C4A"/>
    <w:rsid w:val="00901E01"/>
    <w:rsid w:val="00911705"/>
    <w:rsid w:val="0092346C"/>
    <w:rsid w:val="009424F5"/>
    <w:rsid w:val="0094283D"/>
    <w:rsid w:val="00945864"/>
    <w:rsid w:val="009573CE"/>
    <w:rsid w:val="00961F2A"/>
    <w:rsid w:val="00967780"/>
    <w:rsid w:val="009865B5"/>
    <w:rsid w:val="00987356"/>
    <w:rsid w:val="009A551E"/>
    <w:rsid w:val="009A6A3B"/>
    <w:rsid w:val="009C10CF"/>
    <w:rsid w:val="009C640D"/>
    <w:rsid w:val="009D0772"/>
    <w:rsid w:val="009D1997"/>
    <w:rsid w:val="009D5476"/>
    <w:rsid w:val="009D6B6E"/>
    <w:rsid w:val="009D7155"/>
    <w:rsid w:val="009E256A"/>
    <w:rsid w:val="009E5D69"/>
    <w:rsid w:val="009E7F80"/>
    <w:rsid w:val="00A35EC7"/>
    <w:rsid w:val="00A40104"/>
    <w:rsid w:val="00A4203F"/>
    <w:rsid w:val="00A431A8"/>
    <w:rsid w:val="00A454C0"/>
    <w:rsid w:val="00A632CB"/>
    <w:rsid w:val="00A72D7D"/>
    <w:rsid w:val="00A7369E"/>
    <w:rsid w:val="00A73A7F"/>
    <w:rsid w:val="00A77383"/>
    <w:rsid w:val="00A804A4"/>
    <w:rsid w:val="00A86A3C"/>
    <w:rsid w:val="00AA06E2"/>
    <w:rsid w:val="00AB73F3"/>
    <w:rsid w:val="00AC0AAA"/>
    <w:rsid w:val="00AC304C"/>
    <w:rsid w:val="00AD1798"/>
    <w:rsid w:val="00AE4DAB"/>
    <w:rsid w:val="00B008C9"/>
    <w:rsid w:val="00B132A5"/>
    <w:rsid w:val="00B159CE"/>
    <w:rsid w:val="00B2058C"/>
    <w:rsid w:val="00B26C8B"/>
    <w:rsid w:val="00B31C05"/>
    <w:rsid w:val="00B409F7"/>
    <w:rsid w:val="00B446D8"/>
    <w:rsid w:val="00B53340"/>
    <w:rsid w:val="00B5375A"/>
    <w:rsid w:val="00B566A0"/>
    <w:rsid w:val="00B70983"/>
    <w:rsid w:val="00B823AA"/>
    <w:rsid w:val="00B84D02"/>
    <w:rsid w:val="00B851DF"/>
    <w:rsid w:val="00B868AA"/>
    <w:rsid w:val="00B91BBB"/>
    <w:rsid w:val="00BA0002"/>
    <w:rsid w:val="00BA45DB"/>
    <w:rsid w:val="00BB70FE"/>
    <w:rsid w:val="00BC3FD3"/>
    <w:rsid w:val="00BC54A3"/>
    <w:rsid w:val="00BD79B2"/>
    <w:rsid w:val="00BF4184"/>
    <w:rsid w:val="00BF66E8"/>
    <w:rsid w:val="00C0601E"/>
    <w:rsid w:val="00C160E3"/>
    <w:rsid w:val="00C21D3A"/>
    <w:rsid w:val="00C23C61"/>
    <w:rsid w:val="00C31D30"/>
    <w:rsid w:val="00C3401E"/>
    <w:rsid w:val="00C361EA"/>
    <w:rsid w:val="00C45D09"/>
    <w:rsid w:val="00C55E7A"/>
    <w:rsid w:val="00C85A0D"/>
    <w:rsid w:val="00C93263"/>
    <w:rsid w:val="00CA42A9"/>
    <w:rsid w:val="00CD6E39"/>
    <w:rsid w:val="00CF6E91"/>
    <w:rsid w:val="00D072F8"/>
    <w:rsid w:val="00D105EB"/>
    <w:rsid w:val="00D254F4"/>
    <w:rsid w:val="00D277E3"/>
    <w:rsid w:val="00D66950"/>
    <w:rsid w:val="00D712C8"/>
    <w:rsid w:val="00D76C4C"/>
    <w:rsid w:val="00D85B68"/>
    <w:rsid w:val="00D912C7"/>
    <w:rsid w:val="00DA43CA"/>
    <w:rsid w:val="00DA4A0A"/>
    <w:rsid w:val="00DA6EA4"/>
    <w:rsid w:val="00DA6FFE"/>
    <w:rsid w:val="00DE6A53"/>
    <w:rsid w:val="00DF151F"/>
    <w:rsid w:val="00E07D46"/>
    <w:rsid w:val="00E13EF4"/>
    <w:rsid w:val="00E16242"/>
    <w:rsid w:val="00E26A22"/>
    <w:rsid w:val="00E3002C"/>
    <w:rsid w:val="00E416B4"/>
    <w:rsid w:val="00E448AE"/>
    <w:rsid w:val="00E44E39"/>
    <w:rsid w:val="00E4668C"/>
    <w:rsid w:val="00E512F2"/>
    <w:rsid w:val="00E55F16"/>
    <w:rsid w:val="00E6004D"/>
    <w:rsid w:val="00E633EB"/>
    <w:rsid w:val="00E67E55"/>
    <w:rsid w:val="00E8010A"/>
    <w:rsid w:val="00E80316"/>
    <w:rsid w:val="00E81978"/>
    <w:rsid w:val="00E85BE0"/>
    <w:rsid w:val="00E90299"/>
    <w:rsid w:val="00E94E11"/>
    <w:rsid w:val="00E97E6E"/>
    <w:rsid w:val="00EA3115"/>
    <w:rsid w:val="00EA4761"/>
    <w:rsid w:val="00EA4ABB"/>
    <w:rsid w:val="00EF373C"/>
    <w:rsid w:val="00F0657A"/>
    <w:rsid w:val="00F15F5E"/>
    <w:rsid w:val="00F24D0B"/>
    <w:rsid w:val="00F30448"/>
    <w:rsid w:val="00F379B7"/>
    <w:rsid w:val="00F525FA"/>
    <w:rsid w:val="00F67591"/>
    <w:rsid w:val="00F77967"/>
    <w:rsid w:val="00F80F09"/>
    <w:rsid w:val="00F81B74"/>
    <w:rsid w:val="00F95224"/>
    <w:rsid w:val="00F953E5"/>
    <w:rsid w:val="00FA3BCA"/>
    <w:rsid w:val="00FA73EF"/>
    <w:rsid w:val="00FB5CA2"/>
    <w:rsid w:val="00FD6064"/>
    <w:rsid w:val="00FE6058"/>
    <w:rsid w:val="00FE748B"/>
    <w:rsid w:val="00FF123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871619">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462746">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14622682">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firstnet.gov/newsroom/blog/city-alexandria-va-utilizes-firstnet-911-remote-call-taking-during-pandemi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www.netmotionsoftware.com/publicsafet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rcompanion.org/handbook/F_08.html" TargetMode="External"/><Relationship Id="rId35" Type="http://schemas.openxmlformats.org/officeDocument/2006/relationships/glossaryDocument" Target="glossary/document.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5441C"/>
    <w:rsid w:val="001B320C"/>
    <w:rsid w:val="00242813"/>
    <w:rsid w:val="00257876"/>
    <w:rsid w:val="00510C3F"/>
    <w:rsid w:val="005E3538"/>
    <w:rsid w:val="00662BBF"/>
    <w:rsid w:val="007A70D9"/>
    <w:rsid w:val="007E7B7E"/>
    <w:rsid w:val="00901942"/>
    <w:rsid w:val="009A1FFF"/>
    <w:rsid w:val="00C0565C"/>
    <w:rsid w:val="00C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94E59725C000412D8CE3487056C49697">
    <w:name w:val="94E59725C000412D8CE3487056C49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Kruskal-Wallis analysis of 911 data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C62D9890D7F74A955A66D2B555FA03" ma:contentTypeVersion="10" ma:contentTypeDescription="Create a new document." ma:contentTypeScope="" ma:versionID="f5e29d78b0a805ddfed94da802cdd0b3">
  <xsd:schema xmlns:xsd="http://www.w3.org/2001/XMLSchema" xmlns:xs="http://www.w3.org/2001/XMLSchema" xmlns:p="http://schemas.microsoft.com/office/2006/metadata/properties" xmlns:ns3="0cf36173-f47b-4953-8bbd-99836203b2a7" xmlns:ns4="cff105c6-6fea-4be1-954e-5280b76c407c" targetNamespace="http://schemas.microsoft.com/office/2006/metadata/properties" ma:root="true" ma:fieldsID="7742ab0e61e6dee45d5645542dcac061" ns3:_="" ns4:_="">
    <xsd:import namespace="0cf36173-f47b-4953-8bbd-99836203b2a7"/>
    <xsd:import namespace="cff105c6-6fea-4be1-954e-5280b76c40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36173-f47b-4953-8bbd-99836203b2a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f105c6-6fea-4be1-954e-5280b76c40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B6BCC-D67D-489F-95DC-9F7749E5E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36173-f47b-4953-8bbd-99836203b2a7"/>
    <ds:schemaRef ds:uri="cff105c6-6fea-4be1-954e-5280b76c4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A067-F28E-4F70-9389-64FBAA770038}">
  <ds:schemaRefs>
    <ds:schemaRef ds:uri="http://schemas.microsoft.com/sharepoint/v3/contenttype/forms"/>
  </ds:schemaRefs>
</ds:datastoreItem>
</file>

<file path=customXml/itemProps4.xml><?xml version="1.0" encoding="utf-8"?>
<ds:datastoreItem xmlns:ds="http://schemas.openxmlformats.org/officeDocument/2006/customXml" ds:itemID="{57093B0D-2A57-4B51-AF2C-4F7FB44A257C}">
  <ds:schemaRefs>
    <ds:schemaRef ds:uri="cff105c6-6fea-4be1-954e-5280b76c407c"/>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0cf36173-f47b-4953-8bbd-99836203b2a7"/>
    <ds:schemaRef ds:uri="http://purl.org/dc/terms/"/>
  </ds:schemaRefs>
</ds:datastoreItem>
</file>

<file path=customXml/itemProps5.xml><?xml version="1.0" encoding="utf-8"?>
<ds:datastoreItem xmlns:ds="http://schemas.openxmlformats.org/officeDocument/2006/customXml" ds:itemID="{8AF2588E-0D4D-446F-922A-7002F378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31</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2</cp:revision>
  <dcterms:created xsi:type="dcterms:W3CDTF">2021-06-01T17:38:00Z</dcterms:created>
  <dcterms:modified xsi:type="dcterms:W3CDTF">2021-06-01T17:38:00Z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0x010100D4C62D9890D7F74A955A66D2B555FA03</vt:lpwstr>
  </property>
</Properties>
</file>