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B008C9">
      <w:pPr>
        <w:pStyle w:val="Heading9Char"/>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Heading9Char"/>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Heading1Char"/>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Heading6Char"/>
          </w:pPr>
          <w:r>
            <w:t xml:space="preserve">[The abstract should be one paragraph of between 150 and 250 words.  It is not indented.  Section titles, such as the word </w:t>
          </w:r>
          <w:r>
            <w:rPr>
              <w:rStyle w:val="Header"/>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Header"/>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B008C9">
      <w:pPr>
        <w:pStyle w:val="Heading1Char"/>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B008C9">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pPr>
        <w:pStyle w:val="Heading6Char"/>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on an archive server in a database named Reporting_System and in one table; Response_Master_Incident.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Response_Date: the datetime stamp the software determines to be the start time for the </w:t>
      </w:r>
      <w:r w:rsidR="0064480E">
        <w:t>incident. Priority_Number: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MethodOfCallRcvd: the </w:t>
      </w:r>
      <w:r w:rsidR="003A0B52">
        <w:t xml:space="preserve">way the call for service was received by the </w:t>
      </w:r>
      <w:r w:rsidR="008B4787">
        <w:t>PSAP</w:t>
      </w:r>
      <w:r w:rsidR="003A0B52">
        <w:t>. Fixed_Time_PhonePickUp: the datetime stamp recording the moment the call was officially started per the CAD software. Fixed_Time_CallEnteredQueue: the datetime stamp recording the moment the call taker makes the call available for the radio dispatcher to assign</w:t>
      </w:r>
      <w:r w:rsidR="009573CE">
        <w:t xml:space="preserve"> responding units. Time_First_Unit_Assigned: the datetime stamp recording the moment the radio dispatcher assigned </w:t>
      </w:r>
      <w:r w:rsidR="008B4787">
        <w:t>the first unit to the service call</w:t>
      </w:r>
      <w:r w:rsidR="009573CE">
        <w:t xml:space="preserve">. Fixed_Time_CallTakingComplete: the datetime stamp recording the moment the call taker stops contact with the reporter and stops actively working the call for service. </w:t>
      </w:r>
    </w:p>
    <w:p w14:paraId="4281D866" w14:textId="1EF3FB21" w:rsidR="009573CE" w:rsidRDefault="00BA0002">
      <w:pPr>
        <w:pStyle w:val="Heading6Char"/>
      </w:pPr>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Response_Date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WeekNo: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QueueTime which is the time elapsed between the Fixed_Time_PhonePickUp and Fixed_Time_CallEnteredQueue.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Disp</w:t>
      </w:r>
      <w:r w:rsidR="00E8010A">
        <w:t>atch</w:t>
      </w:r>
      <w:r w:rsidR="00827208">
        <w:t xml:space="preserve">Time which is the time elapsed between the </w:t>
      </w:r>
      <w:r w:rsidR="00436F72">
        <w:t>Fixed_Time_CallEnteredQueue and Time_First_Unit_Assigne</w:t>
      </w:r>
      <w:r w:rsidR="006F74EE">
        <w:t>d</w:t>
      </w:r>
      <w:r w:rsidR="00436F72">
        <w:t>.</w:t>
      </w:r>
      <w:r w:rsidR="00E8010A">
        <w:t xml:space="preserve"> The third is Process time which is the elapsed time between the Fixed_Time_PhonePickUp and the Time_First_Unit_Assigned.</w:t>
      </w:r>
      <w:r w:rsidR="00436F72">
        <w:t xml:space="preserve"> This is the time the radio dispatcher uses to find the appropriate unit(s) and commit the assignment. The </w:t>
      </w:r>
      <w:r w:rsidR="00EA4761">
        <w:t>third</w:t>
      </w:r>
      <w:r w:rsidR="00436F72">
        <w:t xml:space="preserve"> column is </w:t>
      </w:r>
      <w:r w:rsidR="00E8010A">
        <w:t>Call</w:t>
      </w:r>
      <w:r w:rsidR="00436F72">
        <w:t xml:space="preserve">Time which is the time elapsed between the Fixed_Time_PhonePickUp and Fixed_Time_CallTakingComplete. This is the time the call taker </w:t>
      </w:r>
      <w:r w:rsidR="006F334D">
        <w:t xml:space="preserve">uses to process the call from pickup to release. </w:t>
      </w:r>
      <w:r w:rsidR="00EA4761">
        <w:t>The final additional computed column is ProcessTime which is the time elapsed, in seconds, between the time the phone was picked up and the time the first unit was assigned to the call. While this should be an aggregate of QueueTime and DispatchTime, this can vary in the measures of central tendency slightly from a simple addition of the QueueTime and DispatchTime columns.</w:t>
      </w:r>
    </w:p>
    <w:p w14:paraId="46C913FD" w14:textId="5F613B48" w:rsidR="00EA4ABB" w:rsidRDefault="00D66950">
      <w:pPr>
        <w:pStyle w:val="Heading6Char"/>
      </w:pPr>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Heading6Char"/>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MethodOfCallRcvd;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problem types, then we use the ClockStartTime as the start of the service call. If there is no entry in the Fixed_Time_PhonePickup column, then we use the Time_PhonePickup field</w:t>
      </w:r>
      <w:r w:rsidR="005A0AE5">
        <w:t xml:space="preserve">. Otherwise, we will use the Fixed_Time_PhonePickup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readr package was loaded and its read_csv function was used instead. </w:t>
      </w:r>
      <w:r w:rsidR="004A5630">
        <w:t xml:space="preserve">The advantage to using that specific function is that the datetime columns are properly imported as POSIXct fields. This allows for easier creation of the computed columns discussed above. The character columns are converted into </w:t>
      </w:r>
      <w:r w:rsidR="00FD6064">
        <w:t xml:space="preserve">factors using the as.factor function for better univariate analysis. </w:t>
      </w:r>
      <w:r w:rsidR="00F77967">
        <w:t xml:space="preserve">The computed columns are created via subtracting the values of the correct originating columns and the difference converted to a numeric value through the as.numeric function. Now the data frame is a tibble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Matloff, </w:t>
      </w:r>
      <w:r w:rsidR="00F953E5" w:rsidRPr="00F953E5">
        <w:rPr>
          <w:rFonts w:eastAsia="Times New Roman" w:cstheme="minorHAnsi"/>
        </w:rPr>
        <w:t>“</w:t>
      </w:r>
      <w:r w:rsidR="00F953E5" w:rsidRPr="00F953E5">
        <w:rPr>
          <w:rFonts w:cstheme="minorHAnsi"/>
          <w:color w:val="24292E"/>
          <w:shd w:val="clear" w:color="auto" w:fill="FFFFFF"/>
        </w:rPr>
        <w:t>R is written </w:t>
      </w:r>
      <w:r w:rsidR="00F953E5" w:rsidRPr="00F953E5">
        <w:rPr>
          <w:rStyle w:val="Header"/>
          <w:rFonts w:cstheme="minorHAnsi"/>
          <w:color w:val="24292E"/>
          <w:shd w:val="clear" w:color="auto" w:fill="FFFFFF"/>
        </w:rPr>
        <w:t>by</w:t>
      </w:r>
      <w:r w:rsidR="00F953E5" w:rsidRPr="00F953E5">
        <w:rPr>
          <w:rFonts w:cstheme="minorHAnsi"/>
          <w:color w:val="24292E"/>
          <w:shd w:val="clear" w:color="auto" w:fill="FFFFFF"/>
        </w:rPr>
        <w:t> statisticians, </w:t>
      </w:r>
      <w:r w:rsidR="00F953E5" w:rsidRPr="00F953E5">
        <w:rPr>
          <w:rStyle w:val="Header"/>
          <w:rFonts w:cstheme="minorHAnsi"/>
          <w:color w:val="24292E"/>
          <w:shd w:val="clear" w:color="auto" w:fill="FFFFFF"/>
        </w:rPr>
        <w:t>for</w:t>
      </w:r>
      <w:r w:rsidR="00F953E5" w:rsidRPr="00F953E5">
        <w:rPr>
          <w:rFonts w:cstheme="minorHAnsi"/>
          <w:color w:val="24292E"/>
          <w:shd w:val="clear" w:color="auto" w:fill="FFFFFF"/>
        </w:rPr>
        <w:t> statisticians,”</w:t>
      </w:r>
      <w:r w:rsidR="00F953E5" w:rsidRPr="00F953E5">
        <w:rPr>
          <w:rFonts w:eastAsia="Times New Roman" w:cstheme="minorHAnsi"/>
        </w:rPr>
        <w:t xml:space="preserve"> giving it an advantage over Python for detailed statistical analysis (Matloff,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r w:rsidRPr="004C7AEC">
              <w:rPr>
                <w:b w:val="0"/>
                <w:bCs w:val="0"/>
              </w:rPr>
              <w:t>QueueTime</w:t>
            </w:r>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r w:rsidRPr="004C7AEC">
              <w:rPr>
                <w:b w:val="0"/>
                <w:bCs w:val="0"/>
              </w:rPr>
              <w:t>DispatchTime</w:t>
            </w:r>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r w:rsidRPr="004C7AEC">
              <w:rPr>
                <w:b w:val="0"/>
                <w:bCs w:val="0"/>
              </w:rPr>
              <w:t>CallTime</w:t>
            </w:r>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r w:rsidRPr="004C7AEC">
              <w:rPr>
                <w:b w:val="0"/>
                <w:bCs w:val="0"/>
              </w:rPr>
              <w:t>ProcessTime</w:t>
            </w:r>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r>
              <w:t>QueueTime</w:t>
            </w:r>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r>
              <w:t>DispatchTime</w:t>
            </w:r>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r>
              <w:t>CallTime</w:t>
            </w:r>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r>
              <w:lastRenderedPageBreak/>
              <w:t>ProcessTime</w:t>
            </w:r>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Per Profession Salvatore Mangiafico of Rutgers University, as long as the distributions of each group is of similar shape and spread, the Kruskal-Wallis test can be used on the medians to see if there is a significant difference in the population medians Mangiafico (2016). An example of the measure of the distributions, the density plot of the QueueTime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data:  QueueTime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rstatix package using the kruskal_effsize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A tibble: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.y.            n effsize method  magnitude</w:t>
      </w:r>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&lt;chr&gt;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&lt;dbl&gt;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&lt;chr&gt;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&lt;ord&gt;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QueueTime </w:t>
      </w:r>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kruskal_effsize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r>
        <w:t>DispatchTime</w:t>
      </w:r>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QueueTime,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data:  DispatchTime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A tibble: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.y.            n effsize method  magnitude</w:t>
      </w:r>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&lt;chr&gt;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&lt;dbl&gt;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&lt;chr&gt;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&lt;ord&gt;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QueueTime </w:t>
      </w:r>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QueueTime, the magnitude of the difference of the means is small. </w:t>
      </w:r>
    </w:p>
    <w:p w14:paraId="28B77C16" w14:textId="0C444974" w:rsidR="006D3E63" w:rsidRDefault="006D3E63" w:rsidP="00DA4A0A">
      <w:pPr>
        <w:ind w:firstLine="0"/>
      </w:pPr>
      <w:r>
        <w:t>CallTime:</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data:  CallTime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A tibble: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.y.           n effsize method  magnitude</w:t>
      </w:r>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&lt;chr&gt;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&lt;dbl&gt;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&lt;chr&gt;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&lt;ord&gt;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CallTime </w:t>
      </w:r>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ProcessTime,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DispatchTime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data:  ProcessTime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A tibble: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.y.              n effsize method  magnitude</w:t>
      </w:r>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&lt;chr&gt;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&lt;dbl&gt;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&lt;chr&gt;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&lt;ord&gt;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ProcessTime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Mangiafico, (Baharom, Nuawi, Priyandoko, &amp; Mangiafico,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EFCA1CC"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0D6C31">
        <w:t>The tables below show the comparative medians of weeks between the two years</w:t>
      </w:r>
      <w:r w:rsidR="00B008C9">
        <w:t>, the difference between the weeks in the two years, and the percentage change of 2020 over 2019</w:t>
      </w:r>
      <w:r w:rsidR="000D6C31">
        <w:t xml:space="preserve">. </w:t>
      </w:r>
      <w:r w:rsidR="004C02D0">
        <w:t>In all four of the continuous variables there is a noticeable jump of the medians at week 1</w:t>
      </w:r>
      <w:r w:rsidR="00B008C9">
        <w:t>2</w:t>
      </w:r>
      <w:r w:rsidR="004C02D0">
        <w:t xml:space="preserve">. The increase in the differences between the </w:t>
      </w:r>
      <w:r w:rsidR="00AA06E2">
        <w:t xml:space="preserve">medians starts to become more pronounced after that week and remains elevated for the remainder of 2020. </w:t>
      </w:r>
      <w:r w:rsidR="000D6C31">
        <w:t>Using the Scheirer-Ray-Hare extension of the Kruskal-Wallis test, we can see if the media</w:t>
      </w:r>
      <w:r w:rsidR="00B008C9">
        <w:t>n</w:t>
      </w:r>
      <w:r w:rsidR="000D6C31">
        <w:t xml:space="preserve">s of the weeks </w:t>
      </w:r>
      <w:r w:rsidR="005E6D05">
        <w:t>come from statistically different populations in different years. The output of these tests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QueueTime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p.value</w:t>
      </w:r>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Year_f:Week_No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DispatchTime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p.value</w:t>
      </w:r>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Year_f:Week_No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CallTime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p.value</w:t>
      </w:r>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Year_f:Week_No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ProcessTime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p.value</w:t>
      </w:r>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1.6704e+12  896.69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Year_f:Week_No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7CFED591" w:rsidR="00E94E11" w:rsidRDefault="00E94E11" w:rsidP="00DA4A0A">
      <w:pPr>
        <w:ind w:firstLine="0"/>
      </w:pPr>
      <w:r>
        <w:lastRenderedPageBreak/>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The results of the Dunn tests are in the Tables section of the document below.  </w:t>
      </w:r>
    </w:p>
    <w:p w14:paraId="393A9348" w14:textId="77777777" w:rsidR="00E94E11" w:rsidRPr="00DA4A0A" w:rsidRDefault="00E94E11" w:rsidP="00DA4A0A">
      <w:pPr>
        <w:ind w:firstLine="0"/>
      </w:pPr>
    </w:p>
    <w:p w14:paraId="1C10D59B" w14:textId="06B036CF" w:rsidR="00355DCA" w:rsidRPr="00AB73F3" w:rsidRDefault="00DE6A53" w:rsidP="00C31D30">
      <w:pPr>
        <w:pStyle w:val="Heading5"/>
        <w:rPr>
          <w:b/>
          <w:bCs/>
          <w:i w:val="0"/>
          <w:iCs w:val="0"/>
        </w:rPr>
      </w:pPr>
      <w:r>
        <w:rPr>
          <w:b/>
          <w:bCs/>
          <w:i w:val="0"/>
          <w:iCs w:val="0"/>
        </w:rPr>
        <w:t>Summary and Implications</w:t>
      </w:r>
    </w:p>
    <w:p w14:paraId="4CDF51B5" w14:textId="77777777" w:rsidR="00E81978" w:rsidRDefault="00B008C9">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TitleChar"/>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lastRenderedPageBreak/>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r w:rsidRPr="004A1541">
                <w:rPr>
                  <w:rFonts w:ascii="Times New Roman" w:eastAsia="Times New Roman" w:hAnsi="Times New Roman" w:cs="Times New Roman"/>
                </w:rPr>
                <w:t xml:space="preserve">Matloff,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r w:rsidRPr="00A86A3C">
                <w:rPr>
                  <w:rFonts w:ascii="Times New Roman" w:eastAsia="Times New Roman" w:hAnsi="Times New Roman" w:cs="Times New Roman"/>
                  <w:kern w:val="0"/>
                  <w:lang w:eastAsia="en-US"/>
                </w:rPr>
                <w:t xml:space="preserve">Mangiafico,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r w:rsidRPr="00E633EB">
                <w:rPr>
                  <w:rFonts w:ascii="Times New Roman" w:eastAsia="Times New Roman" w:hAnsi="Times New Roman" w:cs="Times New Roman"/>
                  <w:kern w:val="0"/>
                  <w:lang w:eastAsia="en-US"/>
                </w:rPr>
                <w:t>Baharom, M. Z., Nuawi, M. Z., Priyandoko, G., &amp; Mangiafico, S. S. (2020, December 5). Parameter Analysis of Electromagnetic Braking Using Fully Nested and Two Way ANOVA. Retrieved May 12, 2021, from 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B008C9" w:rsidP="00E44E39"/>
          </w:sdtContent>
        </w:sdt>
      </w:sdtContent>
    </w:sdt>
    <w:p w14:paraId="28620570" w14:textId="3238A99E" w:rsidR="00E81978" w:rsidRDefault="00E81978" w:rsidP="00E44E39">
      <w:pPr>
        <w:pStyle w:val="TitleCha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Heading1Char"/>
          </w:pPr>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w:t>
          </w:r>
          <w:r>
            <w:lastRenderedPageBreak/>
            <w:t xml:space="preserve">reference, select the number and then, on the Home tab, in the Styles gallery, click Footnote Reference.  The body of a footnote, such as this example, uses the Normal text style.  </w:t>
          </w:r>
          <w:r>
            <w:rPr>
              <w:rStyle w:val="Header"/>
            </w:rPr>
            <w:t>(Note:  If you delete this sample footnote, don’t forget to delete its in-text reference as well.  That’s at the end of the sample Heading 2 paragraph on the first page of body content in this template.)</w:t>
          </w:r>
          <w:r>
            <w:t>]</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lastRenderedPageBreak/>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lastRenderedPageBreak/>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lastRenderedPageBreak/>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lastRenderedPageBreak/>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lastRenderedPageBreak/>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77777777" w:rsidR="004326DD" w:rsidRDefault="004326DD" w:rsidP="004326DD"/>
    <w:p w14:paraId="008CF8FE" w14:textId="4956D0BB" w:rsidR="00386EE9" w:rsidRDefault="00386EE9">
      <w:pPr>
        <w:pStyle w:val="Heading1Char"/>
      </w:pPr>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Heading1Char"/>
          </w:pPr>
          <w:r w:rsidRPr="005D3A03">
            <w:t>Figures title:</w:t>
          </w:r>
        </w:p>
      </w:sdtContent>
    </w:sdt>
    <w:p w14:paraId="437A6485" w14:textId="77777777" w:rsidR="00E81978" w:rsidRDefault="005D3A03">
      <w:pPr>
        <w:pStyle w:val="Heading6Char"/>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6F25BF" w14:textId="77777777" w:rsidR="00E81978" w:rsidRDefault="005D3A03">
      <w:pPr>
        <w:pStyle w:val="TableFigure"/>
      </w:pPr>
      <w:r>
        <w:rPr>
          <w:rStyle w:val="Header"/>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lastRenderedPageBreak/>
        <w:t xml:space="preserve">For more information about all elements of APA formatting, please consult the </w:t>
      </w:r>
      <w:r>
        <w:rPr>
          <w:rStyle w:val="Header"/>
        </w:rPr>
        <w:t>APA Style Manual, 6th Edition</w:t>
      </w:r>
      <w:r>
        <w:t>.</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B008C9">
    <w:pPr>
      <w:pStyle w:val="Heading2Char"/>
    </w:pPr>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Kruskal-wallis anaysis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pStyle w:val="Heading2Cha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Kruskal-wallis anaysis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3072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A19E6"/>
    <w:rsid w:val="000A1DC5"/>
    <w:rsid w:val="000B349D"/>
    <w:rsid w:val="000C22C1"/>
    <w:rsid w:val="000D3F41"/>
    <w:rsid w:val="000D482C"/>
    <w:rsid w:val="000D6C31"/>
    <w:rsid w:val="000E4C62"/>
    <w:rsid w:val="000E6B52"/>
    <w:rsid w:val="00110F39"/>
    <w:rsid w:val="00111538"/>
    <w:rsid w:val="00157C4F"/>
    <w:rsid w:val="00162523"/>
    <w:rsid w:val="00180AD2"/>
    <w:rsid w:val="001A130B"/>
    <w:rsid w:val="001A6506"/>
    <w:rsid w:val="001D3BF5"/>
    <w:rsid w:val="002722C2"/>
    <w:rsid w:val="00286464"/>
    <w:rsid w:val="002B58DA"/>
    <w:rsid w:val="002E1C8D"/>
    <w:rsid w:val="002F5F3C"/>
    <w:rsid w:val="00322326"/>
    <w:rsid w:val="00326813"/>
    <w:rsid w:val="00355DCA"/>
    <w:rsid w:val="0036435E"/>
    <w:rsid w:val="00377E40"/>
    <w:rsid w:val="0038191D"/>
    <w:rsid w:val="00386EE9"/>
    <w:rsid w:val="0038732D"/>
    <w:rsid w:val="003A0B52"/>
    <w:rsid w:val="003D4FC3"/>
    <w:rsid w:val="003D50F6"/>
    <w:rsid w:val="003E406B"/>
    <w:rsid w:val="003F7333"/>
    <w:rsid w:val="004326DD"/>
    <w:rsid w:val="00436F72"/>
    <w:rsid w:val="00444B8E"/>
    <w:rsid w:val="00464E3A"/>
    <w:rsid w:val="00466576"/>
    <w:rsid w:val="004A5630"/>
    <w:rsid w:val="004C02D0"/>
    <w:rsid w:val="004C7AEC"/>
    <w:rsid w:val="004D179E"/>
    <w:rsid w:val="004F1DC4"/>
    <w:rsid w:val="004F663A"/>
    <w:rsid w:val="00500E6A"/>
    <w:rsid w:val="00523746"/>
    <w:rsid w:val="00534F08"/>
    <w:rsid w:val="00543BBA"/>
    <w:rsid w:val="00547500"/>
    <w:rsid w:val="00551A02"/>
    <w:rsid w:val="005534FA"/>
    <w:rsid w:val="005A0AE5"/>
    <w:rsid w:val="005C321C"/>
    <w:rsid w:val="005D3A03"/>
    <w:rsid w:val="005E6D05"/>
    <w:rsid w:val="005F6753"/>
    <w:rsid w:val="00602E80"/>
    <w:rsid w:val="00615B0F"/>
    <w:rsid w:val="006309B1"/>
    <w:rsid w:val="0064480E"/>
    <w:rsid w:val="006761BA"/>
    <w:rsid w:val="006B5312"/>
    <w:rsid w:val="006D3ACD"/>
    <w:rsid w:val="006D3E63"/>
    <w:rsid w:val="006F334D"/>
    <w:rsid w:val="006F74EE"/>
    <w:rsid w:val="00700C1B"/>
    <w:rsid w:val="0074563F"/>
    <w:rsid w:val="007808DD"/>
    <w:rsid w:val="007C3380"/>
    <w:rsid w:val="007D5168"/>
    <w:rsid w:val="007F5F51"/>
    <w:rsid w:val="008002C0"/>
    <w:rsid w:val="00801E95"/>
    <w:rsid w:val="00827208"/>
    <w:rsid w:val="00836817"/>
    <w:rsid w:val="008B364B"/>
    <w:rsid w:val="008B4787"/>
    <w:rsid w:val="008C1AC8"/>
    <w:rsid w:val="008C2F82"/>
    <w:rsid w:val="008C5323"/>
    <w:rsid w:val="008E16E3"/>
    <w:rsid w:val="008E2C4A"/>
    <w:rsid w:val="00901E01"/>
    <w:rsid w:val="009573CE"/>
    <w:rsid w:val="00961F2A"/>
    <w:rsid w:val="009865B5"/>
    <w:rsid w:val="009A6A3B"/>
    <w:rsid w:val="009C10CF"/>
    <w:rsid w:val="009C640D"/>
    <w:rsid w:val="009D0772"/>
    <w:rsid w:val="009D5476"/>
    <w:rsid w:val="009D6B6E"/>
    <w:rsid w:val="009D7155"/>
    <w:rsid w:val="009E7F80"/>
    <w:rsid w:val="00A40104"/>
    <w:rsid w:val="00A4203F"/>
    <w:rsid w:val="00A431A8"/>
    <w:rsid w:val="00A72D7D"/>
    <w:rsid w:val="00A7369E"/>
    <w:rsid w:val="00A73A7F"/>
    <w:rsid w:val="00A77383"/>
    <w:rsid w:val="00A86A3C"/>
    <w:rsid w:val="00AA06E2"/>
    <w:rsid w:val="00AB73F3"/>
    <w:rsid w:val="00AC0AAA"/>
    <w:rsid w:val="00AD1798"/>
    <w:rsid w:val="00AE4DAB"/>
    <w:rsid w:val="00B008C9"/>
    <w:rsid w:val="00B132A5"/>
    <w:rsid w:val="00B31C05"/>
    <w:rsid w:val="00B446D8"/>
    <w:rsid w:val="00B53340"/>
    <w:rsid w:val="00B5375A"/>
    <w:rsid w:val="00B70983"/>
    <w:rsid w:val="00B823AA"/>
    <w:rsid w:val="00B868AA"/>
    <w:rsid w:val="00BA0002"/>
    <w:rsid w:val="00BA45DB"/>
    <w:rsid w:val="00BD79B2"/>
    <w:rsid w:val="00BF4184"/>
    <w:rsid w:val="00C0601E"/>
    <w:rsid w:val="00C160E3"/>
    <w:rsid w:val="00C31D30"/>
    <w:rsid w:val="00C3401E"/>
    <w:rsid w:val="00C45D09"/>
    <w:rsid w:val="00C93263"/>
    <w:rsid w:val="00CA42A9"/>
    <w:rsid w:val="00CD6E39"/>
    <w:rsid w:val="00CF6E91"/>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6004D"/>
    <w:rsid w:val="00E633EB"/>
    <w:rsid w:val="00E67E55"/>
    <w:rsid w:val="00E8010A"/>
    <w:rsid w:val="00E80316"/>
    <w:rsid w:val="00E81978"/>
    <w:rsid w:val="00E90299"/>
    <w:rsid w:val="00E94E11"/>
    <w:rsid w:val="00E97E6E"/>
    <w:rsid w:val="00EA4761"/>
    <w:rsid w:val="00EA4ABB"/>
    <w:rsid w:val="00EF373C"/>
    <w:rsid w:val="00F15F5E"/>
    <w:rsid w:val="00F24D0B"/>
    <w:rsid w:val="00F379B7"/>
    <w:rsid w:val="00F525FA"/>
    <w:rsid w:val="00F77967"/>
    <w:rsid w:val="00F81B74"/>
    <w:rsid w:val="00F953E5"/>
    <w:rsid w:val="00FA3BCA"/>
    <w:rsid w:val="00FD606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14068</TotalTime>
  <Pages>28</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38</cp:revision>
  <dcterms:created xsi:type="dcterms:W3CDTF">2021-04-14T21:46:00Z</dcterms:created>
  <dcterms:modified xsi:type="dcterms:W3CDTF">2021-05-18T03:06:00Z</dcterms:modified>
</cp:coreProperties>
</file>