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1"/>
            <w:shd w:val="clear" w:color="auto" w:fill="1F3864"/>
          </w:tcPr>
          <w:p>
            <w:r>
              <w:br/>
            </w:r>
          </w:p>
          <w:p>
            <w:pPr>
              <w:jc w:val="center"/>
            </w:pPr>
            <w:r>
              <w:rPr>
                <w:rFonts w:ascii="Calibri Light" w:hAnsi="Calibri Light"/>
                <w:b/>
                <w:color w:val="FFFFFF"/>
                <w:sz w:val="72"/>
              </w:rPr>
              <w:t>WASH SURVEY REPORT</w:t>
            </w:r>
          </w:p>
          <w:p>
            <w:pPr>
              <w:jc w:val="center"/>
            </w:pPr>
            <w:r>
              <w:rPr>
                <w:rFonts w:ascii="Calibri Light" w:hAnsi="Calibri Light"/>
                <w:i/>
                <w:color w:val="00B0B9"/>
                <w:sz w:val="36"/>
              </w:rPr>
              <w:t>Water, Sanitation &amp; Hygiene - Cote d'Ivoire</w:t>
            </w:r>
          </w:p>
          <w:p>
            <w:pPr>
              <w:jc w:val="center"/>
            </w:pPr>
            <w:r>
              <w:rPr>
                <w:color w:val="00B0B9"/>
                <w:sz w:val="24"/>
              </w:rPr>
              <w:t>________________________________________</w:t>
            </w:r>
          </w:p>
          <w:p>
            <w:pPr>
              <w:jc w:val="center"/>
            </w:pPr>
            <w:r>
              <w:rPr>
                <w:rFonts w:ascii="Calibri" w:hAnsi="Calibri"/>
                <w:color w:val="C8D7E6"/>
                <w:sz w:val="22"/>
              </w:rPr>
              <w:t>Goh &amp; Loh Djiboua Regions  |  January-February 2026  |  N = 1,000 households</w:t>
            </w:r>
          </w:p>
          <w:p>
            <w:r>
              <w:br/>
              <w:br/>
            </w:r>
          </w:p>
          <w:p>
            <w:pPr>
              <w:jc w:val="center"/>
            </w:pPr>
            <w:r>
              <w:rPr>
                <w:rFonts w:ascii="Calibri" w:hAnsi="Calibri"/>
                <w:color w:val="B4C8DC"/>
                <w:sz w:val="20"/>
              </w:rPr>
              <w:t>1,000 households  |  166 variables  |  2 departments  |  8 sub-prefectures</w:t>
            </w:r>
          </w:p>
          <w:p>
            <w:r>
              <w:br/>
            </w:r>
          </w:p>
        </w:tc>
      </w:tr>
    </w:tbl>
    <w:p/>
    <w:p>
      <w:r>
        <w:br w:type="page"/>
      </w:r>
    </w:p>
    <w:p>
      <w:pPr>
        <w:pStyle w:val="WASH_H1"/>
      </w:pPr>
      <w:r>
        <w:t>Section 1 - Executive Summary</w:t>
      </w:r>
    </w:p>
    <w:p>
      <w:pPr>
        <w:pStyle w:val="WASH_Body"/>
      </w:pPr>
      <w:r>
        <w:rPr>
          <w:b w:val="0"/>
          <w:i w:val="0"/>
        </w:rPr>
        <w:t>This WASH survey was conducted among 1,000 households distributed across the departments of Goh (570) and Loh Djiboua (430) in Cote d'Ivoire, covering 8 sub-prefectures between January and February 2026. The data collected covers 166 indicators on water, sanitation, waste management, atmospheric pollution and natural resources availability.</w:t>
      </w:r>
    </w:p>
    <w:p>
      <w:pPr>
        <w:pStyle w:val="WASH_H2"/>
      </w:pPr>
      <w:r>
        <w:t>1.1 Key Performance Indicators (KPIs)</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0054A6"/>
          </w:tcPr>
          <w:p>
            <w:pPr>
              <w:jc w:val="center"/>
            </w:pPr>
            <w:r>
              <w:rPr>
                <w:rFonts w:ascii="Calibri Light" w:hAnsi="Calibri Light"/>
                <w:b/>
                <w:color w:val="FFFFFF"/>
                <w:sz w:val="40"/>
              </w:rPr>
              <w:t>1,000</w:t>
            </w:r>
          </w:p>
        </w:tc>
        <w:tc>
          <w:tcPr>
            <w:tcW w:type="dxa" w:w="3024"/>
            <w:shd w:val="clear" w:color="auto" w:fill="C00000"/>
          </w:tcPr>
          <w:p>
            <w:pPr>
              <w:jc w:val="center"/>
            </w:pPr>
            <w:r>
              <w:rPr>
                <w:rFonts w:ascii="Calibri Light" w:hAnsi="Calibri Light"/>
                <w:b/>
                <w:color w:val="FFFFFF"/>
                <w:sz w:val="40"/>
              </w:rPr>
              <w:t>40%</w:t>
            </w:r>
          </w:p>
        </w:tc>
        <w:tc>
          <w:tcPr>
            <w:tcW w:type="dxa" w:w="3024"/>
            <w:shd w:val="clear" w:color="auto" w:fill="ED7D31"/>
          </w:tcPr>
          <w:p>
            <w:pPr>
              <w:jc w:val="center"/>
            </w:pPr>
            <w:r>
              <w:rPr>
                <w:rFonts w:ascii="Calibri Light" w:hAnsi="Calibri Light"/>
                <w:b/>
                <w:color w:val="FFFFFF"/>
                <w:sz w:val="40"/>
              </w:rPr>
              <w:t>70.9%</w:t>
            </w:r>
          </w:p>
        </w:tc>
      </w:tr>
      <w:tr>
        <w:tc>
          <w:tcPr>
            <w:tcW w:type="dxa" w:w="3024"/>
            <w:shd w:val="clear" w:color="auto" w:fill="F5F6FA"/>
          </w:tcPr>
          <w:p>
            <w:pPr>
              <w:jc w:val="center"/>
            </w:pPr>
            <w:r>
              <w:rPr>
                <w:rFonts w:ascii="Calibri" w:hAnsi="Calibri"/>
                <w:b/>
                <w:sz w:val="18"/>
              </w:rPr>
              <w:t>Households surveyed</w:t>
            </w:r>
            <w:r>
              <w:rPr>
                <w:sz w:val="16"/>
              </w:rPr>
              <w:br/>
              <w:t>Jan (358) + Feb (642)</w:t>
            </w:r>
          </w:p>
        </w:tc>
        <w:tc>
          <w:tcPr>
            <w:tcW w:type="dxa" w:w="3024"/>
            <w:shd w:val="clear" w:color="auto" w:fill="F5F6FA"/>
          </w:tcPr>
          <w:p>
            <w:pPr>
              <w:jc w:val="center"/>
            </w:pPr>
            <w:r>
              <w:rPr>
                <w:rFonts w:ascii="Calibri" w:hAnsi="Calibri"/>
                <w:b/>
                <w:sz w:val="18"/>
              </w:rPr>
              <w:t>Poor water quality</w:t>
            </w:r>
            <w:r>
              <w:rPr>
                <w:sz w:val="16"/>
              </w:rPr>
              <w:br/>
              <w:t>400 households</w:t>
            </w:r>
          </w:p>
        </w:tc>
        <w:tc>
          <w:tcPr>
            <w:tcW w:type="dxa" w:w="3024"/>
            <w:shd w:val="clear" w:color="auto" w:fill="F5F6FA"/>
          </w:tcPr>
          <w:p>
            <w:pPr>
              <w:jc w:val="center"/>
            </w:pPr>
            <w:r>
              <w:rPr>
                <w:rFonts w:ascii="Calibri" w:hAnsi="Calibri"/>
                <w:b/>
                <w:sz w:val="18"/>
              </w:rPr>
              <w:t>Untreated water</w:t>
            </w:r>
            <w:r>
              <w:rPr>
                <w:sz w:val="16"/>
              </w:rPr>
              <w:br/>
              <w:t>709 households</w:t>
            </w:r>
          </w:p>
        </w:tc>
      </w:tr>
      <w:tr>
        <w:tc>
          <w:tcPr>
            <w:tcW w:type="dxa" w:w="3024"/>
            <w:shd w:val="clear" w:color="auto" w:fill="FFC000"/>
          </w:tcPr>
          <w:p>
            <w:pPr>
              <w:jc w:val="center"/>
            </w:pPr>
            <w:r>
              <w:rPr>
                <w:rFonts w:ascii="Calibri Light" w:hAnsi="Calibri Light"/>
                <w:b/>
                <w:color w:val="FFFFFF"/>
                <w:sz w:val="40"/>
              </w:rPr>
              <w:t>33.6%</w:t>
            </w:r>
          </w:p>
        </w:tc>
        <w:tc>
          <w:tcPr>
            <w:tcW w:type="dxa" w:w="3024"/>
            <w:shd w:val="clear" w:color="auto" w:fill="00B0B9"/>
          </w:tcPr>
          <w:p>
            <w:pPr>
              <w:jc w:val="center"/>
            </w:pPr>
            <w:r>
              <w:rPr>
                <w:rFonts w:ascii="Calibri Light" w:hAnsi="Calibri Light"/>
                <w:b/>
                <w:color w:val="FFFFFF"/>
                <w:sz w:val="40"/>
              </w:rPr>
              <w:t>49.4%</w:t>
            </w:r>
          </w:p>
        </w:tc>
        <w:tc>
          <w:tcPr>
            <w:tcW w:type="dxa" w:w="3024"/>
            <w:shd w:val="clear" w:color="auto" w:fill="70AD47"/>
          </w:tcPr>
          <w:p>
            <w:pPr>
              <w:jc w:val="center"/>
            </w:pPr>
            <w:r>
              <w:rPr>
                <w:rFonts w:ascii="Calibri Light" w:hAnsi="Calibri Light"/>
                <w:b/>
                <w:color w:val="FFFFFF"/>
                <w:sz w:val="40"/>
              </w:rPr>
              <w:t>58%</w:t>
            </w:r>
          </w:p>
        </w:tc>
      </w:tr>
      <w:tr>
        <w:tc>
          <w:tcPr>
            <w:tcW w:type="dxa" w:w="3024"/>
            <w:shd w:val="clear" w:color="auto" w:fill="F5F6FA"/>
          </w:tcPr>
          <w:p>
            <w:pPr>
              <w:jc w:val="center"/>
            </w:pPr>
            <w:r>
              <w:rPr>
                <w:rFonts w:ascii="Calibri" w:hAnsi="Calibri"/>
                <w:b/>
                <w:sz w:val="18"/>
              </w:rPr>
              <w:t>No latrine</w:t>
            </w:r>
            <w:r>
              <w:rPr>
                <w:sz w:val="16"/>
              </w:rPr>
              <w:br/>
              <w:t>336 households</w:t>
            </w:r>
          </w:p>
        </w:tc>
        <w:tc>
          <w:tcPr>
            <w:tcW w:type="dxa" w:w="3024"/>
            <w:shd w:val="clear" w:color="auto" w:fill="F5F6FA"/>
          </w:tcPr>
          <w:p>
            <w:pPr>
              <w:jc w:val="center"/>
            </w:pPr>
            <w:r>
              <w:rPr>
                <w:rFonts w:ascii="Calibri" w:hAnsi="Calibri"/>
                <w:b/>
                <w:sz w:val="18"/>
              </w:rPr>
              <w:t>Atmospheric pollution</w:t>
            </w:r>
            <w:r>
              <w:rPr>
                <w:sz w:val="16"/>
              </w:rPr>
              <w:br/>
              <w:t>494 reports</w:t>
            </w:r>
          </w:p>
        </w:tc>
        <w:tc>
          <w:tcPr>
            <w:tcW w:type="dxa" w:w="3024"/>
            <w:shd w:val="clear" w:color="auto" w:fill="F5F6FA"/>
          </w:tcPr>
          <w:p>
            <w:pPr>
              <w:jc w:val="center"/>
            </w:pPr>
            <w:r>
              <w:rPr>
                <w:rFonts w:ascii="Calibri" w:hAnsi="Calibri"/>
                <w:b/>
                <w:sz w:val="18"/>
              </w:rPr>
              <w:t>Sufficient water</w:t>
            </w:r>
            <w:r>
              <w:rPr>
                <w:sz w:val="16"/>
              </w:rPr>
              <w:br/>
              <w:t>580 satisfied households</w:t>
            </w:r>
          </w:p>
        </w:tc>
      </w:tr>
    </w:tbl>
    <w:p/>
    <w:p>
      <w:pPr>
        <w:pStyle w:val="WASH_H2"/>
      </w:pPr>
      <w:r>
        <w:t>1.2 Key Alerts</w:t>
      </w:r>
    </w:p>
    <w:p>
      <w:pPr>
        <w:pStyle w:val="WASH_Bullet"/>
      </w:pPr>
      <w:r>
        <w:rPr>
          <w:b/>
          <w:color w:val="0054A6"/>
          <w:sz w:val="20"/>
        </w:rPr>
        <w:t xml:space="preserve">&gt;&gt; CRITICAL ALERT - Water Quality: </w:t>
      </w:r>
      <w:r>
        <w:rPr>
          <w:sz w:val="20"/>
        </w:rPr>
        <w:t>40% of households have poor quality water and 70.9% do not treat their water before consumption. High risk of waterborne diseases.</w:t>
      </w:r>
    </w:p>
    <w:p>
      <w:pPr>
        <w:pStyle w:val="WASH_Bullet"/>
      </w:pPr>
      <w:r>
        <w:rPr>
          <w:b/>
          <w:color w:val="0054A6"/>
          <w:sz w:val="20"/>
        </w:rPr>
        <w:t xml:space="preserve">&gt;&gt; CRITICAL ALERT - Sanitation: </w:t>
      </w:r>
      <w:r>
        <w:rPr>
          <w:sz w:val="20"/>
        </w:rPr>
        <w:t>33.6% of households have no latrines. Coverage of improved latrines remains very low (9%).</w:t>
      </w:r>
    </w:p>
    <w:p>
      <w:pPr>
        <w:pStyle w:val="WASH_Bullet"/>
      </w:pPr>
      <w:r>
        <w:rPr>
          <w:b/>
          <w:color w:val="0054A6"/>
          <w:sz w:val="20"/>
        </w:rPr>
        <w:t xml:space="preserve">&gt;&gt; CONCERN - Waterborne Diseases: </w:t>
      </w:r>
      <w:r>
        <w:rPr>
          <w:sz w:val="20"/>
        </w:rPr>
        <w:t>27.1% of households report water-related diseases. Diarrhea dominates (~180 cases) followed by typhoid (~120 cases).</w:t>
      </w:r>
    </w:p>
    <w:p>
      <w:pPr>
        <w:pStyle w:val="WASH_Bullet"/>
      </w:pPr>
      <w:r>
        <w:rPr>
          <w:b/>
          <w:color w:val="0054A6"/>
          <w:sz w:val="20"/>
        </w:rPr>
        <w:t xml:space="preserve">&gt;&gt; CONCERN - Natural Resources: </w:t>
      </w:r>
      <w:r>
        <w:rPr>
          <w:sz w:val="20"/>
        </w:rPr>
        <w:t>57.7% of households report resource degradation. 38.4% consider them scarce, and 16% consider them near depletion.</w:t>
      </w:r>
    </w:p>
    <w:p>
      <w:pPr>
        <w:pStyle w:val="WASH_Bullet"/>
      </w:pPr>
      <w:r>
        <w:rPr>
          <w:b/>
          <w:color w:val="0054A6"/>
          <w:sz w:val="20"/>
        </w:rPr>
        <w:t xml:space="preserve">&gt;&gt; POSITIVE POINT - Water Availability: </w:t>
      </w:r>
      <w:r>
        <w:rPr>
          <w:sz w:val="20"/>
        </w:rPr>
        <w:t>58% of households have a sufficient quantity of water for their daily needs.</w:t>
      </w:r>
    </w:p>
    <w:p/>
    <w:p>
      <w:r>
        <w:br w:type="page"/>
      </w:r>
    </w:p>
    <w:p>
      <w:pPr>
        <w:pStyle w:val="WASH_H1"/>
      </w:pPr>
      <w:r>
        <w:t>Section 2 - Context &amp; Methodology</w:t>
      </w:r>
    </w:p>
    <w:p>
      <w:pPr>
        <w:pStyle w:val="WASH_Body"/>
      </w:pPr>
      <w:r>
        <w:rPr>
          <w:b w:val="0"/>
          <w:i w:val="0"/>
        </w:rPr>
        <w:t>The 2026 WASH survey aims to assess the conditions of access to drinking water, the state of sanitation and hygiene practices in the Goh and Loh Djiboua regions. These two departments face significant challenges in terms of public health and environmental management.</w:t>
      </w:r>
    </w:p>
    <w:p>
      <w:pPr>
        <w:pStyle w:val="WASH_H2"/>
      </w:pPr>
      <w:r>
        <w:t>2.1 Sample distribution by department</w:t>
      </w:r>
    </w:p>
    <w:p>
      <w:pPr>
        <w:jc w:val="center"/>
      </w:pPr>
      <w:r>
        <w:drawing>
          <wp:inline xmlns:a="http://schemas.openxmlformats.org/drawingml/2006/main" xmlns:pic="http://schemas.openxmlformats.org/drawingml/2006/picture">
            <wp:extent cx="3200400" cy="3583858"/>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00400" cy="3583858"/>
                    </a:xfrm>
                    <a:prstGeom prst="rect"/>
                  </pic:spPr>
                </pic:pic>
              </a:graphicData>
            </a:graphic>
          </wp:inline>
        </w:drawing>
      </w:r>
    </w:p>
    <w:p>
      <w:pPr>
        <w:pStyle w:val="WASH_Caption"/>
        <w:jc w:val="center"/>
      </w:pPr>
      <w:r>
        <w:t>Figure 1 - Sample distribution by department (N=1000)</w:t>
      </w:r>
    </w:p>
    <w:p>
      <w:pPr>
        <w:pStyle w:val="WASH_H2"/>
      </w:pPr>
      <w:r>
        <w:t>2.2 Distribution by sub-prefecture</w:t>
      </w:r>
    </w:p>
    <w:p>
      <w:pPr>
        <w:pStyle w:val="WASH_Caption"/>
        <w:jc w:val="left"/>
      </w:pPr>
      <w:r>
        <w:rPr>
          <w:b/>
          <w:color w:val="1F3864"/>
        </w:rPr>
        <w:t>Table 1 - Distribution by sub-prefecture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shd w:val="clear" w:color="auto" w:fill="0054A6"/>
            <w:vAlign w:val="center"/>
          </w:tcPr>
          <w:p>
            <w:pPr>
              <w:jc w:val="center"/>
            </w:pPr>
            <w:r>
              <w:rPr>
                <w:rFonts w:ascii="Calibri" w:hAnsi="Calibri"/>
                <w:b/>
                <w:color w:val="FFFFFF"/>
                <w:sz w:val="18"/>
              </w:rPr>
              <w:t>Sub-prefecture</w:t>
            </w:r>
          </w:p>
        </w:tc>
        <w:tc>
          <w:tcPr>
            <w:tcW w:type="dxa" w:w="2268"/>
            <w:shd w:val="clear" w:color="auto" w:fill="0054A6"/>
            <w:vAlign w:val="center"/>
          </w:tcPr>
          <w:p>
            <w:pPr>
              <w:jc w:val="center"/>
            </w:pPr>
            <w:r>
              <w:rPr>
                <w:rFonts w:ascii="Calibri" w:hAnsi="Calibri"/>
                <w:b/>
                <w:color w:val="FFFFFF"/>
                <w:sz w:val="18"/>
              </w:rPr>
              <w:t>Department</w:t>
            </w:r>
          </w:p>
        </w:tc>
        <w:tc>
          <w:tcPr>
            <w:tcW w:type="dxa" w:w="1984"/>
            <w:shd w:val="clear" w:color="auto" w:fill="0054A6"/>
            <w:vAlign w:val="center"/>
          </w:tcPr>
          <w:p>
            <w:pPr>
              <w:jc w:val="center"/>
            </w:pPr>
            <w:r>
              <w:rPr>
                <w:rFonts w:ascii="Calibri" w:hAnsi="Calibri"/>
                <w:b/>
                <w:color w:val="FFFFFF"/>
                <w:sz w:val="18"/>
              </w:rPr>
              <w:t>Surveys</w:t>
            </w:r>
          </w:p>
        </w:tc>
        <w:tc>
          <w:tcPr>
            <w:tcW w:type="dxa" w:w="1984"/>
            <w:shd w:val="clear" w:color="auto" w:fill="0054A6"/>
            <w:vAlign w:val="center"/>
          </w:tcPr>
          <w:p>
            <w:pPr>
              <w:jc w:val="center"/>
            </w:pPr>
            <w:r>
              <w:rPr>
                <w:rFonts w:ascii="Calibri" w:hAnsi="Calibri"/>
                <w:b/>
                <w:color w:val="FFFFFF"/>
                <w:sz w:val="18"/>
              </w:rPr>
              <w:t>% of sample</w:t>
            </w:r>
          </w:p>
        </w:tc>
      </w:tr>
      <w:tr>
        <w:tc>
          <w:tcPr>
            <w:tcW w:type="dxa" w:w="2835"/>
            <w:shd w:val="clear" w:color="auto" w:fill="F2F7FF"/>
            <w:vAlign w:val="center"/>
          </w:tcPr>
          <w:p>
            <w:pPr>
              <w:jc w:val="left"/>
            </w:pPr>
            <w:r>
              <w:rPr>
                <w:rFonts w:ascii="Calibri" w:hAnsi="Calibri"/>
                <w:sz w:val="18"/>
              </w:rPr>
              <w:t>Gagnoa</w:t>
            </w:r>
          </w:p>
        </w:tc>
        <w:tc>
          <w:tcPr>
            <w:tcW w:type="dxa" w:w="2268"/>
            <w:shd w:val="clear" w:color="auto" w:fill="F2F7FF"/>
            <w:vAlign w:val="center"/>
          </w:tcPr>
          <w:p>
            <w:pPr>
              <w:jc w:val="left"/>
            </w:pPr>
            <w:r>
              <w:rPr>
                <w:rFonts w:ascii="Calibri" w:hAnsi="Calibri"/>
                <w:sz w:val="18"/>
              </w:rPr>
              <w:t>Goh</w:t>
            </w:r>
          </w:p>
        </w:tc>
        <w:tc>
          <w:tcPr>
            <w:tcW w:type="dxa" w:w="1984"/>
            <w:shd w:val="clear" w:color="auto" w:fill="F2F7FF"/>
            <w:vAlign w:val="center"/>
          </w:tcPr>
          <w:p>
            <w:pPr>
              <w:jc w:val="left"/>
            </w:pPr>
            <w:r>
              <w:rPr>
                <w:rFonts w:ascii="Calibri" w:hAnsi="Calibri"/>
                <w:sz w:val="18"/>
              </w:rPr>
              <w:t>~115</w:t>
            </w:r>
          </w:p>
        </w:tc>
        <w:tc>
          <w:tcPr>
            <w:tcW w:type="dxa" w:w="1984"/>
            <w:shd w:val="clear" w:color="auto" w:fill="F2F7FF"/>
            <w:vAlign w:val="center"/>
          </w:tcPr>
          <w:p>
            <w:pPr>
              <w:jc w:val="left"/>
            </w:pPr>
            <w:r>
              <w:rPr>
                <w:rFonts w:ascii="Calibri" w:hAnsi="Calibri"/>
                <w:sz w:val="18"/>
              </w:rPr>
              <w:t>~11.5%</w:t>
            </w:r>
          </w:p>
        </w:tc>
      </w:tr>
      <w:tr>
        <w:tc>
          <w:tcPr>
            <w:tcW w:type="dxa" w:w="2835"/>
            <w:shd w:val="clear" w:color="auto" w:fill="FFFFFF"/>
            <w:vAlign w:val="center"/>
          </w:tcPr>
          <w:p>
            <w:pPr>
              <w:jc w:val="left"/>
            </w:pPr>
            <w:r>
              <w:rPr>
                <w:rFonts w:ascii="Calibri" w:hAnsi="Calibri"/>
                <w:sz w:val="18"/>
              </w:rPr>
              <w:t>Bayota</w:t>
            </w:r>
          </w:p>
        </w:tc>
        <w:tc>
          <w:tcPr>
            <w:tcW w:type="dxa" w:w="2268"/>
            <w:shd w:val="clear" w:color="auto" w:fill="FFFFFF"/>
            <w:vAlign w:val="center"/>
          </w:tcPr>
          <w:p>
            <w:pPr>
              <w:jc w:val="left"/>
            </w:pPr>
            <w:r>
              <w:rPr>
                <w:rFonts w:ascii="Calibri" w:hAnsi="Calibri"/>
                <w:sz w:val="18"/>
              </w:rPr>
              <w:t>Goh</w:t>
            </w:r>
          </w:p>
        </w:tc>
        <w:tc>
          <w:tcPr>
            <w:tcW w:type="dxa" w:w="1984"/>
            <w:shd w:val="clear" w:color="auto" w:fill="FFFFFF"/>
            <w:vAlign w:val="center"/>
          </w:tcPr>
          <w:p>
            <w:pPr>
              <w:jc w:val="left"/>
            </w:pPr>
            <w:r>
              <w:rPr>
                <w:rFonts w:ascii="Calibri" w:hAnsi="Calibri"/>
                <w:sz w:val="18"/>
              </w:rPr>
              <w:t>~95</w:t>
            </w:r>
          </w:p>
        </w:tc>
        <w:tc>
          <w:tcPr>
            <w:tcW w:type="dxa" w:w="1984"/>
            <w:shd w:val="clear" w:color="auto" w:fill="FFFFFF"/>
            <w:vAlign w:val="center"/>
          </w:tcPr>
          <w:p>
            <w:pPr>
              <w:jc w:val="left"/>
            </w:pPr>
            <w:r>
              <w:rPr>
                <w:rFonts w:ascii="Calibri" w:hAnsi="Calibri"/>
                <w:sz w:val="18"/>
              </w:rPr>
              <w:t>~9.5%</w:t>
            </w:r>
          </w:p>
        </w:tc>
      </w:tr>
      <w:tr>
        <w:tc>
          <w:tcPr>
            <w:tcW w:type="dxa" w:w="2835"/>
            <w:shd w:val="clear" w:color="auto" w:fill="F2F7FF"/>
            <w:vAlign w:val="center"/>
          </w:tcPr>
          <w:p>
            <w:pPr>
              <w:jc w:val="left"/>
            </w:pPr>
            <w:r>
              <w:rPr>
                <w:rFonts w:ascii="Calibri" w:hAnsi="Calibri"/>
                <w:sz w:val="18"/>
              </w:rPr>
              <w:t>Ouragahio</w:t>
            </w:r>
          </w:p>
        </w:tc>
        <w:tc>
          <w:tcPr>
            <w:tcW w:type="dxa" w:w="2268"/>
            <w:shd w:val="clear" w:color="auto" w:fill="F2F7FF"/>
            <w:vAlign w:val="center"/>
          </w:tcPr>
          <w:p>
            <w:pPr>
              <w:jc w:val="left"/>
            </w:pPr>
            <w:r>
              <w:rPr>
                <w:rFonts w:ascii="Calibri" w:hAnsi="Calibri"/>
                <w:sz w:val="18"/>
              </w:rPr>
              <w:t>Goh</w:t>
            </w:r>
          </w:p>
        </w:tc>
        <w:tc>
          <w:tcPr>
            <w:tcW w:type="dxa" w:w="1984"/>
            <w:shd w:val="clear" w:color="auto" w:fill="F2F7FF"/>
            <w:vAlign w:val="center"/>
          </w:tcPr>
          <w:p>
            <w:pPr>
              <w:jc w:val="left"/>
            </w:pPr>
            <w:r>
              <w:rPr>
                <w:rFonts w:ascii="Calibri" w:hAnsi="Calibri"/>
                <w:sz w:val="18"/>
              </w:rPr>
              <w:t>~90</w:t>
            </w:r>
          </w:p>
        </w:tc>
        <w:tc>
          <w:tcPr>
            <w:tcW w:type="dxa" w:w="1984"/>
            <w:shd w:val="clear" w:color="auto" w:fill="F2F7FF"/>
            <w:vAlign w:val="center"/>
          </w:tcPr>
          <w:p>
            <w:pPr>
              <w:jc w:val="left"/>
            </w:pPr>
            <w:r>
              <w:rPr>
                <w:rFonts w:ascii="Calibri" w:hAnsi="Calibri"/>
                <w:sz w:val="18"/>
              </w:rPr>
              <w:t>~9.0%</w:t>
            </w:r>
          </w:p>
        </w:tc>
      </w:tr>
      <w:tr>
        <w:tc>
          <w:tcPr>
            <w:tcW w:type="dxa" w:w="2835"/>
            <w:shd w:val="clear" w:color="auto" w:fill="FFFFFF"/>
            <w:vAlign w:val="center"/>
          </w:tcPr>
          <w:p>
            <w:pPr>
              <w:jc w:val="left"/>
            </w:pPr>
            <w:r>
              <w:rPr>
                <w:rFonts w:ascii="Calibri" w:hAnsi="Calibri"/>
                <w:sz w:val="18"/>
              </w:rPr>
              <w:t>Guitry</w:t>
            </w:r>
          </w:p>
        </w:tc>
        <w:tc>
          <w:tcPr>
            <w:tcW w:type="dxa" w:w="2268"/>
            <w:shd w:val="clear" w:color="auto" w:fill="FFFFFF"/>
            <w:vAlign w:val="center"/>
          </w:tcPr>
          <w:p>
            <w:pPr>
              <w:jc w:val="left"/>
            </w:pPr>
            <w:r>
              <w:rPr>
                <w:rFonts w:ascii="Calibri" w:hAnsi="Calibri"/>
                <w:sz w:val="18"/>
              </w:rPr>
              <w:t>Goh</w:t>
            </w:r>
          </w:p>
        </w:tc>
        <w:tc>
          <w:tcPr>
            <w:tcW w:type="dxa" w:w="1984"/>
            <w:shd w:val="clear" w:color="auto" w:fill="FFFFFF"/>
            <w:vAlign w:val="center"/>
          </w:tcPr>
          <w:p>
            <w:pPr>
              <w:jc w:val="left"/>
            </w:pPr>
            <w:r>
              <w:rPr>
                <w:rFonts w:ascii="Calibri" w:hAnsi="Calibri"/>
                <w:sz w:val="18"/>
              </w:rPr>
              <w:t>~88</w:t>
            </w:r>
          </w:p>
        </w:tc>
        <w:tc>
          <w:tcPr>
            <w:tcW w:type="dxa" w:w="1984"/>
            <w:shd w:val="clear" w:color="auto" w:fill="FFFFFF"/>
            <w:vAlign w:val="center"/>
          </w:tcPr>
          <w:p>
            <w:pPr>
              <w:jc w:val="left"/>
            </w:pPr>
            <w:r>
              <w:rPr>
                <w:rFonts w:ascii="Calibri" w:hAnsi="Calibri"/>
                <w:sz w:val="18"/>
              </w:rPr>
              <w:t>~8.8%</w:t>
            </w:r>
          </w:p>
        </w:tc>
      </w:tr>
      <w:tr>
        <w:tc>
          <w:tcPr>
            <w:tcW w:type="dxa" w:w="2835"/>
            <w:shd w:val="clear" w:color="auto" w:fill="F2F7FF"/>
            <w:vAlign w:val="center"/>
          </w:tcPr>
          <w:p>
            <w:pPr>
              <w:jc w:val="left"/>
            </w:pPr>
            <w:r>
              <w:rPr>
                <w:rFonts w:ascii="Calibri" w:hAnsi="Calibri"/>
                <w:sz w:val="18"/>
              </w:rPr>
              <w:t>Guiberoua</w:t>
            </w:r>
          </w:p>
        </w:tc>
        <w:tc>
          <w:tcPr>
            <w:tcW w:type="dxa" w:w="2268"/>
            <w:shd w:val="clear" w:color="auto" w:fill="F2F7FF"/>
            <w:vAlign w:val="center"/>
          </w:tcPr>
          <w:p>
            <w:pPr>
              <w:jc w:val="left"/>
            </w:pPr>
            <w:r>
              <w:rPr>
                <w:rFonts w:ascii="Calibri" w:hAnsi="Calibri"/>
                <w:sz w:val="18"/>
              </w:rPr>
              <w:t>Goh</w:t>
            </w:r>
          </w:p>
        </w:tc>
        <w:tc>
          <w:tcPr>
            <w:tcW w:type="dxa" w:w="1984"/>
            <w:shd w:val="clear" w:color="auto" w:fill="F2F7FF"/>
            <w:vAlign w:val="center"/>
          </w:tcPr>
          <w:p>
            <w:pPr>
              <w:jc w:val="left"/>
            </w:pPr>
            <w:r>
              <w:rPr>
                <w:rFonts w:ascii="Calibri" w:hAnsi="Calibri"/>
                <w:sz w:val="18"/>
              </w:rPr>
              <w:t>~85</w:t>
            </w:r>
          </w:p>
        </w:tc>
        <w:tc>
          <w:tcPr>
            <w:tcW w:type="dxa" w:w="1984"/>
            <w:shd w:val="clear" w:color="auto" w:fill="F2F7FF"/>
            <w:vAlign w:val="center"/>
          </w:tcPr>
          <w:p>
            <w:pPr>
              <w:jc w:val="left"/>
            </w:pPr>
            <w:r>
              <w:rPr>
                <w:rFonts w:ascii="Calibri" w:hAnsi="Calibri"/>
                <w:sz w:val="18"/>
              </w:rPr>
              <w:t>~8.5%</w:t>
            </w:r>
          </w:p>
        </w:tc>
      </w:tr>
      <w:tr>
        <w:tc>
          <w:tcPr>
            <w:tcW w:type="dxa" w:w="2835"/>
            <w:shd w:val="clear" w:color="auto" w:fill="FFFFFF"/>
            <w:vAlign w:val="center"/>
          </w:tcPr>
          <w:p>
            <w:pPr>
              <w:jc w:val="left"/>
            </w:pPr>
            <w:r>
              <w:rPr>
                <w:rFonts w:ascii="Calibri" w:hAnsi="Calibri"/>
                <w:sz w:val="18"/>
              </w:rPr>
              <w:t>Divo</w:t>
            </w:r>
          </w:p>
        </w:tc>
        <w:tc>
          <w:tcPr>
            <w:tcW w:type="dxa" w:w="2268"/>
            <w:shd w:val="clear" w:color="auto" w:fill="FFFFFF"/>
            <w:vAlign w:val="center"/>
          </w:tcPr>
          <w:p>
            <w:pPr>
              <w:jc w:val="left"/>
            </w:pPr>
            <w:r>
              <w:rPr>
                <w:rFonts w:ascii="Calibri" w:hAnsi="Calibri"/>
                <w:sz w:val="18"/>
              </w:rPr>
              <w:t>Loh Djiboua</w:t>
            </w:r>
          </w:p>
        </w:tc>
        <w:tc>
          <w:tcPr>
            <w:tcW w:type="dxa" w:w="1984"/>
            <w:shd w:val="clear" w:color="auto" w:fill="FFFFFF"/>
            <w:vAlign w:val="center"/>
          </w:tcPr>
          <w:p>
            <w:pPr>
              <w:jc w:val="left"/>
            </w:pPr>
            <w:r>
              <w:rPr>
                <w:rFonts w:ascii="Calibri" w:hAnsi="Calibri"/>
                <w:sz w:val="18"/>
              </w:rPr>
              <w:t>~155</w:t>
            </w:r>
          </w:p>
        </w:tc>
        <w:tc>
          <w:tcPr>
            <w:tcW w:type="dxa" w:w="1984"/>
            <w:shd w:val="clear" w:color="auto" w:fill="FFFFFF"/>
            <w:vAlign w:val="center"/>
          </w:tcPr>
          <w:p>
            <w:pPr>
              <w:jc w:val="left"/>
            </w:pPr>
            <w:r>
              <w:rPr>
                <w:rFonts w:ascii="Calibri" w:hAnsi="Calibri"/>
                <w:sz w:val="18"/>
              </w:rPr>
              <w:t>~15.5%</w:t>
            </w:r>
          </w:p>
        </w:tc>
      </w:tr>
      <w:tr>
        <w:tc>
          <w:tcPr>
            <w:tcW w:type="dxa" w:w="2835"/>
            <w:shd w:val="clear" w:color="auto" w:fill="F2F7FF"/>
            <w:vAlign w:val="center"/>
          </w:tcPr>
          <w:p>
            <w:pPr>
              <w:jc w:val="left"/>
            </w:pPr>
            <w:r>
              <w:rPr>
                <w:rFonts w:ascii="Calibri" w:hAnsi="Calibri"/>
                <w:sz w:val="18"/>
              </w:rPr>
              <w:t>Lakota</w:t>
            </w:r>
          </w:p>
        </w:tc>
        <w:tc>
          <w:tcPr>
            <w:tcW w:type="dxa" w:w="2268"/>
            <w:shd w:val="clear" w:color="auto" w:fill="F2F7FF"/>
            <w:vAlign w:val="center"/>
          </w:tcPr>
          <w:p>
            <w:pPr>
              <w:jc w:val="left"/>
            </w:pPr>
            <w:r>
              <w:rPr>
                <w:rFonts w:ascii="Calibri" w:hAnsi="Calibri"/>
                <w:sz w:val="18"/>
              </w:rPr>
              <w:t>Loh Djiboua</w:t>
            </w:r>
          </w:p>
        </w:tc>
        <w:tc>
          <w:tcPr>
            <w:tcW w:type="dxa" w:w="1984"/>
            <w:shd w:val="clear" w:color="auto" w:fill="F2F7FF"/>
            <w:vAlign w:val="center"/>
          </w:tcPr>
          <w:p>
            <w:pPr>
              <w:jc w:val="left"/>
            </w:pPr>
            <w:r>
              <w:rPr>
                <w:rFonts w:ascii="Calibri" w:hAnsi="Calibri"/>
                <w:sz w:val="18"/>
              </w:rPr>
              <w:t>~140</w:t>
            </w:r>
          </w:p>
        </w:tc>
        <w:tc>
          <w:tcPr>
            <w:tcW w:type="dxa" w:w="1984"/>
            <w:shd w:val="clear" w:color="auto" w:fill="F2F7FF"/>
            <w:vAlign w:val="center"/>
          </w:tcPr>
          <w:p>
            <w:pPr>
              <w:jc w:val="left"/>
            </w:pPr>
            <w:r>
              <w:rPr>
                <w:rFonts w:ascii="Calibri" w:hAnsi="Calibri"/>
                <w:sz w:val="18"/>
              </w:rPr>
              <w:t>~14.0%</w:t>
            </w:r>
          </w:p>
        </w:tc>
      </w:tr>
      <w:tr>
        <w:tc>
          <w:tcPr>
            <w:tcW w:type="dxa" w:w="2835"/>
            <w:shd w:val="clear" w:color="auto" w:fill="FFFFFF"/>
            <w:vAlign w:val="center"/>
          </w:tcPr>
          <w:p>
            <w:pPr>
              <w:jc w:val="left"/>
            </w:pPr>
            <w:r>
              <w:rPr>
                <w:rFonts w:ascii="Calibri" w:hAnsi="Calibri"/>
                <w:sz w:val="18"/>
              </w:rPr>
              <w:t>Hire</w:t>
            </w:r>
          </w:p>
        </w:tc>
        <w:tc>
          <w:tcPr>
            <w:tcW w:type="dxa" w:w="2268"/>
            <w:shd w:val="clear" w:color="auto" w:fill="FFFFFF"/>
            <w:vAlign w:val="center"/>
          </w:tcPr>
          <w:p>
            <w:pPr>
              <w:jc w:val="left"/>
            </w:pPr>
            <w:r>
              <w:rPr>
                <w:rFonts w:ascii="Calibri" w:hAnsi="Calibri"/>
                <w:sz w:val="18"/>
              </w:rPr>
              <w:t>Loh Djiboua</w:t>
            </w:r>
          </w:p>
        </w:tc>
        <w:tc>
          <w:tcPr>
            <w:tcW w:type="dxa" w:w="1984"/>
            <w:shd w:val="clear" w:color="auto" w:fill="FFFFFF"/>
            <w:vAlign w:val="center"/>
          </w:tcPr>
          <w:p>
            <w:pPr>
              <w:jc w:val="left"/>
            </w:pPr>
            <w:r>
              <w:rPr>
                <w:rFonts w:ascii="Calibri" w:hAnsi="Calibri"/>
                <w:sz w:val="18"/>
              </w:rPr>
              <w:t>~135</w:t>
            </w:r>
          </w:p>
        </w:tc>
        <w:tc>
          <w:tcPr>
            <w:tcW w:type="dxa" w:w="1984"/>
            <w:shd w:val="clear" w:color="auto" w:fill="FFFFFF"/>
            <w:vAlign w:val="center"/>
          </w:tcPr>
          <w:p>
            <w:pPr>
              <w:jc w:val="left"/>
            </w:pPr>
            <w:r>
              <w:rPr>
                <w:rFonts w:ascii="Calibri" w:hAnsi="Calibri"/>
                <w:sz w:val="18"/>
              </w:rPr>
              <w:t>~13.5%</w:t>
            </w:r>
          </w:p>
        </w:tc>
      </w:tr>
      <w:tr>
        <w:tc>
          <w:tcPr>
            <w:tcW w:type="dxa" w:w="2835"/>
            <w:shd w:val="clear" w:color="auto" w:fill="F2F7FF"/>
            <w:vAlign w:val="center"/>
          </w:tcPr>
          <w:p>
            <w:pPr>
              <w:jc w:val="left"/>
            </w:pPr>
            <w:r>
              <w:rPr>
                <w:rFonts w:ascii="Calibri" w:hAnsi="Calibri"/>
                <w:sz w:val="18"/>
              </w:rPr>
              <w:t>TOTAL</w:t>
            </w:r>
          </w:p>
        </w:tc>
        <w:tc>
          <w:tcPr>
            <w:tcW w:type="dxa" w:w="2268"/>
            <w:shd w:val="clear" w:color="auto" w:fill="F2F7FF"/>
            <w:vAlign w:val="center"/>
          </w:tcPr>
          <w:p>
            <w:pPr>
              <w:jc w:val="left"/>
            </w:pPr>
            <w:r>
              <w:rPr>
                <w:rFonts w:ascii="Calibri" w:hAnsi="Calibri"/>
                <w:sz w:val="18"/>
              </w:rPr>
              <w:t>2 departments</w:t>
            </w:r>
          </w:p>
        </w:tc>
        <w:tc>
          <w:tcPr>
            <w:tcW w:type="dxa" w:w="1984"/>
            <w:shd w:val="clear" w:color="auto" w:fill="F2F7FF"/>
            <w:vAlign w:val="center"/>
          </w:tcPr>
          <w:p>
            <w:pPr>
              <w:jc w:val="left"/>
            </w:pPr>
            <w:r>
              <w:rPr>
                <w:rFonts w:ascii="Calibri" w:hAnsi="Calibri"/>
                <w:sz w:val="18"/>
              </w:rPr>
              <w:t>1,000</w:t>
            </w:r>
          </w:p>
        </w:tc>
        <w:tc>
          <w:tcPr>
            <w:tcW w:type="dxa" w:w="1984"/>
            <w:shd w:val="clear" w:color="auto" w:fill="F2F7FF"/>
            <w:vAlign w:val="center"/>
          </w:tcPr>
          <w:p>
            <w:pPr>
              <w:jc w:val="left"/>
            </w:pPr>
            <w:r>
              <w:rPr>
                <w:rFonts w:ascii="Calibri" w:hAnsi="Calibri"/>
                <w:sz w:val="18"/>
              </w:rPr>
              <w:t>100%</w:t>
            </w:r>
          </w:p>
        </w:tc>
      </w:tr>
    </w:tbl>
    <w:p/>
    <w:p>
      <w:pPr>
        <w:pStyle w:val="WASH_Caption"/>
        <w:jc w:val="left"/>
      </w:pPr>
      <w:r>
        <w:rPr>
          <w:b/>
          <w:color w:val="1F3864"/>
        </w:rPr>
        <w:t>Table 2 - Data collection tools and variables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0054A6"/>
            <w:vAlign w:val="center"/>
          </w:tcPr>
          <w:p>
            <w:pPr>
              <w:jc w:val="center"/>
            </w:pPr>
            <w:r>
              <w:rPr>
                <w:rFonts w:ascii="Calibri" w:hAnsi="Calibri"/>
                <w:b/>
                <w:color w:val="FFFFFF"/>
                <w:sz w:val="18"/>
              </w:rPr>
              <w:t>Theme</w:t>
            </w:r>
          </w:p>
        </w:tc>
        <w:tc>
          <w:tcPr>
            <w:tcW w:type="dxa" w:w="3969"/>
            <w:shd w:val="clear" w:color="auto" w:fill="0054A6"/>
            <w:vAlign w:val="center"/>
          </w:tcPr>
          <w:p>
            <w:pPr>
              <w:jc w:val="center"/>
            </w:pPr>
            <w:r>
              <w:rPr>
                <w:rFonts w:ascii="Calibri" w:hAnsi="Calibri"/>
                <w:b/>
                <w:color w:val="FFFFFF"/>
                <w:sz w:val="18"/>
              </w:rPr>
              <w:t>Key variables</w:t>
            </w:r>
          </w:p>
        </w:tc>
        <w:tc>
          <w:tcPr>
            <w:tcW w:type="dxa" w:w="1701"/>
            <w:shd w:val="clear" w:color="auto" w:fill="0054A6"/>
            <w:vAlign w:val="center"/>
          </w:tcPr>
          <w:p>
            <w:pPr>
              <w:jc w:val="center"/>
            </w:pPr>
            <w:r>
              <w:rPr>
                <w:rFonts w:ascii="Calibri" w:hAnsi="Calibri"/>
                <w:b/>
                <w:color w:val="FFFFFF"/>
                <w:sz w:val="18"/>
              </w:rPr>
              <w:t>Type</w:t>
            </w:r>
          </w:p>
        </w:tc>
      </w:tr>
      <w:tr>
        <w:tc>
          <w:tcPr>
            <w:tcW w:type="dxa" w:w="2268"/>
            <w:shd w:val="clear" w:color="auto" w:fill="F2F7FF"/>
            <w:vAlign w:val="center"/>
          </w:tcPr>
          <w:p>
            <w:pPr>
              <w:jc w:val="left"/>
            </w:pPr>
            <w:r>
              <w:rPr>
                <w:rFonts w:ascii="Calibri" w:hAnsi="Calibri"/>
                <w:sz w:val="18"/>
              </w:rPr>
              <w:t>Drinking water</w:t>
            </w:r>
          </w:p>
        </w:tc>
        <w:tc>
          <w:tcPr>
            <w:tcW w:type="dxa" w:w="3969"/>
            <w:shd w:val="clear" w:color="auto" w:fill="F2F7FF"/>
            <w:vAlign w:val="center"/>
          </w:tcPr>
          <w:p>
            <w:pPr>
              <w:jc w:val="left"/>
            </w:pPr>
            <w:r>
              <w:rPr>
                <w:rFonts w:ascii="Calibri" w:hAnsi="Calibri"/>
                <w:sz w:val="18"/>
              </w:rPr>
              <w:t>Source, quality, access time, treatment</w:t>
            </w:r>
          </w:p>
        </w:tc>
        <w:tc>
          <w:tcPr>
            <w:tcW w:type="dxa" w:w="1701"/>
            <w:shd w:val="clear" w:color="auto" w:fill="F2F7FF"/>
            <w:vAlign w:val="center"/>
          </w:tcPr>
          <w:p>
            <w:pPr>
              <w:jc w:val="left"/>
            </w:pPr>
            <w:r>
              <w:rPr>
                <w:rFonts w:ascii="Calibri" w:hAnsi="Calibri"/>
                <w:sz w:val="18"/>
              </w:rPr>
              <w:t>Quantitative</w:t>
            </w:r>
          </w:p>
        </w:tc>
      </w:tr>
      <w:tr>
        <w:tc>
          <w:tcPr>
            <w:tcW w:type="dxa" w:w="2268"/>
            <w:shd w:val="clear" w:color="auto" w:fill="FFFFFF"/>
            <w:vAlign w:val="center"/>
          </w:tcPr>
          <w:p>
            <w:pPr>
              <w:jc w:val="left"/>
            </w:pPr>
            <w:r>
              <w:rPr>
                <w:rFonts w:ascii="Calibri" w:hAnsi="Calibri"/>
                <w:sz w:val="18"/>
              </w:rPr>
              <w:t>Water health</w:t>
            </w:r>
          </w:p>
        </w:tc>
        <w:tc>
          <w:tcPr>
            <w:tcW w:type="dxa" w:w="3969"/>
            <w:shd w:val="clear" w:color="auto" w:fill="FFFFFF"/>
            <w:vAlign w:val="center"/>
          </w:tcPr>
          <w:p>
            <w:pPr>
              <w:jc w:val="left"/>
            </w:pPr>
            <w:r>
              <w:rPr>
                <w:rFonts w:ascii="Calibri" w:hAnsi="Calibri"/>
                <w:sz w:val="18"/>
              </w:rPr>
              <w:t>Water-related diseases, frequency, type</w:t>
            </w:r>
          </w:p>
        </w:tc>
        <w:tc>
          <w:tcPr>
            <w:tcW w:type="dxa" w:w="1701"/>
            <w:shd w:val="clear" w:color="auto" w:fill="FFFFFF"/>
            <w:vAlign w:val="center"/>
          </w:tcPr>
          <w:p>
            <w:pPr>
              <w:jc w:val="left"/>
            </w:pPr>
            <w:r>
              <w:rPr>
                <w:rFonts w:ascii="Calibri" w:hAnsi="Calibri"/>
                <w:sz w:val="18"/>
              </w:rPr>
              <w:t>Mixed</w:t>
            </w:r>
          </w:p>
        </w:tc>
      </w:tr>
      <w:tr>
        <w:tc>
          <w:tcPr>
            <w:tcW w:type="dxa" w:w="2268"/>
            <w:shd w:val="clear" w:color="auto" w:fill="F2F7FF"/>
            <w:vAlign w:val="center"/>
          </w:tcPr>
          <w:p>
            <w:pPr>
              <w:jc w:val="left"/>
            </w:pPr>
            <w:r>
              <w:rPr>
                <w:rFonts w:ascii="Calibri" w:hAnsi="Calibri"/>
                <w:sz w:val="18"/>
              </w:rPr>
              <w:t>Sanitation</w:t>
            </w:r>
          </w:p>
        </w:tc>
        <w:tc>
          <w:tcPr>
            <w:tcW w:type="dxa" w:w="3969"/>
            <w:shd w:val="clear" w:color="auto" w:fill="F2F7FF"/>
            <w:vAlign w:val="center"/>
          </w:tcPr>
          <w:p>
            <w:pPr>
              <w:jc w:val="left"/>
            </w:pPr>
            <w:r>
              <w:rPr>
                <w:rFonts w:ascii="Calibri" w:hAnsi="Calibri"/>
                <w:sz w:val="18"/>
              </w:rPr>
              <w:t>Latrine type, hygiene practices</w:t>
            </w:r>
          </w:p>
        </w:tc>
        <w:tc>
          <w:tcPr>
            <w:tcW w:type="dxa" w:w="1701"/>
            <w:shd w:val="clear" w:color="auto" w:fill="F2F7FF"/>
            <w:vAlign w:val="center"/>
          </w:tcPr>
          <w:p>
            <w:pPr>
              <w:jc w:val="left"/>
            </w:pPr>
            <w:r>
              <w:rPr>
                <w:rFonts w:ascii="Calibri" w:hAnsi="Calibri"/>
                <w:sz w:val="18"/>
              </w:rPr>
              <w:t>Quantitative</w:t>
            </w:r>
          </w:p>
        </w:tc>
      </w:tr>
      <w:tr>
        <w:tc>
          <w:tcPr>
            <w:tcW w:type="dxa" w:w="2268"/>
            <w:shd w:val="clear" w:color="auto" w:fill="FFFFFF"/>
            <w:vAlign w:val="center"/>
          </w:tcPr>
          <w:p>
            <w:pPr>
              <w:jc w:val="left"/>
            </w:pPr>
            <w:r>
              <w:rPr>
                <w:rFonts w:ascii="Calibri" w:hAnsi="Calibri"/>
                <w:sz w:val="18"/>
              </w:rPr>
              <w:t>Waste</w:t>
            </w:r>
          </w:p>
        </w:tc>
        <w:tc>
          <w:tcPr>
            <w:tcW w:type="dxa" w:w="3969"/>
            <w:shd w:val="clear" w:color="auto" w:fill="FFFFFF"/>
            <w:vAlign w:val="center"/>
          </w:tcPr>
          <w:p>
            <w:pPr>
              <w:jc w:val="left"/>
            </w:pPr>
            <w:r>
              <w:rPr>
                <w:rFonts w:ascii="Calibri" w:hAnsi="Calibri"/>
                <w:sz w:val="18"/>
              </w:rPr>
              <w:t>Disposal method, satisfaction, exposure</w:t>
            </w:r>
          </w:p>
        </w:tc>
        <w:tc>
          <w:tcPr>
            <w:tcW w:type="dxa" w:w="1701"/>
            <w:shd w:val="clear" w:color="auto" w:fill="FFFFFF"/>
            <w:vAlign w:val="center"/>
          </w:tcPr>
          <w:p>
            <w:pPr>
              <w:jc w:val="left"/>
            </w:pPr>
            <w:r>
              <w:rPr>
                <w:rFonts w:ascii="Calibri" w:hAnsi="Calibri"/>
                <w:sz w:val="18"/>
              </w:rPr>
              <w:t>Quantitative</w:t>
            </w:r>
          </w:p>
        </w:tc>
      </w:tr>
      <w:tr>
        <w:tc>
          <w:tcPr>
            <w:tcW w:type="dxa" w:w="2268"/>
            <w:shd w:val="clear" w:color="auto" w:fill="F2F7FF"/>
            <w:vAlign w:val="center"/>
          </w:tcPr>
          <w:p>
            <w:pPr>
              <w:jc w:val="left"/>
            </w:pPr>
            <w:r>
              <w:rPr>
                <w:rFonts w:ascii="Calibri" w:hAnsi="Calibri"/>
                <w:sz w:val="18"/>
              </w:rPr>
              <w:t>Environment</w:t>
            </w:r>
          </w:p>
        </w:tc>
        <w:tc>
          <w:tcPr>
            <w:tcW w:type="dxa" w:w="3969"/>
            <w:shd w:val="clear" w:color="auto" w:fill="F2F7FF"/>
            <w:vAlign w:val="center"/>
          </w:tcPr>
          <w:p>
            <w:pPr>
              <w:jc w:val="left"/>
            </w:pPr>
            <w:r>
              <w:rPr>
                <w:rFonts w:ascii="Calibri" w:hAnsi="Calibri"/>
                <w:sz w:val="18"/>
              </w:rPr>
              <w:t>Pollution, air quality, noise nuisances</w:t>
            </w:r>
          </w:p>
        </w:tc>
        <w:tc>
          <w:tcPr>
            <w:tcW w:type="dxa" w:w="1701"/>
            <w:shd w:val="clear" w:color="auto" w:fill="F2F7FF"/>
            <w:vAlign w:val="center"/>
          </w:tcPr>
          <w:p>
            <w:pPr>
              <w:jc w:val="left"/>
            </w:pPr>
            <w:r>
              <w:rPr>
                <w:rFonts w:ascii="Calibri" w:hAnsi="Calibri"/>
                <w:sz w:val="18"/>
              </w:rPr>
              <w:t>Qualitative</w:t>
            </w:r>
          </w:p>
        </w:tc>
      </w:tr>
      <w:tr>
        <w:tc>
          <w:tcPr>
            <w:tcW w:type="dxa" w:w="2268"/>
            <w:shd w:val="clear" w:color="auto" w:fill="FFFFFF"/>
            <w:vAlign w:val="center"/>
          </w:tcPr>
          <w:p>
            <w:pPr>
              <w:jc w:val="left"/>
            </w:pPr>
            <w:r>
              <w:rPr>
                <w:rFonts w:ascii="Calibri" w:hAnsi="Calibri"/>
                <w:sz w:val="18"/>
              </w:rPr>
              <w:t>Resources</w:t>
            </w:r>
          </w:p>
        </w:tc>
        <w:tc>
          <w:tcPr>
            <w:tcW w:type="dxa" w:w="3969"/>
            <w:shd w:val="clear" w:color="auto" w:fill="FFFFFF"/>
            <w:vAlign w:val="center"/>
          </w:tcPr>
          <w:p>
            <w:pPr>
              <w:jc w:val="left"/>
            </w:pPr>
            <w:r>
              <w:rPr>
                <w:rFonts w:ascii="Calibri" w:hAnsi="Calibri"/>
                <w:sz w:val="18"/>
              </w:rPr>
              <w:t>Availability, degradation, stewardship</w:t>
            </w:r>
          </w:p>
        </w:tc>
        <w:tc>
          <w:tcPr>
            <w:tcW w:type="dxa" w:w="1701"/>
            <w:shd w:val="clear" w:color="auto" w:fill="FFFFFF"/>
            <w:vAlign w:val="center"/>
          </w:tcPr>
          <w:p>
            <w:pPr>
              <w:jc w:val="left"/>
            </w:pPr>
            <w:r>
              <w:rPr>
                <w:rFonts w:ascii="Calibri" w:hAnsi="Calibri"/>
                <w:sz w:val="18"/>
              </w:rPr>
              <w:t>Qualitative</w:t>
            </w:r>
          </w:p>
        </w:tc>
      </w:tr>
    </w:tbl>
    <w:p/>
    <w:p>
      <w:r>
        <w:br w:type="page"/>
      </w:r>
    </w:p>
    <w:p>
      <w:pPr>
        <w:pStyle w:val="WASH_H1"/>
      </w:pPr>
      <w:r>
        <w:t>Section 3 - Water &amp; Sanitation</w:t>
      </w:r>
    </w:p>
    <w:p>
      <w:pPr>
        <w:pStyle w:val="WASH_Body"/>
      </w:pPr>
      <w:r>
        <w:rPr>
          <w:b w:val="0"/>
          <w:i w:val="0"/>
        </w:rPr>
        <w:t>Access to drinking water is one of the major challenges identified in this survey. While 58% of households have a sufficient quantity of water, quality remains concerning with 40% poor quality water and only 29.1% of households treating their water.</w:t>
      </w:r>
    </w:p>
    <w:p>
      <w:pPr>
        <w:pStyle w:val="WASH_H2"/>
      </w:pPr>
      <w:r>
        <w:t>3.1 Water supply sources</w:t>
      </w:r>
    </w:p>
    <w:p>
      <w:pPr>
        <w:jc w:val="center"/>
      </w:pPr>
      <w:r>
        <w:drawing>
          <wp:inline xmlns:a="http://schemas.openxmlformats.org/drawingml/2006/main" xmlns:pic="http://schemas.openxmlformats.org/drawingml/2006/picture">
            <wp:extent cx="4114800" cy="4952845"/>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4952845"/>
                    </a:xfrm>
                    <a:prstGeom prst="rect"/>
                  </pic:spPr>
                </pic:pic>
              </a:graphicData>
            </a:graphic>
          </wp:inline>
        </w:drawing>
      </w:r>
    </w:p>
    <w:p>
      <w:pPr>
        <w:pStyle w:val="WASH_Caption"/>
        <w:jc w:val="center"/>
      </w:pPr>
      <w:r>
        <w:t>Figure 2 - Water supply sources (N=1000)</w:t>
      </w:r>
    </w:p>
    <w:p>
      <w:pPr>
        <w:pStyle w:val="WASH_Caption"/>
        <w:jc w:val="left"/>
      </w:pPr>
      <w:r>
        <w:rPr>
          <w:b/>
          <w:color w:val="1F3864"/>
        </w:rPr>
        <w:t>Table 3 - Water source details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18"/>
            <w:shd w:val="clear" w:color="auto" w:fill="0054A6"/>
            <w:vAlign w:val="center"/>
          </w:tcPr>
          <w:p>
            <w:pPr>
              <w:jc w:val="center"/>
            </w:pPr>
            <w:r>
              <w:rPr>
                <w:rFonts w:ascii="Calibri" w:hAnsi="Calibri"/>
                <w:b/>
                <w:color w:val="FFFFFF"/>
                <w:sz w:val="18"/>
              </w:rPr>
              <w:t>Source</w:t>
            </w:r>
          </w:p>
        </w:tc>
        <w:tc>
          <w:tcPr>
            <w:tcW w:type="dxa" w:w="1984"/>
            <w:shd w:val="clear" w:color="auto" w:fill="0054A6"/>
            <w:vAlign w:val="center"/>
          </w:tcPr>
          <w:p>
            <w:pPr>
              <w:jc w:val="center"/>
            </w:pPr>
            <w:r>
              <w:rPr>
                <w:rFonts w:ascii="Calibri" w:hAnsi="Calibri"/>
                <w:b/>
                <w:color w:val="FFFFFF"/>
                <w:sz w:val="18"/>
              </w:rPr>
              <w:t>No. households</w:t>
            </w:r>
          </w:p>
        </w:tc>
        <w:tc>
          <w:tcPr>
            <w:tcW w:type="dxa" w:w="1701"/>
            <w:shd w:val="clear" w:color="auto" w:fill="0054A6"/>
            <w:vAlign w:val="center"/>
          </w:tcPr>
          <w:p>
            <w:pPr>
              <w:jc w:val="center"/>
            </w:pPr>
            <w:r>
              <w:rPr>
                <w:rFonts w:ascii="Calibri" w:hAnsi="Calibri"/>
                <w:b/>
                <w:color w:val="FFFFFF"/>
                <w:sz w:val="18"/>
              </w:rPr>
              <w:t>%</w:t>
            </w:r>
          </w:p>
        </w:tc>
        <w:tc>
          <w:tcPr>
            <w:tcW w:type="dxa" w:w="2268"/>
            <w:shd w:val="clear" w:color="auto" w:fill="0054A6"/>
            <w:vAlign w:val="center"/>
          </w:tcPr>
          <w:p>
            <w:pPr>
              <w:jc w:val="center"/>
            </w:pPr>
            <w:r>
              <w:rPr>
                <w:rFonts w:ascii="Calibri" w:hAnsi="Calibri"/>
                <w:b/>
                <w:color w:val="FFFFFF"/>
                <w:sz w:val="18"/>
              </w:rPr>
              <w:t>Risk</w:t>
            </w:r>
          </w:p>
        </w:tc>
      </w:tr>
      <w:tr>
        <w:tc>
          <w:tcPr>
            <w:tcW w:type="dxa" w:w="3118"/>
            <w:shd w:val="clear" w:color="auto" w:fill="F2F7FF"/>
            <w:vAlign w:val="center"/>
          </w:tcPr>
          <w:p>
            <w:pPr>
              <w:jc w:val="left"/>
            </w:pPr>
            <w:r>
              <w:rPr>
                <w:rFonts w:ascii="Calibri" w:hAnsi="Calibri"/>
                <w:sz w:val="18"/>
              </w:rPr>
              <w:t>Traditional well</w:t>
            </w:r>
          </w:p>
        </w:tc>
        <w:tc>
          <w:tcPr>
            <w:tcW w:type="dxa" w:w="1984"/>
            <w:shd w:val="clear" w:color="auto" w:fill="F2F7FF"/>
            <w:vAlign w:val="center"/>
          </w:tcPr>
          <w:p>
            <w:pPr>
              <w:jc w:val="left"/>
            </w:pPr>
            <w:r>
              <w:rPr>
                <w:rFonts w:ascii="Calibri" w:hAnsi="Calibri"/>
                <w:sz w:val="18"/>
              </w:rPr>
              <w:t>275</w:t>
            </w:r>
          </w:p>
        </w:tc>
        <w:tc>
          <w:tcPr>
            <w:tcW w:type="dxa" w:w="1701"/>
            <w:shd w:val="clear" w:color="auto" w:fill="F2F7FF"/>
            <w:vAlign w:val="center"/>
          </w:tcPr>
          <w:p>
            <w:pPr>
              <w:jc w:val="left"/>
            </w:pPr>
            <w:r>
              <w:rPr>
                <w:rFonts w:ascii="Calibri" w:hAnsi="Calibri"/>
                <w:sz w:val="18"/>
              </w:rPr>
              <w:t>27.5%</w:t>
            </w:r>
          </w:p>
        </w:tc>
        <w:tc>
          <w:tcPr>
            <w:tcW w:type="dxa" w:w="2268"/>
            <w:shd w:val="clear" w:color="auto" w:fill="F2F7FF"/>
            <w:vAlign w:val="center"/>
          </w:tcPr>
          <w:p>
            <w:pPr>
              <w:jc w:val="left"/>
            </w:pPr>
            <w:r>
              <w:rPr>
                <w:rFonts w:ascii="Calibri" w:hAnsi="Calibri"/>
                <w:sz w:val="18"/>
              </w:rPr>
              <w:t>High</w:t>
            </w:r>
          </w:p>
        </w:tc>
      </w:tr>
      <w:tr>
        <w:tc>
          <w:tcPr>
            <w:tcW w:type="dxa" w:w="3118"/>
            <w:shd w:val="clear" w:color="auto" w:fill="FFFFFF"/>
            <w:vAlign w:val="center"/>
          </w:tcPr>
          <w:p>
            <w:pPr>
              <w:jc w:val="left"/>
            </w:pPr>
            <w:r>
              <w:rPr>
                <w:rFonts w:ascii="Calibri" w:hAnsi="Calibri"/>
                <w:sz w:val="18"/>
              </w:rPr>
              <w:t>Improved well</w:t>
            </w:r>
          </w:p>
        </w:tc>
        <w:tc>
          <w:tcPr>
            <w:tcW w:type="dxa" w:w="1984"/>
            <w:shd w:val="clear" w:color="auto" w:fill="FFFFFF"/>
            <w:vAlign w:val="center"/>
          </w:tcPr>
          <w:p>
            <w:pPr>
              <w:jc w:val="left"/>
            </w:pPr>
            <w:r>
              <w:rPr>
                <w:rFonts w:ascii="Calibri" w:hAnsi="Calibri"/>
                <w:sz w:val="18"/>
              </w:rPr>
              <w:t>200</w:t>
            </w:r>
          </w:p>
        </w:tc>
        <w:tc>
          <w:tcPr>
            <w:tcW w:type="dxa" w:w="1701"/>
            <w:shd w:val="clear" w:color="auto" w:fill="FFFFFF"/>
            <w:vAlign w:val="center"/>
          </w:tcPr>
          <w:p>
            <w:pPr>
              <w:jc w:val="left"/>
            </w:pPr>
            <w:r>
              <w:rPr>
                <w:rFonts w:ascii="Calibri" w:hAnsi="Calibri"/>
                <w:sz w:val="18"/>
              </w:rPr>
              <w:t>20.0%</w:t>
            </w:r>
          </w:p>
        </w:tc>
        <w:tc>
          <w:tcPr>
            <w:tcW w:type="dxa" w:w="2268"/>
            <w:shd w:val="clear" w:color="auto" w:fill="FFFFFF"/>
            <w:vAlign w:val="center"/>
          </w:tcPr>
          <w:p>
            <w:pPr>
              <w:jc w:val="left"/>
            </w:pPr>
            <w:r>
              <w:rPr>
                <w:rFonts w:ascii="Calibri" w:hAnsi="Calibri"/>
                <w:sz w:val="18"/>
              </w:rPr>
              <w:t>Moderate</w:t>
            </w:r>
          </w:p>
        </w:tc>
      </w:tr>
      <w:tr>
        <w:tc>
          <w:tcPr>
            <w:tcW w:type="dxa" w:w="3118"/>
            <w:shd w:val="clear" w:color="auto" w:fill="F2F7FF"/>
            <w:vAlign w:val="center"/>
          </w:tcPr>
          <w:p>
            <w:pPr>
              <w:jc w:val="left"/>
            </w:pPr>
            <w:r>
              <w:rPr>
                <w:rFonts w:ascii="Calibri" w:hAnsi="Calibri"/>
                <w:sz w:val="18"/>
              </w:rPr>
              <w:t>Borehole</w:t>
            </w:r>
          </w:p>
        </w:tc>
        <w:tc>
          <w:tcPr>
            <w:tcW w:type="dxa" w:w="1984"/>
            <w:shd w:val="clear" w:color="auto" w:fill="F2F7FF"/>
            <w:vAlign w:val="center"/>
          </w:tcPr>
          <w:p>
            <w:pPr>
              <w:jc w:val="left"/>
            </w:pPr>
            <w:r>
              <w:rPr>
                <w:rFonts w:ascii="Calibri" w:hAnsi="Calibri"/>
                <w:sz w:val="18"/>
              </w:rPr>
              <w:t>196</w:t>
            </w:r>
          </w:p>
        </w:tc>
        <w:tc>
          <w:tcPr>
            <w:tcW w:type="dxa" w:w="1701"/>
            <w:shd w:val="clear" w:color="auto" w:fill="F2F7FF"/>
            <w:vAlign w:val="center"/>
          </w:tcPr>
          <w:p>
            <w:pPr>
              <w:jc w:val="left"/>
            </w:pPr>
            <w:r>
              <w:rPr>
                <w:rFonts w:ascii="Calibri" w:hAnsi="Calibri"/>
                <w:sz w:val="18"/>
              </w:rPr>
              <w:t>19.6%</w:t>
            </w:r>
          </w:p>
        </w:tc>
        <w:tc>
          <w:tcPr>
            <w:tcW w:type="dxa" w:w="2268"/>
            <w:shd w:val="clear" w:color="auto" w:fill="F2F7FF"/>
            <w:vAlign w:val="center"/>
          </w:tcPr>
          <w:p>
            <w:pPr>
              <w:jc w:val="left"/>
            </w:pPr>
            <w:r>
              <w:rPr>
                <w:rFonts w:ascii="Calibri" w:hAnsi="Calibri"/>
                <w:sz w:val="18"/>
              </w:rPr>
              <w:t>Low</w:t>
            </w:r>
          </w:p>
        </w:tc>
      </w:tr>
      <w:tr>
        <w:tc>
          <w:tcPr>
            <w:tcW w:type="dxa" w:w="3118"/>
            <w:shd w:val="clear" w:color="auto" w:fill="FFFFFF"/>
            <w:vAlign w:val="center"/>
          </w:tcPr>
          <w:p>
            <w:pPr>
              <w:jc w:val="left"/>
            </w:pPr>
            <w:r>
              <w:rPr>
                <w:rFonts w:ascii="Calibri" w:hAnsi="Calibri"/>
                <w:sz w:val="18"/>
              </w:rPr>
              <w:t>River / Spring</w:t>
            </w:r>
          </w:p>
        </w:tc>
        <w:tc>
          <w:tcPr>
            <w:tcW w:type="dxa" w:w="1984"/>
            <w:shd w:val="clear" w:color="auto" w:fill="FFFFFF"/>
            <w:vAlign w:val="center"/>
          </w:tcPr>
          <w:p>
            <w:pPr>
              <w:jc w:val="left"/>
            </w:pPr>
            <w:r>
              <w:rPr>
                <w:rFonts w:ascii="Calibri" w:hAnsi="Calibri"/>
                <w:sz w:val="18"/>
              </w:rPr>
              <w:t>167</w:t>
            </w:r>
          </w:p>
        </w:tc>
        <w:tc>
          <w:tcPr>
            <w:tcW w:type="dxa" w:w="1701"/>
            <w:shd w:val="clear" w:color="auto" w:fill="FFFFFF"/>
            <w:vAlign w:val="center"/>
          </w:tcPr>
          <w:p>
            <w:pPr>
              <w:jc w:val="left"/>
            </w:pPr>
            <w:r>
              <w:rPr>
                <w:rFonts w:ascii="Calibri" w:hAnsi="Calibri"/>
                <w:sz w:val="18"/>
              </w:rPr>
              <w:t>16.7%</w:t>
            </w:r>
          </w:p>
        </w:tc>
        <w:tc>
          <w:tcPr>
            <w:tcW w:type="dxa" w:w="2268"/>
            <w:shd w:val="clear" w:color="auto" w:fill="FFFFFF"/>
            <w:vAlign w:val="center"/>
          </w:tcPr>
          <w:p>
            <w:pPr>
              <w:jc w:val="left"/>
            </w:pPr>
            <w:r>
              <w:rPr>
                <w:rFonts w:ascii="Calibri" w:hAnsi="Calibri"/>
                <w:sz w:val="18"/>
              </w:rPr>
              <w:t>Very high</w:t>
            </w:r>
          </w:p>
        </w:tc>
      </w:tr>
      <w:tr>
        <w:tc>
          <w:tcPr>
            <w:tcW w:type="dxa" w:w="3118"/>
            <w:shd w:val="clear" w:color="auto" w:fill="F2F7FF"/>
            <w:vAlign w:val="center"/>
          </w:tcPr>
          <w:p>
            <w:pPr>
              <w:jc w:val="left"/>
            </w:pPr>
            <w:r>
              <w:rPr>
                <w:rFonts w:ascii="Calibri" w:hAnsi="Calibri"/>
                <w:sz w:val="18"/>
              </w:rPr>
              <w:t>Other</w:t>
            </w:r>
          </w:p>
        </w:tc>
        <w:tc>
          <w:tcPr>
            <w:tcW w:type="dxa" w:w="1984"/>
            <w:shd w:val="clear" w:color="auto" w:fill="F2F7FF"/>
            <w:vAlign w:val="center"/>
          </w:tcPr>
          <w:p>
            <w:pPr>
              <w:jc w:val="left"/>
            </w:pPr>
            <w:r>
              <w:rPr>
                <w:rFonts w:ascii="Calibri" w:hAnsi="Calibri"/>
                <w:sz w:val="18"/>
              </w:rPr>
              <w:t>82</w:t>
            </w:r>
          </w:p>
        </w:tc>
        <w:tc>
          <w:tcPr>
            <w:tcW w:type="dxa" w:w="1701"/>
            <w:shd w:val="clear" w:color="auto" w:fill="F2F7FF"/>
            <w:vAlign w:val="center"/>
          </w:tcPr>
          <w:p>
            <w:pPr>
              <w:jc w:val="left"/>
            </w:pPr>
            <w:r>
              <w:rPr>
                <w:rFonts w:ascii="Calibri" w:hAnsi="Calibri"/>
                <w:sz w:val="18"/>
              </w:rPr>
              <w:t>8.2%</w:t>
            </w:r>
          </w:p>
        </w:tc>
        <w:tc>
          <w:tcPr>
            <w:tcW w:type="dxa" w:w="2268"/>
            <w:shd w:val="clear" w:color="auto" w:fill="F2F7FF"/>
            <w:vAlign w:val="center"/>
          </w:tcPr>
          <w:p>
            <w:pPr>
              <w:jc w:val="left"/>
            </w:pPr>
            <w:r>
              <w:rPr>
                <w:rFonts w:ascii="Calibri" w:hAnsi="Calibri"/>
                <w:sz w:val="18"/>
              </w:rPr>
              <w:t>Undetermined</w:t>
            </w:r>
          </w:p>
        </w:tc>
      </w:tr>
      <w:tr>
        <w:tc>
          <w:tcPr>
            <w:tcW w:type="dxa" w:w="3118"/>
            <w:shd w:val="clear" w:color="auto" w:fill="FFFFFF"/>
            <w:vAlign w:val="center"/>
          </w:tcPr>
          <w:p>
            <w:pPr>
              <w:jc w:val="left"/>
            </w:pPr>
            <w:r>
              <w:rPr>
                <w:rFonts w:ascii="Calibri" w:hAnsi="Calibri"/>
                <w:sz w:val="18"/>
              </w:rPr>
              <w:t>SODECI (piped)</w:t>
            </w:r>
          </w:p>
        </w:tc>
        <w:tc>
          <w:tcPr>
            <w:tcW w:type="dxa" w:w="1984"/>
            <w:shd w:val="clear" w:color="auto" w:fill="FFFFFF"/>
            <w:vAlign w:val="center"/>
          </w:tcPr>
          <w:p>
            <w:pPr>
              <w:jc w:val="left"/>
            </w:pPr>
            <w:r>
              <w:rPr>
                <w:rFonts w:ascii="Calibri" w:hAnsi="Calibri"/>
                <w:sz w:val="18"/>
              </w:rPr>
              <w:t>80</w:t>
            </w:r>
          </w:p>
        </w:tc>
        <w:tc>
          <w:tcPr>
            <w:tcW w:type="dxa" w:w="1701"/>
            <w:shd w:val="clear" w:color="auto" w:fill="FFFFFF"/>
            <w:vAlign w:val="center"/>
          </w:tcPr>
          <w:p>
            <w:pPr>
              <w:jc w:val="left"/>
            </w:pPr>
            <w:r>
              <w:rPr>
                <w:rFonts w:ascii="Calibri" w:hAnsi="Calibri"/>
                <w:sz w:val="18"/>
              </w:rPr>
              <w:t>8.0%</w:t>
            </w:r>
          </w:p>
        </w:tc>
        <w:tc>
          <w:tcPr>
            <w:tcW w:type="dxa" w:w="2268"/>
            <w:shd w:val="clear" w:color="auto" w:fill="FFFFFF"/>
            <w:vAlign w:val="center"/>
          </w:tcPr>
          <w:p>
            <w:pPr>
              <w:jc w:val="left"/>
            </w:pPr>
            <w:r>
              <w:rPr>
                <w:rFonts w:ascii="Calibri" w:hAnsi="Calibri"/>
                <w:sz w:val="18"/>
              </w:rPr>
              <w:t>Low</w:t>
            </w:r>
          </w:p>
        </w:tc>
      </w:tr>
      <w:tr>
        <w:tc>
          <w:tcPr>
            <w:tcW w:type="dxa" w:w="3118"/>
            <w:shd w:val="clear" w:color="auto" w:fill="F2F7FF"/>
            <w:vAlign w:val="center"/>
          </w:tcPr>
          <w:p>
            <w:pPr>
              <w:jc w:val="left"/>
            </w:pPr>
            <w:r>
              <w:rPr>
                <w:rFonts w:ascii="Calibri" w:hAnsi="Calibri"/>
                <w:sz w:val="18"/>
              </w:rPr>
              <w:t>Total</w:t>
            </w:r>
          </w:p>
        </w:tc>
        <w:tc>
          <w:tcPr>
            <w:tcW w:type="dxa" w:w="1984"/>
            <w:shd w:val="clear" w:color="auto" w:fill="F2F7FF"/>
            <w:vAlign w:val="center"/>
          </w:tcPr>
          <w:p>
            <w:pPr>
              <w:jc w:val="left"/>
            </w:pPr>
            <w:r>
              <w:rPr>
                <w:rFonts w:ascii="Calibri" w:hAnsi="Calibri"/>
                <w:sz w:val="18"/>
              </w:rPr>
              <w:t>1,000</w:t>
            </w:r>
          </w:p>
        </w:tc>
        <w:tc>
          <w:tcPr>
            <w:tcW w:type="dxa" w:w="1701"/>
            <w:shd w:val="clear" w:color="auto" w:fill="F2F7FF"/>
            <w:vAlign w:val="center"/>
          </w:tcPr>
          <w:p>
            <w:pPr>
              <w:jc w:val="left"/>
            </w:pPr>
            <w:r>
              <w:rPr>
                <w:rFonts w:ascii="Calibri" w:hAnsi="Calibri"/>
                <w:sz w:val="18"/>
              </w:rPr>
              <w:t>100%</w:t>
            </w:r>
          </w:p>
        </w:tc>
        <w:tc>
          <w:tcPr>
            <w:tcW w:type="dxa" w:w="2268"/>
            <w:shd w:val="clear" w:color="auto" w:fill="F2F7FF"/>
            <w:vAlign w:val="center"/>
          </w:tcPr>
          <w:p>
            <w:pPr>
              <w:jc w:val="left"/>
            </w:pPr>
            <w:r>
              <w:rPr>
                <w:rFonts w:ascii="Calibri" w:hAnsi="Calibri"/>
                <w:sz w:val="18"/>
              </w:rPr>
              <w:t>-</w:t>
            </w:r>
          </w:p>
        </w:tc>
      </w:tr>
    </w:tbl>
    <w:p/>
    <w:p>
      <w:pPr>
        <w:pStyle w:val="WASH_H2"/>
      </w:pPr>
      <w:r>
        <w:t>3.2 Water quality by department</w:t>
      </w:r>
    </w:p>
    <w:p>
      <w:pPr>
        <w:jc w:val="center"/>
      </w:pPr>
      <w:r>
        <w:drawing>
          <wp:inline xmlns:a="http://schemas.openxmlformats.org/drawingml/2006/main" xmlns:pic="http://schemas.openxmlformats.org/drawingml/2006/picture">
            <wp:extent cx="4114800" cy="3308562"/>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308562"/>
                    </a:xfrm>
                    <a:prstGeom prst="rect"/>
                  </pic:spPr>
                </pic:pic>
              </a:graphicData>
            </a:graphic>
          </wp:inline>
        </w:drawing>
      </w:r>
    </w:p>
    <w:p>
      <w:pPr>
        <w:pStyle w:val="WASH_Caption"/>
        <w:jc w:val="center"/>
      </w:pPr>
      <w:r>
        <w:t>Figure 3 - Perceived water quality by department</w:t>
      </w:r>
    </w:p>
    <w:p>
      <w:pPr>
        <w:jc w:val="center"/>
      </w:pPr>
      <w:r>
        <w:drawing>
          <wp:inline xmlns:a="http://schemas.openxmlformats.org/drawingml/2006/main" xmlns:pic="http://schemas.openxmlformats.org/drawingml/2006/picture">
            <wp:extent cx="3200400" cy="3841955"/>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3841955"/>
                    </a:xfrm>
                    <a:prstGeom prst="rect"/>
                  </pic:spPr>
                </pic:pic>
              </a:graphicData>
            </a:graphic>
          </wp:inline>
        </w:drawing>
      </w:r>
    </w:p>
    <w:p>
      <w:pPr>
        <w:pStyle w:val="WASH_Caption"/>
        <w:jc w:val="center"/>
      </w:pPr>
      <w:r>
        <w:t>Figure 4 - Household water treatment</w:t>
      </w:r>
    </w:p>
    <w:p>
      <w:pPr>
        <w:pStyle w:val="WASH_Caption"/>
        <w:jc w:val="left"/>
      </w:pPr>
      <w:r>
        <w:rPr>
          <w:b/>
          <w:color w:val="1F3864"/>
        </w:rPr>
        <w:t>Table 4 - Water quality by department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984"/>
            <w:shd w:val="clear" w:color="auto" w:fill="0054A6"/>
            <w:vAlign w:val="center"/>
          </w:tcPr>
          <w:p>
            <w:pPr>
              <w:jc w:val="center"/>
            </w:pPr>
            <w:r>
              <w:rPr>
                <w:rFonts w:ascii="Calibri" w:hAnsi="Calibri"/>
                <w:b/>
                <w:color w:val="FFFFFF"/>
                <w:sz w:val="18"/>
              </w:rPr>
              <w:t>Department</w:t>
            </w:r>
          </w:p>
        </w:tc>
        <w:tc>
          <w:tcPr>
            <w:tcW w:type="dxa" w:w="1701"/>
            <w:shd w:val="clear" w:color="auto" w:fill="0054A6"/>
            <w:vAlign w:val="center"/>
          </w:tcPr>
          <w:p>
            <w:pPr>
              <w:jc w:val="center"/>
            </w:pPr>
            <w:r>
              <w:rPr>
                <w:rFonts w:ascii="Calibri" w:hAnsi="Calibri"/>
                <w:b/>
                <w:color w:val="FFFFFF"/>
                <w:sz w:val="18"/>
              </w:rPr>
              <w:t>Good</w:t>
            </w:r>
          </w:p>
        </w:tc>
        <w:tc>
          <w:tcPr>
            <w:tcW w:type="dxa" w:w="1701"/>
            <w:shd w:val="clear" w:color="auto" w:fill="0054A6"/>
            <w:vAlign w:val="center"/>
          </w:tcPr>
          <w:p>
            <w:pPr>
              <w:jc w:val="center"/>
            </w:pPr>
            <w:r>
              <w:rPr>
                <w:rFonts w:ascii="Calibri" w:hAnsi="Calibri"/>
                <w:b/>
                <w:color w:val="FFFFFF"/>
                <w:sz w:val="18"/>
              </w:rPr>
              <w:t>Acceptable</w:t>
            </w:r>
          </w:p>
        </w:tc>
        <w:tc>
          <w:tcPr>
            <w:tcW w:type="dxa" w:w="1701"/>
            <w:shd w:val="clear" w:color="auto" w:fill="0054A6"/>
            <w:vAlign w:val="center"/>
          </w:tcPr>
          <w:p>
            <w:pPr>
              <w:jc w:val="center"/>
            </w:pPr>
            <w:r>
              <w:rPr>
                <w:rFonts w:ascii="Calibri" w:hAnsi="Calibri"/>
                <w:b/>
                <w:color w:val="FFFFFF"/>
                <w:sz w:val="18"/>
              </w:rPr>
              <w:t>Poor</w:t>
            </w:r>
          </w:p>
        </w:tc>
        <w:tc>
          <w:tcPr>
            <w:tcW w:type="dxa" w:w="1134"/>
            <w:shd w:val="clear" w:color="auto" w:fill="0054A6"/>
            <w:vAlign w:val="center"/>
          </w:tcPr>
          <w:p>
            <w:pPr>
              <w:jc w:val="center"/>
            </w:pPr>
            <w:r>
              <w:rPr>
                <w:rFonts w:ascii="Calibri" w:hAnsi="Calibri"/>
                <w:b/>
                <w:color w:val="FFFFFF"/>
                <w:sz w:val="18"/>
              </w:rPr>
              <w:t>Total</w:t>
            </w:r>
          </w:p>
        </w:tc>
        <w:tc>
          <w:tcPr>
            <w:tcW w:type="dxa" w:w="1417"/>
            <w:shd w:val="clear" w:color="auto" w:fill="0054A6"/>
            <w:vAlign w:val="center"/>
          </w:tcPr>
          <w:p>
            <w:pPr>
              <w:jc w:val="center"/>
            </w:pPr>
            <w:r>
              <w:rPr>
                <w:rFonts w:ascii="Calibri" w:hAnsi="Calibri"/>
                <w:b/>
                <w:color w:val="FFFFFF"/>
                <w:sz w:val="18"/>
              </w:rPr>
              <w:t>% poor</w:t>
            </w:r>
          </w:p>
        </w:tc>
      </w:tr>
      <w:tr>
        <w:tc>
          <w:tcPr>
            <w:tcW w:type="dxa" w:w="1984"/>
            <w:shd w:val="clear" w:color="auto" w:fill="F2F7FF"/>
            <w:vAlign w:val="center"/>
          </w:tcPr>
          <w:p>
            <w:pPr>
              <w:jc w:val="left"/>
            </w:pPr>
            <w:r>
              <w:rPr>
                <w:rFonts w:ascii="Calibri" w:hAnsi="Calibri"/>
                <w:sz w:val="18"/>
              </w:rPr>
              <w:t>Goh</w:t>
            </w:r>
          </w:p>
        </w:tc>
        <w:tc>
          <w:tcPr>
            <w:tcW w:type="dxa" w:w="1701"/>
            <w:shd w:val="clear" w:color="auto" w:fill="F2F7FF"/>
            <w:vAlign w:val="center"/>
          </w:tcPr>
          <w:p>
            <w:pPr>
              <w:jc w:val="left"/>
            </w:pPr>
            <w:r>
              <w:rPr>
                <w:rFonts w:ascii="Calibri" w:hAnsi="Calibri"/>
                <w:sz w:val="18"/>
              </w:rPr>
              <w:t>118 (20.7%)</w:t>
            </w:r>
          </w:p>
        </w:tc>
        <w:tc>
          <w:tcPr>
            <w:tcW w:type="dxa" w:w="1701"/>
            <w:shd w:val="clear" w:color="auto" w:fill="F2F7FF"/>
            <w:vAlign w:val="center"/>
          </w:tcPr>
          <w:p>
            <w:pPr>
              <w:jc w:val="left"/>
            </w:pPr>
            <w:r>
              <w:rPr>
                <w:rFonts w:ascii="Calibri" w:hAnsi="Calibri"/>
                <w:sz w:val="18"/>
              </w:rPr>
              <w:t>221 (38.8%)</w:t>
            </w:r>
          </w:p>
        </w:tc>
        <w:tc>
          <w:tcPr>
            <w:tcW w:type="dxa" w:w="1701"/>
            <w:shd w:val="clear" w:color="auto" w:fill="F2F7FF"/>
            <w:vAlign w:val="center"/>
          </w:tcPr>
          <w:p>
            <w:pPr>
              <w:jc w:val="left"/>
            </w:pPr>
            <w:r>
              <w:rPr>
                <w:rFonts w:ascii="Calibri" w:hAnsi="Calibri"/>
                <w:sz w:val="18"/>
              </w:rPr>
              <w:t>231 (40.5%)</w:t>
            </w:r>
          </w:p>
        </w:tc>
        <w:tc>
          <w:tcPr>
            <w:tcW w:type="dxa" w:w="1134"/>
            <w:shd w:val="clear" w:color="auto" w:fill="F2F7FF"/>
            <w:vAlign w:val="center"/>
          </w:tcPr>
          <w:p>
            <w:pPr>
              <w:jc w:val="left"/>
            </w:pPr>
            <w:r>
              <w:rPr>
                <w:rFonts w:ascii="Calibri" w:hAnsi="Calibri"/>
                <w:sz w:val="18"/>
              </w:rPr>
              <w:t>570</w:t>
            </w:r>
          </w:p>
        </w:tc>
        <w:tc>
          <w:tcPr>
            <w:tcW w:type="dxa" w:w="1417"/>
            <w:shd w:val="clear" w:color="auto" w:fill="F2F7FF"/>
            <w:vAlign w:val="center"/>
          </w:tcPr>
          <w:p>
            <w:pPr>
              <w:jc w:val="left"/>
            </w:pPr>
            <w:r>
              <w:rPr>
                <w:rFonts w:ascii="Calibri" w:hAnsi="Calibri"/>
                <w:sz w:val="18"/>
              </w:rPr>
              <w:t>40.5%</w:t>
            </w:r>
          </w:p>
        </w:tc>
      </w:tr>
      <w:tr>
        <w:tc>
          <w:tcPr>
            <w:tcW w:type="dxa" w:w="1984"/>
            <w:shd w:val="clear" w:color="auto" w:fill="FFFFFF"/>
            <w:vAlign w:val="center"/>
          </w:tcPr>
          <w:p>
            <w:pPr>
              <w:jc w:val="left"/>
            </w:pPr>
            <w:r>
              <w:rPr>
                <w:rFonts w:ascii="Calibri" w:hAnsi="Calibri"/>
                <w:sz w:val="18"/>
              </w:rPr>
              <w:t>Loh Djiboua</w:t>
            </w:r>
          </w:p>
        </w:tc>
        <w:tc>
          <w:tcPr>
            <w:tcW w:type="dxa" w:w="1701"/>
            <w:shd w:val="clear" w:color="auto" w:fill="FFFFFF"/>
            <w:vAlign w:val="center"/>
          </w:tcPr>
          <w:p>
            <w:pPr>
              <w:jc w:val="left"/>
            </w:pPr>
            <w:r>
              <w:rPr>
                <w:rFonts w:ascii="Calibri" w:hAnsi="Calibri"/>
                <w:sz w:val="18"/>
              </w:rPr>
              <w:t>90 (20.9%)</w:t>
            </w:r>
          </w:p>
        </w:tc>
        <w:tc>
          <w:tcPr>
            <w:tcW w:type="dxa" w:w="1701"/>
            <w:shd w:val="clear" w:color="auto" w:fill="FFFFFF"/>
            <w:vAlign w:val="center"/>
          </w:tcPr>
          <w:p>
            <w:pPr>
              <w:jc w:val="left"/>
            </w:pPr>
            <w:r>
              <w:rPr>
                <w:rFonts w:ascii="Calibri" w:hAnsi="Calibri"/>
                <w:sz w:val="18"/>
              </w:rPr>
              <w:t>171 (39.8%)</w:t>
            </w:r>
          </w:p>
        </w:tc>
        <w:tc>
          <w:tcPr>
            <w:tcW w:type="dxa" w:w="1701"/>
            <w:shd w:val="clear" w:color="auto" w:fill="FFFFFF"/>
            <w:vAlign w:val="center"/>
          </w:tcPr>
          <w:p>
            <w:pPr>
              <w:jc w:val="left"/>
            </w:pPr>
            <w:r>
              <w:rPr>
                <w:rFonts w:ascii="Calibri" w:hAnsi="Calibri"/>
                <w:sz w:val="18"/>
              </w:rPr>
              <w:t>169 (39.3%)</w:t>
            </w:r>
          </w:p>
        </w:tc>
        <w:tc>
          <w:tcPr>
            <w:tcW w:type="dxa" w:w="1134"/>
            <w:shd w:val="clear" w:color="auto" w:fill="FFFFFF"/>
            <w:vAlign w:val="center"/>
          </w:tcPr>
          <w:p>
            <w:pPr>
              <w:jc w:val="left"/>
            </w:pPr>
            <w:r>
              <w:rPr>
                <w:rFonts w:ascii="Calibri" w:hAnsi="Calibri"/>
                <w:sz w:val="18"/>
              </w:rPr>
              <w:t>430</w:t>
            </w:r>
          </w:p>
        </w:tc>
        <w:tc>
          <w:tcPr>
            <w:tcW w:type="dxa" w:w="1417"/>
            <w:shd w:val="clear" w:color="auto" w:fill="FFFFFF"/>
            <w:vAlign w:val="center"/>
          </w:tcPr>
          <w:p>
            <w:pPr>
              <w:jc w:val="left"/>
            </w:pPr>
            <w:r>
              <w:rPr>
                <w:rFonts w:ascii="Calibri" w:hAnsi="Calibri"/>
                <w:sz w:val="18"/>
              </w:rPr>
              <w:t>39.3%</w:t>
            </w:r>
          </w:p>
        </w:tc>
      </w:tr>
      <w:tr>
        <w:tc>
          <w:tcPr>
            <w:tcW w:type="dxa" w:w="1984"/>
            <w:shd w:val="clear" w:color="auto" w:fill="F2F7FF"/>
            <w:vAlign w:val="center"/>
          </w:tcPr>
          <w:p>
            <w:pPr>
              <w:jc w:val="left"/>
            </w:pPr>
            <w:r>
              <w:rPr>
                <w:rFonts w:ascii="Calibri" w:hAnsi="Calibri"/>
                <w:sz w:val="18"/>
              </w:rPr>
              <w:t>Total</w:t>
            </w:r>
          </w:p>
        </w:tc>
        <w:tc>
          <w:tcPr>
            <w:tcW w:type="dxa" w:w="1701"/>
            <w:shd w:val="clear" w:color="auto" w:fill="F2F7FF"/>
            <w:vAlign w:val="center"/>
          </w:tcPr>
          <w:p>
            <w:pPr>
              <w:jc w:val="left"/>
            </w:pPr>
            <w:r>
              <w:rPr>
                <w:rFonts w:ascii="Calibri" w:hAnsi="Calibri"/>
                <w:sz w:val="18"/>
              </w:rPr>
              <w:t>208 (20.8%)</w:t>
            </w:r>
          </w:p>
        </w:tc>
        <w:tc>
          <w:tcPr>
            <w:tcW w:type="dxa" w:w="1701"/>
            <w:shd w:val="clear" w:color="auto" w:fill="F2F7FF"/>
            <w:vAlign w:val="center"/>
          </w:tcPr>
          <w:p>
            <w:pPr>
              <w:jc w:val="left"/>
            </w:pPr>
            <w:r>
              <w:rPr>
                <w:rFonts w:ascii="Calibri" w:hAnsi="Calibri"/>
                <w:sz w:val="18"/>
              </w:rPr>
              <w:t>392 (39.2%)</w:t>
            </w:r>
          </w:p>
        </w:tc>
        <w:tc>
          <w:tcPr>
            <w:tcW w:type="dxa" w:w="1701"/>
            <w:shd w:val="clear" w:color="auto" w:fill="F2F7FF"/>
            <w:vAlign w:val="center"/>
          </w:tcPr>
          <w:p>
            <w:pPr>
              <w:jc w:val="left"/>
            </w:pPr>
            <w:r>
              <w:rPr>
                <w:rFonts w:ascii="Calibri" w:hAnsi="Calibri"/>
                <w:sz w:val="18"/>
              </w:rPr>
              <w:t>400 (40.0%)</w:t>
            </w:r>
          </w:p>
        </w:tc>
        <w:tc>
          <w:tcPr>
            <w:tcW w:type="dxa" w:w="1134"/>
            <w:shd w:val="clear" w:color="auto" w:fill="F2F7FF"/>
            <w:vAlign w:val="center"/>
          </w:tcPr>
          <w:p>
            <w:pPr>
              <w:jc w:val="left"/>
            </w:pPr>
            <w:r>
              <w:rPr>
                <w:rFonts w:ascii="Calibri" w:hAnsi="Calibri"/>
                <w:sz w:val="18"/>
              </w:rPr>
              <w:t>1,000</w:t>
            </w:r>
          </w:p>
        </w:tc>
        <w:tc>
          <w:tcPr>
            <w:tcW w:type="dxa" w:w="1417"/>
            <w:shd w:val="clear" w:color="auto" w:fill="F2F7FF"/>
            <w:vAlign w:val="center"/>
          </w:tcPr>
          <w:p>
            <w:pPr>
              <w:jc w:val="left"/>
            </w:pPr>
            <w:r>
              <w:rPr>
                <w:rFonts w:ascii="Calibri" w:hAnsi="Calibri"/>
                <w:sz w:val="18"/>
              </w:rPr>
              <w:t>40.0%</w:t>
            </w:r>
          </w:p>
        </w:tc>
      </w:tr>
    </w:tbl>
    <w:p/>
    <w:p>
      <w:pPr>
        <w:pStyle w:val="WASH_H2"/>
      </w:pPr>
      <w:r>
        <w:t>3.3 Water access and waterborne diseases</w:t>
      </w:r>
    </w:p>
    <w:p>
      <w:pPr>
        <w:jc w:val="center"/>
      </w:pPr>
      <w:r>
        <w:drawing>
          <wp:inline xmlns:a="http://schemas.openxmlformats.org/drawingml/2006/main" xmlns:pic="http://schemas.openxmlformats.org/drawingml/2006/picture">
            <wp:extent cx="4114800" cy="3021717"/>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21717"/>
                    </a:xfrm>
                    <a:prstGeom prst="rect"/>
                  </pic:spPr>
                </pic:pic>
              </a:graphicData>
            </a:graphic>
          </wp:inline>
        </w:drawing>
      </w:r>
    </w:p>
    <w:p>
      <w:pPr>
        <w:pStyle w:val="WASH_Caption"/>
        <w:jc w:val="center"/>
      </w:pPr>
      <w:r>
        <w:t>Figure 5 - Time to reach water source</w:t>
      </w:r>
    </w:p>
    <w:p>
      <w:pPr>
        <w:jc w:val="center"/>
      </w:pPr>
      <w:r>
        <w:drawing>
          <wp:inline xmlns:a="http://schemas.openxmlformats.org/drawingml/2006/main" xmlns:pic="http://schemas.openxmlformats.org/drawingml/2006/picture">
            <wp:extent cx="4114800" cy="2956206"/>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2956206"/>
                    </a:xfrm>
                    <a:prstGeom prst="rect"/>
                  </pic:spPr>
                </pic:pic>
              </a:graphicData>
            </a:graphic>
          </wp:inline>
        </w:drawing>
      </w:r>
    </w:p>
    <w:p>
      <w:pPr>
        <w:pStyle w:val="WASH_Caption"/>
        <w:jc w:val="center"/>
      </w:pPr>
      <w:r>
        <w:t>Figure 6 - Reported waterborne diseases by department</w:t>
      </w:r>
    </w:p>
    <w:p>
      <w:pPr>
        <w:pStyle w:val="WASH_Caption"/>
        <w:jc w:val="left"/>
      </w:pPr>
      <w:r>
        <w:rPr>
          <w:b/>
          <w:color w:val="1F3864"/>
        </w:rPr>
        <w:t>Table 5 - Water access time and implications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551"/>
            <w:shd w:val="clear" w:color="auto" w:fill="0054A6"/>
            <w:vAlign w:val="center"/>
          </w:tcPr>
          <w:p>
            <w:pPr>
              <w:jc w:val="center"/>
            </w:pPr>
            <w:r>
              <w:rPr>
                <w:rFonts w:ascii="Calibri" w:hAnsi="Calibri"/>
                <w:b/>
                <w:color w:val="FFFFFF"/>
                <w:sz w:val="18"/>
              </w:rPr>
              <w:t>Time bracket</w:t>
            </w:r>
          </w:p>
        </w:tc>
        <w:tc>
          <w:tcPr>
            <w:tcW w:type="dxa" w:w="1417"/>
            <w:shd w:val="clear" w:color="auto" w:fill="0054A6"/>
            <w:vAlign w:val="center"/>
          </w:tcPr>
          <w:p>
            <w:pPr>
              <w:jc w:val="center"/>
            </w:pPr>
            <w:r>
              <w:rPr>
                <w:rFonts w:ascii="Calibri" w:hAnsi="Calibri"/>
                <w:b/>
                <w:color w:val="FFFFFF"/>
                <w:sz w:val="18"/>
              </w:rPr>
              <w:t>Households</w:t>
            </w:r>
          </w:p>
        </w:tc>
        <w:tc>
          <w:tcPr>
            <w:tcW w:type="dxa" w:w="1417"/>
            <w:shd w:val="clear" w:color="auto" w:fill="0054A6"/>
            <w:vAlign w:val="center"/>
          </w:tcPr>
          <w:p>
            <w:pPr>
              <w:jc w:val="center"/>
            </w:pPr>
            <w:r>
              <w:rPr>
                <w:rFonts w:ascii="Calibri" w:hAnsi="Calibri"/>
                <w:b/>
                <w:color w:val="FFFFFF"/>
                <w:sz w:val="18"/>
              </w:rPr>
              <w:t>%</w:t>
            </w:r>
          </w:p>
        </w:tc>
        <w:tc>
          <w:tcPr>
            <w:tcW w:type="dxa" w:w="1984"/>
            <w:shd w:val="clear" w:color="auto" w:fill="0054A6"/>
            <w:vAlign w:val="center"/>
          </w:tcPr>
          <w:p>
            <w:pPr>
              <w:jc w:val="center"/>
            </w:pPr>
            <w:r>
              <w:rPr>
                <w:rFonts w:ascii="Calibri" w:hAnsi="Calibri"/>
                <w:b/>
                <w:color w:val="FFFFFF"/>
                <w:sz w:val="18"/>
              </w:rPr>
              <w:t>WHO standard</w:t>
            </w:r>
          </w:p>
        </w:tc>
        <w:tc>
          <w:tcPr>
            <w:tcW w:type="dxa" w:w="1701"/>
            <w:shd w:val="clear" w:color="auto" w:fill="0054A6"/>
            <w:vAlign w:val="center"/>
          </w:tcPr>
          <w:p>
            <w:pPr>
              <w:jc w:val="center"/>
            </w:pPr>
            <w:r>
              <w:rPr>
                <w:rFonts w:ascii="Calibri" w:hAnsi="Calibri"/>
                <w:b/>
                <w:color w:val="FFFFFF"/>
                <w:sz w:val="18"/>
              </w:rPr>
              <w:t>Status</w:t>
            </w:r>
          </w:p>
        </w:tc>
      </w:tr>
      <w:tr>
        <w:tc>
          <w:tcPr>
            <w:tcW w:type="dxa" w:w="2551"/>
            <w:shd w:val="clear" w:color="auto" w:fill="F2F7FF"/>
            <w:vAlign w:val="center"/>
          </w:tcPr>
          <w:p>
            <w:pPr>
              <w:jc w:val="left"/>
            </w:pPr>
            <w:r>
              <w:rPr>
                <w:rFonts w:ascii="Calibri" w:hAnsi="Calibri"/>
                <w:sz w:val="18"/>
              </w:rPr>
              <w:t>Under 30 minutes</w:t>
            </w:r>
          </w:p>
        </w:tc>
        <w:tc>
          <w:tcPr>
            <w:tcW w:type="dxa" w:w="1417"/>
            <w:shd w:val="clear" w:color="auto" w:fill="F2F7FF"/>
            <w:vAlign w:val="center"/>
          </w:tcPr>
          <w:p>
            <w:pPr>
              <w:jc w:val="left"/>
            </w:pPr>
            <w:r>
              <w:rPr>
                <w:rFonts w:ascii="Calibri" w:hAnsi="Calibri"/>
                <w:sz w:val="18"/>
              </w:rPr>
              <w:t>386</w:t>
            </w:r>
          </w:p>
        </w:tc>
        <w:tc>
          <w:tcPr>
            <w:tcW w:type="dxa" w:w="1417"/>
            <w:shd w:val="clear" w:color="auto" w:fill="F2F7FF"/>
            <w:vAlign w:val="center"/>
          </w:tcPr>
          <w:p>
            <w:pPr>
              <w:jc w:val="left"/>
            </w:pPr>
            <w:r>
              <w:rPr>
                <w:rFonts w:ascii="Calibri" w:hAnsi="Calibri"/>
                <w:sz w:val="18"/>
              </w:rPr>
              <w:t>38.6%</w:t>
            </w:r>
          </w:p>
        </w:tc>
        <w:tc>
          <w:tcPr>
            <w:tcW w:type="dxa" w:w="1984"/>
            <w:shd w:val="clear" w:color="auto" w:fill="F2F7FF"/>
            <w:vAlign w:val="center"/>
          </w:tcPr>
          <w:p>
            <w:pPr>
              <w:jc w:val="left"/>
            </w:pPr>
            <w:r>
              <w:rPr>
                <w:rFonts w:ascii="Calibri" w:hAnsi="Calibri"/>
                <w:sz w:val="18"/>
              </w:rPr>
              <w:t>Compliant</w:t>
            </w:r>
          </w:p>
        </w:tc>
        <w:tc>
          <w:tcPr>
            <w:tcW w:type="dxa" w:w="1701"/>
            <w:shd w:val="clear" w:color="auto" w:fill="F2F7FF"/>
            <w:vAlign w:val="center"/>
          </w:tcPr>
          <w:p>
            <w:pPr>
              <w:jc w:val="left"/>
            </w:pPr>
            <w:r>
              <w:rPr>
                <w:rFonts w:ascii="Calibri" w:hAnsi="Calibri"/>
                <w:sz w:val="18"/>
              </w:rPr>
              <w:t>Acceptable</w:t>
            </w:r>
          </w:p>
        </w:tc>
      </w:tr>
      <w:tr>
        <w:tc>
          <w:tcPr>
            <w:tcW w:type="dxa" w:w="2551"/>
            <w:shd w:val="clear" w:color="auto" w:fill="FFFFFF"/>
            <w:vAlign w:val="center"/>
          </w:tcPr>
          <w:p>
            <w:pPr>
              <w:jc w:val="left"/>
            </w:pPr>
            <w:r>
              <w:rPr>
                <w:rFonts w:ascii="Calibri" w:hAnsi="Calibri"/>
                <w:sz w:val="18"/>
              </w:rPr>
              <w:t>30 to 60 minutes</w:t>
            </w:r>
          </w:p>
        </w:tc>
        <w:tc>
          <w:tcPr>
            <w:tcW w:type="dxa" w:w="1417"/>
            <w:shd w:val="clear" w:color="auto" w:fill="FFFFFF"/>
            <w:vAlign w:val="center"/>
          </w:tcPr>
          <w:p>
            <w:pPr>
              <w:jc w:val="left"/>
            </w:pPr>
            <w:r>
              <w:rPr>
                <w:rFonts w:ascii="Calibri" w:hAnsi="Calibri"/>
                <w:sz w:val="18"/>
              </w:rPr>
              <w:t>341</w:t>
            </w:r>
          </w:p>
        </w:tc>
        <w:tc>
          <w:tcPr>
            <w:tcW w:type="dxa" w:w="1417"/>
            <w:shd w:val="clear" w:color="auto" w:fill="FFFFFF"/>
            <w:vAlign w:val="center"/>
          </w:tcPr>
          <w:p>
            <w:pPr>
              <w:jc w:val="left"/>
            </w:pPr>
            <w:r>
              <w:rPr>
                <w:rFonts w:ascii="Calibri" w:hAnsi="Calibri"/>
                <w:sz w:val="18"/>
              </w:rPr>
              <w:t>34.1%</w:t>
            </w:r>
          </w:p>
        </w:tc>
        <w:tc>
          <w:tcPr>
            <w:tcW w:type="dxa" w:w="1984"/>
            <w:shd w:val="clear" w:color="auto" w:fill="FFFFFF"/>
            <w:vAlign w:val="center"/>
          </w:tcPr>
          <w:p>
            <w:pPr>
              <w:jc w:val="left"/>
            </w:pPr>
            <w:r>
              <w:rPr>
                <w:rFonts w:ascii="Calibri" w:hAnsi="Calibri"/>
                <w:sz w:val="18"/>
              </w:rPr>
              <w:t>Borderline</w:t>
            </w:r>
          </w:p>
        </w:tc>
        <w:tc>
          <w:tcPr>
            <w:tcW w:type="dxa" w:w="1701"/>
            <w:shd w:val="clear" w:color="auto" w:fill="FFFFFF"/>
            <w:vAlign w:val="center"/>
          </w:tcPr>
          <w:p>
            <w:pPr>
              <w:jc w:val="left"/>
            </w:pPr>
            <w:r>
              <w:rPr>
                <w:rFonts w:ascii="Calibri" w:hAnsi="Calibri"/>
                <w:sz w:val="18"/>
              </w:rPr>
              <w:t>Caution</w:t>
            </w:r>
          </w:p>
        </w:tc>
      </w:tr>
      <w:tr>
        <w:tc>
          <w:tcPr>
            <w:tcW w:type="dxa" w:w="2551"/>
            <w:shd w:val="clear" w:color="auto" w:fill="F2F7FF"/>
            <w:vAlign w:val="center"/>
          </w:tcPr>
          <w:p>
            <w:pPr>
              <w:jc w:val="left"/>
            </w:pPr>
            <w:r>
              <w:rPr>
                <w:rFonts w:ascii="Calibri" w:hAnsi="Calibri"/>
                <w:sz w:val="18"/>
              </w:rPr>
              <w:t>Over 60 minutes</w:t>
            </w:r>
          </w:p>
        </w:tc>
        <w:tc>
          <w:tcPr>
            <w:tcW w:type="dxa" w:w="1417"/>
            <w:shd w:val="clear" w:color="auto" w:fill="F2F7FF"/>
            <w:vAlign w:val="center"/>
          </w:tcPr>
          <w:p>
            <w:pPr>
              <w:jc w:val="left"/>
            </w:pPr>
            <w:r>
              <w:rPr>
                <w:rFonts w:ascii="Calibri" w:hAnsi="Calibri"/>
                <w:sz w:val="18"/>
              </w:rPr>
              <w:t>273</w:t>
            </w:r>
          </w:p>
        </w:tc>
        <w:tc>
          <w:tcPr>
            <w:tcW w:type="dxa" w:w="1417"/>
            <w:shd w:val="clear" w:color="auto" w:fill="F2F7FF"/>
            <w:vAlign w:val="center"/>
          </w:tcPr>
          <w:p>
            <w:pPr>
              <w:jc w:val="left"/>
            </w:pPr>
            <w:r>
              <w:rPr>
                <w:rFonts w:ascii="Calibri" w:hAnsi="Calibri"/>
                <w:sz w:val="18"/>
              </w:rPr>
              <w:t>27.3%</w:t>
            </w:r>
          </w:p>
        </w:tc>
        <w:tc>
          <w:tcPr>
            <w:tcW w:type="dxa" w:w="1984"/>
            <w:shd w:val="clear" w:color="auto" w:fill="F2F7FF"/>
            <w:vAlign w:val="center"/>
          </w:tcPr>
          <w:p>
            <w:pPr>
              <w:jc w:val="left"/>
            </w:pPr>
            <w:r>
              <w:rPr>
                <w:rFonts w:ascii="Calibri" w:hAnsi="Calibri"/>
                <w:sz w:val="18"/>
              </w:rPr>
              <w:t>Non-compliant</w:t>
            </w:r>
          </w:p>
        </w:tc>
        <w:tc>
          <w:tcPr>
            <w:tcW w:type="dxa" w:w="1701"/>
            <w:shd w:val="clear" w:color="auto" w:fill="F2F7FF"/>
            <w:vAlign w:val="center"/>
          </w:tcPr>
          <w:p>
            <w:pPr>
              <w:jc w:val="left"/>
            </w:pPr>
            <w:r>
              <w:rPr>
                <w:rFonts w:ascii="Calibri" w:hAnsi="Calibri"/>
                <w:sz w:val="18"/>
              </w:rPr>
              <w:t>Critical</w:t>
            </w:r>
          </w:p>
        </w:tc>
      </w:tr>
    </w:tbl>
    <w:p/>
    <w:p>
      <w:pPr>
        <w:pStyle w:val="WASH_Caption"/>
        <w:jc w:val="left"/>
      </w:pPr>
      <w:r>
        <w:rPr>
          <w:b/>
          <w:color w:val="1F3864"/>
        </w:rPr>
        <w:t>Table 6 - Reported waterborne diseases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0054A6"/>
            <w:vAlign w:val="center"/>
          </w:tcPr>
          <w:p>
            <w:pPr>
              <w:jc w:val="center"/>
            </w:pPr>
            <w:r>
              <w:rPr>
                <w:rFonts w:ascii="Calibri" w:hAnsi="Calibri"/>
                <w:b/>
                <w:color w:val="FFFFFF"/>
                <w:sz w:val="18"/>
              </w:rPr>
              <w:t>Disease</w:t>
            </w:r>
          </w:p>
        </w:tc>
        <w:tc>
          <w:tcPr>
            <w:tcW w:type="dxa" w:w="1417"/>
            <w:shd w:val="clear" w:color="auto" w:fill="0054A6"/>
            <w:vAlign w:val="center"/>
          </w:tcPr>
          <w:p>
            <w:pPr>
              <w:jc w:val="center"/>
            </w:pPr>
            <w:r>
              <w:rPr>
                <w:rFonts w:ascii="Calibri" w:hAnsi="Calibri"/>
                <w:b/>
                <w:color w:val="FFFFFF"/>
                <w:sz w:val="18"/>
              </w:rPr>
              <w:t>Goh</w:t>
            </w:r>
          </w:p>
        </w:tc>
        <w:tc>
          <w:tcPr>
            <w:tcW w:type="dxa" w:w="1701"/>
            <w:shd w:val="clear" w:color="auto" w:fill="0054A6"/>
            <w:vAlign w:val="center"/>
          </w:tcPr>
          <w:p>
            <w:pPr>
              <w:jc w:val="center"/>
            </w:pPr>
            <w:r>
              <w:rPr>
                <w:rFonts w:ascii="Calibri" w:hAnsi="Calibri"/>
                <w:b/>
                <w:color w:val="FFFFFF"/>
                <w:sz w:val="18"/>
              </w:rPr>
              <w:t>Loh Djiboua</w:t>
            </w:r>
          </w:p>
        </w:tc>
        <w:tc>
          <w:tcPr>
            <w:tcW w:type="dxa" w:w="1701"/>
            <w:shd w:val="clear" w:color="auto" w:fill="0054A6"/>
            <w:vAlign w:val="center"/>
          </w:tcPr>
          <w:p>
            <w:pPr>
              <w:jc w:val="center"/>
            </w:pPr>
            <w:r>
              <w:rPr>
                <w:rFonts w:ascii="Calibri" w:hAnsi="Calibri"/>
                <w:b/>
                <w:color w:val="FFFFFF"/>
                <w:sz w:val="18"/>
              </w:rPr>
              <w:t>Estimated total</w:t>
            </w:r>
          </w:p>
        </w:tc>
        <w:tc>
          <w:tcPr>
            <w:tcW w:type="dxa" w:w="1984"/>
            <w:shd w:val="clear" w:color="auto" w:fill="0054A6"/>
            <w:vAlign w:val="center"/>
          </w:tcPr>
          <w:p>
            <w:pPr>
              <w:jc w:val="center"/>
            </w:pPr>
            <w:r>
              <w:rPr>
                <w:rFonts w:ascii="Calibri" w:hAnsi="Calibri"/>
                <w:b/>
                <w:color w:val="FFFFFF"/>
                <w:sz w:val="18"/>
              </w:rPr>
              <w:t>Severity</w:t>
            </w:r>
          </w:p>
        </w:tc>
      </w:tr>
      <w:tr>
        <w:tc>
          <w:tcPr>
            <w:tcW w:type="dxa" w:w="2268"/>
            <w:shd w:val="clear" w:color="auto" w:fill="F2F7FF"/>
            <w:vAlign w:val="center"/>
          </w:tcPr>
          <w:p>
            <w:pPr>
              <w:jc w:val="left"/>
            </w:pPr>
            <w:r>
              <w:rPr>
                <w:rFonts w:ascii="Calibri" w:hAnsi="Calibri"/>
                <w:sz w:val="18"/>
              </w:rPr>
              <w:t>Diarrhea</w:t>
            </w:r>
          </w:p>
        </w:tc>
        <w:tc>
          <w:tcPr>
            <w:tcW w:type="dxa" w:w="1417"/>
            <w:shd w:val="clear" w:color="auto" w:fill="F2F7FF"/>
            <w:vAlign w:val="center"/>
          </w:tcPr>
          <w:p>
            <w:pPr>
              <w:jc w:val="left"/>
            </w:pPr>
            <w:r>
              <w:rPr>
                <w:rFonts w:ascii="Calibri" w:hAnsi="Calibri"/>
                <w:sz w:val="18"/>
              </w:rPr>
              <w:t>~115</w:t>
            </w:r>
          </w:p>
        </w:tc>
        <w:tc>
          <w:tcPr>
            <w:tcW w:type="dxa" w:w="1701"/>
            <w:shd w:val="clear" w:color="auto" w:fill="F2F7FF"/>
            <w:vAlign w:val="center"/>
          </w:tcPr>
          <w:p>
            <w:pPr>
              <w:jc w:val="left"/>
            </w:pPr>
            <w:r>
              <w:rPr>
                <w:rFonts w:ascii="Calibri" w:hAnsi="Calibri"/>
                <w:sz w:val="18"/>
              </w:rPr>
              <w:t>~87</w:t>
            </w:r>
          </w:p>
        </w:tc>
        <w:tc>
          <w:tcPr>
            <w:tcW w:type="dxa" w:w="1701"/>
            <w:shd w:val="clear" w:color="auto" w:fill="F2F7FF"/>
            <w:vAlign w:val="center"/>
          </w:tcPr>
          <w:p>
            <w:pPr>
              <w:jc w:val="left"/>
            </w:pPr>
            <w:r>
              <w:rPr>
                <w:rFonts w:ascii="Calibri" w:hAnsi="Calibri"/>
                <w:sz w:val="18"/>
              </w:rPr>
              <w:t>~202</w:t>
            </w:r>
          </w:p>
        </w:tc>
        <w:tc>
          <w:tcPr>
            <w:tcW w:type="dxa" w:w="1984"/>
            <w:shd w:val="clear" w:color="auto" w:fill="F2F7FF"/>
            <w:vAlign w:val="center"/>
          </w:tcPr>
          <w:p>
            <w:pPr>
              <w:jc w:val="left"/>
            </w:pPr>
            <w:r>
              <w:rPr>
                <w:rFonts w:ascii="Calibri" w:hAnsi="Calibri"/>
                <w:sz w:val="18"/>
              </w:rPr>
              <w:t>Moderate</w:t>
            </w:r>
          </w:p>
        </w:tc>
      </w:tr>
      <w:tr>
        <w:tc>
          <w:tcPr>
            <w:tcW w:type="dxa" w:w="2268"/>
            <w:shd w:val="clear" w:color="auto" w:fill="FFFFFF"/>
            <w:vAlign w:val="center"/>
          </w:tcPr>
          <w:p>
            <w:pPr>
              <w:jc w:val="left"/>
            </w:pPr>
            <w:r>
              <w:rPr>
                <w:rFonts w:ascii="Calibri" w:hAnsi="Calibri"/>
                <w:sz w:val="18"/>
              </w:rPr>
              <w:t>Typhoid</w:t>
            </w:r>
          </w:p>
        </w:tc>
        <w:tc>
          <w:tcPr>
            <w:tcW w:type="dxa" w:w="1417"/>
            <w:shd w:val="clear" w:color="auto" w:fill="FFFFFF"/>
            <w:vAlign w:val="center"/>
          </w:tcPr>
          <w:p>
            <w:pPr>
              <w:jc w:val="left"/>
            </w:pPr>
            <w:r>
              <w:rPr>
                <w:rFonts w:ascii="Calibri" w:hAnsi="Calibri"/>
                <w:sz w:val="18"/>
              </w:rPr>
              <w:t>~72</w:t>
            </w:r>
          </w:p>
        </w:tc>
        <w:tc>
          <w:tcPr>
            <w:tcW w:type="dxa" w:w="1701"/>
            <w:shd w:val="clear" w:color="auto" w:fill="FFFFFF"/>
            <w:vAlign w:val="center"/>
          </w:tcPr>
          <w:p>
            <w:pPr>
              <w:jc w:val="left"/>
            </w:pPr>
            <w:r>
              <w:rPr>
                <w:rFonts w:ascii="Calibri" w:hAnsi="Calibri"/>
                <w:sz w:val="18"/>
              </w:rPr>
              <w:t>~55</w:t>
            </w:r>
          </w:p>
        </w:tc>
        <w:tc>
          <w:tcPr>
            <w:tcW w:type="dxa" w:w="1701"/>
            <w:shd w:val="clear" w:color="auto" w:fill="FFFFFF"/>
            <w:vAlign w:val="center"/>
          </w:tcPr>
          <w:p>
            <w:pPr>
              <w:jc w:val="left"/>
            </w:pPr>
            <w:r>
              <w:rPr>
                <w:rFonts w:ascii="Calibri" w:hAnsi="Calibri"/>
                <w:sz w:val="18"/>
              </w:rPr>
              <w:t>~127</w:t>
            </w:r>
          </w:p>
        </w:tc>
        <w:tc>
          <w:tcPr>
            <w:tcW w:type="dxa" w:w="1984"/>
            <w:shd w:val="clear" w:color="auto" w:fill="FFFFFF"/>
            <w:vAlign w:val="center"/>
          </w:tcPr>
          <w:p>
            <w:pPr>
              <w:jc w:val="left"/>
            </w:pPr>
            <w:r>
              <w:rPr>
                <w:rFonts w:ascii="Calibri" w:hAnsi="Calibri"/>
                <w:sz w:val="18"/>
              </w:rPr>
              <w:t>High</w:t>
            </w:r>
          </w:p>
        </w:tc>
      </w:tr>
      <w:tr>
        <w:tc>
          <w:tcPr>
            <w:tcW w:type="dxa" w:w="2268"/>
            <w:shd w:val="clear" w:color="auto" w:fill="F2F7FF"/>
            <w:vAlign w:val="center"/>
          </w:tcPr>
          <w:p>
            <w:pPr>
              <w:jc w:val="left"/>
            </w:pPr>
            <w:r>
              <w:rPr>
                <w:rFonts w:ascii="Calibri" w:hAnsi="Calibri"/>
                <w:sz w:val="18"/>
              </w:rPr>
              <w:t>Hepatitis A</w:t>
            </w:r>
          </w:p>
        </w:tc>
        <w:tc>
          <w:tcPr>
            <w:tcW w:type="dxa" w:w="1417"/>
            <w:shd w:val="clear" w:color="auto" w:fill="F2F7FF"/>
            <w:vAlign w:val="center"/>
          </w:tcPr>
          <w:p>
            <w:pPr>
              <w:jc w:val="left"/>
            </w:pPr>
            <w:r>
              <w:rPr>
                <w:rFonts w:ascii="Calibri" w:hAnsi="Calibri"/>
                <w:sz w:val="18"/>
              </w:rPr>
              <w:t>~60</w:t>
            </w:r>
          </w:p>
        </w:tc>
        <w:tc>
          <w:tcPr>
            <w:tcW w:type="dxa" w:w="1701"/>
            <w:shd w:val="clear" w:color="auto" w:fill="F2F7FF"/>
            <w:vAlign w:val="center"/>
          </w:tcPr>
          <w:p>
            <w:pPr>
              <w:jc w:val="left"/>
            </w:pPr>
            <w:r>
              <w:rPr>
                <w:rFonts w:ascii="Calibri" w:hAnsi="Calibri"/>
                <w:sz w:val="18"/>
              </w:rPr>
              <w:t>~43</w:t>
            </w:r>
          </w:p>
        </w:tc>
        <w:tc>
          <w:tcPr>
            <w:tcW w:type="dxa" w:w="1701"/>
            <w:shd w:val="clear" w:color="auto" w:fill="F2F7FF"/>
            <w:vAlign w:val="center"/>
          </w:tcPr>
          <w:p>
            <w:pPr>
              <w:jc w:val="left"/>
            </w:pPr>
            <w:r>
              <w:rPr>
                <w:rFonts w:ascii="Calibri" w:hAnsi="Calibri"/>
                <w:sz w:val="18"/>
              </w:rPr>
              <w:t>~103</w:t>
            </w:r>
          </w:p>
        </w:tc>
        <w:tc>
          <w:tcPr>
            <w:tcW w:type="dxa" w:w="1984"/>
            <w:shd w:val="clear" w:color="auto" w:fill="F2F7FF"/>
            <w:vAlign w:val="center"/>
          </w:tcPr>
          <w:p>
            <w:pPr>
              <w:jc w:val="left"/>
            </w:pPr>
            <w:r>
              <w:rPr>
                <w:rFonts w:ascii="Calibri" w:hAnsi="Calibri"/>
                <w:sz w:val="18"/>
              </w:rPr>
              <w:t>High</w:t>
            </w:r>
          </w:p>
        </w:tc>
      </w:tr>
      <w:tr>
        <w:tc>
          <w:tcPr>
            <w:tcW w:type="dxa" w:w="2268"/>
            <w:shd w:val="clear" w:color="auto" w:fill="FFFFFF"/>
            <w:vAlign w:val="center"/>
          </w:tcPr>
          <w:p>
            <w:pPr>
              <w:jc w:val="left"/>
            </w:pPr>
            <w:r>
              <w:rPr>
                <w:rFonts w:ascii="Calibri" w:hAnsi="Calibri"/>
                <w:sz w:val="18"/>
              </w:rPr>
              <w:t>Cholera</w:t>
            </w:r>
          </w:p>
        </w:tc>
        <w:tc>
          <w:tcPr>
            <w:tcW w:type="dxa" w:w="1417"/>
            <w:shd w:val="clear" w:color="auto" w:fill="FFFFFF"/>
            <w:vAlign w:val="center"/>
          </w:tcPr>
          <w:p>
            <w:pPr>
              <w:jc w:val="left"/>
            </w:pPr>
            <w:r>
              <w:rPr>
                <w:rFonts w:ascii="Calibri" w:hAnsi="Calibri"/>
                <w:sz w:val="18"/>
              </w:rPr>
              <w:t>~50</w:t>
            </w:r>
          </w:p>
        </w:tc>
        <w:tc>
          <w:tcPr>
            <w:tcW w:type="dxa" w:w="1701"/>
            <w:shd w:val="clear" w:color="auto" w:fill="FFFFFF"/>
            <w:vAlign w:val="center"/>
          </w:tcPr>
          <w:p>
            <w:pPr>
              <w:jc w:val="left"/>
            </w:pPr>
            <w:r>
              <w:rPr>
                <w:rFonts w:ascii="Calibri" w:hAnsi="Calibri"/>
                <w:sz w:val="18"/>
              </w:rPr>
              <w:t>~34</w:t>
            </w:r>
          </w:p>
        </w:tc>
        <w:tc>
          <w:tcPr>
            <w:tcW w:type="dxa" w:w="1701"/>
            <w:shd w:val="clear" w:color="auto" w:fill="FFFFFF"/>
            <w:vAlign w:val="center"/>
          </w:tcPr>
          <w:p>
            <w:pPr>
              <w:jc w:val="left"/>
            </w:pPr>
            <w:r>
              <w:rPr>
                <w:rFonts w:ascii="Calibri" w:hAnsi="Calibri"/>
                <w:sz w:val="18"/>
              </w:rPr>
              <w:t>~84</w:t>
            </w:r>
          </w:p>
        </w:tc>
        <w:tc>
          <w:tcPr>
            <w:tcW w:type="dxa" w:w="1984"/>
            <w:shd w:val="clear" w:color="auto" w:fill="FFFFFF"/>
            <w:vAlign w:val="center"/>
          </w:tcPr>
          <w:p>
            <w:pPr>
              <w:jc w:val="left"/>
            </w:pPr>
            <w:r>
              <w:rPr>
                <w:rFonts w:ascii="Calibri" w:hAnsi="Calibri"/>
                <w:sz w:val="18"/>
              </w:rPr>
              <w:t>Very high</w:t>
            </w:r>
          </w:p>
        </w:tc>
      </w:tr>
      <w:tr>
        <w:tc>
          <w:tcPr>
            <w:tcW w:type="dxa" w:w="2268"/>
            <w:shd w:val="clear" w:color="auto" w:fill="F2F7FF"/>
            <w:vAlign w:val="center"/>
          </w:tcPr>
          <w:p>
            <w:pPr>
              <w:jc w:val="left"/>
            </w:pPr>
            <w:r>
              <w:rPr>
                <w:rFonts w:ascii="Calibri" w:hAnsi="Calibri"/>
                <w:sz w:val="18"/>
              </w:rPr>
              <w:t>Total reported</w:t>
            </w:r>
          </w:p>
        </w:tc>
        <w:tc>
          <w:tcPr>
            <w:tcW w:type="dxa" w:w="1417"/>
            <w:shd w:val="clear" w:color="auto" w:fill="F2F7FF"/>
            <w:vAlign w:val="center"/>
          </w:tcPr>
          <w:p>
            <w:pPr>
              <w:jc w:val="left"/>
            </w:pPr>
            <w:r>
              <w:rPr>
                <w:rFonts w:ascii="Calibri" w:hAnsi="Calibri"/>
                <w:sz w:val="18"/>
              </w:rPr>
              <w:t>~297</w:t>
            </w:r>
          </w:p>
        </w:tc>
        <w:tc>
          <w:tcPr>
            <w:tcW w:type="dxa" w:w="1701"/>
            <w:shd w:val="clear" w:color="auto" w:fill="F2F7FF"/>
            <w:vAlign w:val="center"/>
          </w:tcPr>
          <w:p>
            <w:pPr>
              <w:jc w:val="left"/>
            </w:pPr>
            <w:r>
              <w:rPr>
                <w:rFonts w:ascii="Calibri" w:hAnsi="Calibri"/>
                <w:sz w:val="18"/>
              </w:rPr>
              <w:t>~219</w:t>
            </w:r>
          </w:p>
        </w:tc>
        <w:tc>
          <w:tcPr>
            <w:tcW w:type="dxa" w:w="1701"/>
            <w:shd w:val="clear" w:color="auto" w:fill="F2F7FF"/>
            <w:vAlign w:val="center"/>
          </w:tcPr>
          <w:p>
            <w:pPr>
              <w:jc w:val="left"/>
            </w:pPr>
            <w:r>
              <w:rPr>
                <w:rFonts w:ascii="Calibri" w:hAnsi="Calibri"/>
                <w:sz w:val="18"/>
              </w:rPr>
              <w:t>~516 cases</w:t>
            </w:r>
          </w:p>
        </w:tc>
        <w:tc>
          <w:tcPr>
            <w:tcW w:type="dxa" w:w="1984"/>
            <w:shd w:val="clear" w:color="auto" w:fill="F2F7FF"/>
            <w:vAlign w:val="center"/>
          </w:tcPr>
          <w:p>
            <w:pPr>
              <w:jc w:val="left"/>
            </w:pPr>
            <w:r>
              <w:rPr>
                <w:rFonts w:ascii="Calibri" w:hAnsi="Calibri"/>
                <w:sz w:val="18"/>
              </w:rPr>
              <w:t>-</w:t>
            </w:r>
          </w:p>
        </w:tc>
      </w:tr>
    </w:tbl>
    <w:p/>
    <w:p>
      <w:r>
        <w:br w:type="page"/>
      </w:r>
    </w:p>
    <w:p>
      <w:pPr>
        <w:pStyle w:val="WASH_H1"/>
      </w:pPr>
      <w:r>
        <w:t>Section 4 - Sanitation Infrastructure</w:t>
      </w:r>
    </w:p>
    <w:p>
      <w:pPr>
        <w:pStyle w:val="WASH_Body"/>
      </w:pPr>
      <w:r>
        <w:rPr>
          <w:b w:val="0"/>
          <w:i w:val="0"/>
        </w:rPr>
        <w:t>Sanitation represents a major challenge in both departments. Nearly one third of households (33.6%) have no access to latrines, and only 14.8% have improved latrines or modern toilets, far from SDG 6 targets.</w:t>
      </w:r>
    </w:p>
    <w:p>
      <w:pPr>
        <w:jc w:val="center"/>
      </w:pPr>
      <w:r>
        <w:drawing>
          <wp:inline xmlns:a="http://schemas.openxmlformats.org/drawingml/2006/main" xmlns:pic="http://schemas.openxmlformats.org/drawingml/2006/picture">
            <wp:extent cx="4572000" cy="3155576"/>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3155576"/>
                    </a:xfrm>
                    <a:prstGeom prst="rect"/>
                  </pic:spPr>
                </pic:pic>
              </a:graphicData>
            </a:graphic>
          </wp:inline>
        </w:drawing>
      </w:r>
    </w:p>
    <w:p>
      <w:pPr>
        <w:pStyle w:val="WASH_Caption"/>
        <w:jc w:val="center"/>
      </w:pPr>
      <w:r>
        <w:t>Figure 7 - Sanitation infrastructure types (N=1000)</w:t>
      </w:r>
    </w:p>
    <w:p>
      <w:pPr>
        <w:pStyle w:val="WASH_Caption"/>
        <w:jc w:val="left"/>
      </w:pPr>
      <w:r>
        <w:rPr>
          <w:b/>
          <w:color w:val="1F3864"/>
        </w:rPr>
        <w:t>Table 7 - Latrine types and SDG 6 compliance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0054A6"/>
            <w:vAlign w:val="center"/>
          </w:tcPr>
          <w:p>
            <w:pPr>
              <w:jc w:val="center"/>
            </w:pPr>
            <w:r>
              <w:rPr>
                <w:rFonts w:ascii="Calibri" w:hAnsi="Calibri"/>
                <w:b/>
                <w:color w:val="FFFFFF"/>
                <w:sz w:val="18"/>
              </w:rPr>
              <w:t>Infrastructure type</w:t>
            </w:r>
          </w:p>
        </w:tc>
        <w:tc>
          <w:tcPr>
            <w:tcW w:type="dxa" w:w="1701"/>
            <w:shd w:val="clear" w:color="auto" w:fill="0054A6"/>
            <w:vAlign w:val="center"/>
          </w:tcPr>
          <w:p>
            <w:pPr>
              <w:jc w:val="center"/>
            </w:pPr>
            <w:r>
              <w:rPr>
                <w:rFonts w:ascii="Calibri" w:hAnsi="Calibri"/>
                <w:b/>
                <w:color w:val="FFFFFF"/>
                <w:sz w:val="18"/>
              </w:rPr>
              <w:t>No. households</w:t>
            </w:r>
          </w:p>
        </w:tc>
        <w:tc>
          <w:tcPr>
            <w:tcW w:type="dxa" w:w="1417"/>
            <w:shd w:val="clear" w:color="auto" w:fill="0054A6"/>
            <w:vAlign w:val="center"/>
          </w:tcPr>
          <w:p>
            <w:pPr>
              <w:jc w:val="center"/>
            </w:pPr>
            <w:r>
              <w:rPr>
                <w:rFonts w:ascii="Calibri" w:hAnsi="Calibri"/>
                <w:b/>
                <w:color w:val="FFFFFF"/>
                <w:sz w:val="18"/>
              </w:rPr>
              <w:t>%</w:t>
            </w:r>
          </w:p>
        </w:tc>
        <w:tc>
          <w:tcPr>
            <w:tcW w:type="dxa" w:w="2551"/>
            <w:shd w:val="clear" w:color="auto" w:fill="0054A6"/>
            <w:vAlign w:val="center"/>
          </w:tcPr>
          <w:p>
            <w:pPr>
              <w:jc w:val="center"/>
            </w:pPr>
            <w:r>
              <w:rPr>
                <w:rFonts w:ascii="Calibri" w:hAnsi="Calibri"/>
                <w:b/>
                <w:color w:val="FFFFFF"/>
                <w:sz w:val="18"/>
              </w:rPr>
              <w:t>SDG 6 compliance</w:t>
            </w:r>
          </w:p>
        </w:tc>
      </w:tr>
      <w:tr>
        <w:tc>
          <w:tcPr>
            <w:tcW w:type="dxa" w:w="3402"/>
            <w:shd w:val="clear" w:color="auto" w:fill="F2F7FF"/>
            <w:vAlign w:val="center"/>
          </w:tcPr>
          <w:p>
            <w:pPr>
              <w:jc w:val="left"/>
            </w:pPr>
            <w:r>
              <w:rPr>
                <w:rFonts w:ascii="Calibri" w:hAnsi="Calibri"/>
                <w:sz w:val="18"/>
              </w:rPr>
              <w:t>Simple latrine</w:t>
            </w:r>
          </w:p>
        </w:tc>
        <w:tc>
          <w:tcPr>
            <w:tcW w:type="dxa" w:w="1701"/>
            <w:shd w:val="clear" w:color="auto" w:fill="F2F7FF"/>
            <w:vAlign w:val="center"/>
          </w:tcPr>
          <w:p>
            <w:pPr>
              <w:jc w:val="left"/>
            </w:pPr>
            <w:r>
              <w:rPr>
                <w:rFonts w:ascii="Calibri" w:hAnsi="Calibri"/>
                <w:sz w:val="18"/>
              </w:rPr>
              <w:t>424</w:t>
            </w:r>
          </w:p>
        </w:tc>
        <w:tc>
          <w:tcPr>
            <w:tcW w:type="dxa" w:w="1417"/>
            <w:shd w:val="clear" w:color="auto" w:fill="F2F7FF"/>
            <w:vAlign w:val="center"/>
          </w:tcPr>
          <w:p>
            <w:pPr>
              <w:jc w:val="left"/>
            </w:pPr>
            <w:r>
              <w:rPr>
                <w:rFonts w:ascii="Calibri" w:hAnsi="Calibri"/>
                <w:sz w:val="18"/>
              </w:rPr>
              <w:t>42.4%</w:t>
            </w:r>
          </w:p>
        </w:tc>
        <w:tc>
          <w:tcPr>
            <w:tcW w:type="dxa" w:w="2551"/>
            <w:shd w:val="clear" w:color="auto" w:fill="F2F7FF"/>
            <w:vAlign w:val="center"/>
          </w:tcPr>
          <w:p>
            <w:pPr>
              <w:jc w:val="left"/>
            </w:pPr>
            <w:r>
              <w:rPr>
                <w:rFonts w:ascii="Calibri" w:hAnsi="Calibri"/>
                <w:sz w:val="18"/>
              </w:rPr>
              <w:t>Partial</w:t>
            </w:r>
          </w:p>
        </w:tc>
      </w:tr>
      <w:tr>
        <w:tc>
          <w:tcPr>
            <w:tcW w:type="dxa" w:w="3402"/>
            <w:shd w:val="clear" w:color="auto" w:fill="FFFFFF"/>
            <w:vAlign w:val="center"/>
          </w:tcPr>
          <w:p>
            <w:pPr>
              <w:jc w:val="left"/>
            </w:pPr>
            <w:r>
              <w:rPr>
                <w:rFonts w:ascii="Calibri" w:hAnsi="Calibri"/>
                <w:sz w:val="18"/>
              </w:rPr>
              <w:t>No latrine (open defecation)</w:t>
            </w:r>
          </w:p>
        </w:tc>
        <w:tc>
          <w:tcPr>
            <w:tcW w:type="dxa" w:w="1701"/>
            <w:shd w:val="clear" w:color="auto" w:fill="FFFFFF"/>
            <w:vAlign w:val="center"/>
          </w:tcPr>
          <w:p>
            <w:pPr>
              <w:jc w:val="left"/>
            </w:pPr>
            <w:r>
              <w:rPr>
                <w:rFonts w:ascii="Calibri" w:hAnsi="Calibri"/>
                <w:sz w:val="18"/>
              </w:rPr>
              <w:t>336</w:t>
            </w:r>
          </w:p>
        </w:tc>
        <w:tc>
          <w:tcPr>
            <w:tcW w:type="dxa" w:w="1417"/>
            <w:shd w:val="clear" w:color="auto" w:fill="FFFFFF"/>
            <w:vAlign w:val="center"/>
          </w:tcPr>
          <w:p>
            <w:pPr>
              <w:jc w:val="left"/>
            </w:pPr>
            <w:r>
              <w:rPr>
                <w:rFonts w:ascii="Calibri" w:hAnsi="Calibri"/>
                <w:sz w:val="18"/>
              </w:rPr>
              <w:t>33.6%</w:t>
            </w:r>
          </w:p>
        </w:tc>
        <w:tc>
          <w:tcPr>
            <w:tcW w:type="dxa" w:w="2551"/>
            <w:shd w:val="clear" w:color="auto" w:fill="FFFFFF"/>
            <w:vAlign w:val="center"/>
          </w:tcPr>
          <w:p>
            <w:pPr>
              <w:jc w:val="left"/>
            </w:pPr>
            <w:r>
              <w:rPr>
                <w:rFonts w:ascii="Calibri" w:hAnsi="Calibri"/>
                <w:sz w:val="18"/>
              </w:rPr>
              <w:t>Non-compliant</w:t>
            </w:r>
          </w:p>
        </w:tc>
      </w:tr>
      <w:tr>
        <w:tc>
          <w:tcPr>
            <w:tcW w:type="dxa" w:w="3402"/>
            <w:shd w:val="clear" w:color="auto" w:fill="F2F7FF"/>
            <w:vAlign w:val="center"/>
          </w:tcPr>
          <w:p>
            <w:pPr>
              <w:jc w:val="left"/>
            </w:pPr>
            <w:r>
              <w:rPr>
                <w:rFonts w:ascii="Calibri" w:hAnsi="Calibri"/>
                <w:sz w:val="18"/>
              </w:rPr>
              <w:t>Other type</w:t>
            </w:r>
          </w:p>
        </w:tc>
        <w:tc>
          <w:tcPr>
            <w:tcW w:type="dxa" w:w="1701"/>
            <w:shd w:val="clear" w:color="auto" w:fill="F2F7FF"/>
            <w:vAlign w:val="center"/>
          </w:tcPr>
          <w:p>
            <w:pPr>
              <w:jc w:val="left"/>
            </w:pPr>
            <w:r>
              <w:rPr>
                <w:rFonts w:ascii="Calibri" w:hAnsi="Calibri"/>
                <w:sz w:val="18"/>
              </w:rPr>
              <w:t>92</w:t>
            </w:r>
          </w:p>
        </w:tc>
        <w:tc>
          <w:tcPr>
            <w:tcW w:type="dxa" w:w="1417"/>
            <w:shd w:val="clear" w:color="auto" w:fill="F2F7FF"/>
            <w:vAlign w:val="center"/>
          </w:tcPr>
          <w:p>
            <w:pPr>
              <w:jc w:val="left"/>
            </w:pPr>
            <w:r>
              <w:rPr>
                <w:rFonts w:ascii="Calibri" w:hAnsi="Calibri"/>
                <w:sz w:val="18"/>
              </w:rPr>
              <w:t>9.2%</w:t>
            </w:r>
          </w:p>
        </w:tc>
        <w:tc>
          <w:tcPr>
            <w:tcW w:type="dxa" w:w="2551"/>
            <w:shd w:val="clear" w:color="auto" w:fill="F2F7FF"/>
            <w:vAlign w:val="center"/>
          </w:tcPr>
          <w:p>
            <w:pPr>
              <w:jc w:val="left"/>
            </w:pPr>
            <w:r>
              <w:rPr>
                <w:rFonts w:ascii="Calibri" w:hAnsi="Calibri"/>
                <w:sz w:val="18"/>
              </w:rPr>
              <w:t>Undetermined</w:t>
            </w:r>
          </w:p>
        </w:tc>
      </w:tr>
      <w:tr>
        <w:tc>
          <w:tcPr>
            <w:tcW w:type="dxa" w:w="3402"/>
            <w:shd w:val="clear" w:color="auto" w:fill="FFFFFF"/>
            <w:vAlign w:val="center"/>
          </w:tcPr>
          <w:p>
            <w:pPr>
              <w:jc w:val="left"/>
            </w:pPr>
            <w:r>
              <w:rPr>
                <w:rFonts w:ascii="Calibri" w:hAnsi="Calibri"/>
                <w:sz w:val="18"/>
              </w:rPr>
              <w:t>Improved latrine</w:t>
            </w:r>
          </w:p>
        </w:tc>
        <w:tc>
          <w:tcPr>
            <w:tcW w:type="dxa" w:w="1701"/>
            <w:shd w:val="clear" w:color="auto" w:fill="FFFFFF"/>
            <w:vAlign w:val="center"/>
          </w:tcPr>
          <w:p>
            <w:pPr>
              <w:jc w:val="left"/>
            </w:pPr>
            <w:r>
              <w:rPr>
                <w:rFonts w:ascii="Calibri" w:hAnsi="Calibri"/>
                <w:sz w:val="18"/>
              </w:rPr>
              <w:t>90</w:t>
            </w:r>
          </w:p>
        </w:tc>
        <w:tc>
          <w:tcPr>
            <w:tcW w:type="dxa" w:w="1417"/>
            <w:shd w:val="clear" w:color="auto" w:fill="FFFFFF"/>
            <w:vAlign w:val="center"/>
          </w:tcPr>
          <w:p>
            <w:pPr>
              <w:jc w:val="left"/>
            </w:pPr>
            <w:r>
              <w:rPr>
                <w:rFonts w:ascii="Calibri" w:hAnsi="Calibri"/>
                <w:sz w:val="18"/>
              </w:rPr>
              <w:t>9.0%</w:t>
            </w:r>
          </w:p>
        </w:tc>
        <w:tc>
          <w:tcPr>
            <w:tcW w:type="dxa" w:w="2551"/>
            <w:shd w:val="clear" w:color="auto" w:fill="FFFFFF"/>
            <w:vAlign w:val="center"/>
          </w:tcPr>
          <w:p>
            <w:pPr>
              <w:jc w:val="left"/>
            </w:pPr>
            <w:r>
              <w:rPr>
                <w:rFonts w:ascii="Calibri" w:hAnsi="Calibri"/>
                <w:sz w:val="18"/>
              </w:rPr>
              <w:t>Compliant</w:t>
            </w:r>
          </w:p>
        </w:tc>
      </w:tr>
      <w:tr>
        <w:tc>
          <w:tcPr>
            <w:tcW w:type="dxa" w:w="3402"/>
            <w:shd w:val="clear" w:color="auto" w:fill="F2F7FF"/>
            <w:vAlign w:val="center"/>
          </w:tcPr>
          <w:p>
            <w:pPr>
              <w:jc w:val="left"/>
            </w:pPr>
            <w:r>
              <w:rPr>
                <w:rFonts w:ascii="Calibri" w:hAnsi="Calibri"/>
                <w:sz w:val="18"/>
              </w:rPr>
              <w:t>Modern toilet</w:t>
            </w:r>
          </w:p>
        </w:tc>
        <w:tc>
          <w:tcPr>
            <w:tcW w:type="dxa" w:w="1701"/>
            <w:shd w:val="clear" w:color="auto" w:fill="F2F7FF"/>
            <w:vAlign w:val="center"/>
          </w:tcPr>
          <w:p>
            <w:pPr>
              <w:jc w:val="left"/>
            </w:pPr>
            <w:r>
              <w:rPr>
                <w:rFonts w:ascii="Calibri" w:hAnsi="Calibri"/>
                <w:sz w:val="18"/>
              </w:rPr>
              <w:t>58</w:t>
            </w:r>
          </w:p>
        </w:tc>
        <w:tc>
          <w:tcPr>
            <w:tcW w:type="dxa" w:w="1417"/>
            <w:shd w:val="clear" w:color="auto" w:fill="F2F7FF"/>
            <w:vAlign w:val="center"/>
          </w:tcPr>
          <w:p>
            <w:pPr>
              <w:jc w:val="left"/>
            </w:pPr>
            <w:r>
              <w:rPr>
                <w:rFonts w:ascii="Calibri" w:hAnsi="Calibri"/>
                <w:sz w:val="18"/>
              </w:rPr>
              <w:t>5.8%</w:t>
            </w:r>
          </w:p>
        </w:tc>
        <w:tc>
          <w:tcPr>
            <w:tcW w:type="dxa" w:w="2551"/>
            <w:shd w:val="clear" w:color="auto" w:fill="F2F7FF"/>
            <w:vAlign w:val="center"/>
          </w:tcPr>
          <w:p>
            <w:pPr>
              <w:jc w:val="left"/>
            </w:pPr>
            <w:r>
              <w:rPr>
                <w:rFonts w:ascii="Calibri" w:hAnsi="Calibri"/>
                <w:sz w:val="18"/>
              </w:rPr>
              <w:t>Compliant</w:t>
            </w:r>
          </w:p>
        </w:tc>
      </w:tr>
      <w:tr>
        <w:tc>
          <w:tcPr>
            <w:tcW w:type="dxa" w:w="3402"/>
            <w:shd w:val="clear" w:color="auto" w:fill="FFFFFF"/>
            <w:vAlign w:val="center"/>
          </w:tcPr>
          <w:p>
            <w:pPr>
              <w:jc w:val="left"/>
            </w:pPr>
            <w:r>
              <w:rPr>
                <w:rFonts w:ascii="Calibri" w:hAnsi="Calibri"/>
                <w:sz w:val="18"/>
              </w:rPr>
              <w:t>Total</w:t>
            </w:r>
          </w:p>
        </w:tc>
        <w:tc>
          <w:tcPr>
            <w:tcW w:type="dxa" w:w="1701"/>
            <w:shd w:val="clear" w:color="auto" w:fill="FFFFFF"/>
            <w:vAlign w:val="center"/>
          </w:tcPr>
          <w:p>
            <w:pPr>
              <w:jc w:val="left"/>
            </w:pPr>
            <w:r>
              <w:rPr>
                <w:rFonts w:ascii="Calibri" w:hAnsi="Calibri"/>
                <w:sz w:val="18"/>
              </w:rPr>
              <w:t>1,000</w:t>
            </w:r>
          </w:p>
        </w:tc>
        <w:tc>
          <w:tcPr>
            <w:tcW w:type="dxa" w:w="1417"/>
            <w:shd w:val="clear" w:color="auto" w:fill="FFFFFF"/>
            <w:vAlign w:val="center"/>
          </w:tcPr>
          <w:p>
            <w:pPr>
              <w:jc w:val="left"/>
            </w:pPr>
            <w:r>
              <w:rPr>
                <w:rFonts w:ascii="Calibri" w:hAnsi="Calibri"/>
                <w:sz w:val="18"/>
              </w:rPr>
              <w:t>100%</w:t>
            </w:r>
          </w:p>
        </w:tc>
        <w:tc>
          <w:tcPr>
            <w:tcW w:type="dxa" w:w="2551"/>
            <w:shd w:val="clear" w:color="auto" w:fill="FFFFFF"/>
            <w:vAlign w:val="center"/>
          </w:tcPr>
          <w:p>
            <w:pPr>
              <w:jc w:val="left"/>
            </w:pPr>
            <w:r>
              <w:rPr>
                <w:rFonts w:ascii="Calibri" w:hAnsi="Calibri"/>
                <w:sz w:val="18"/>
              </w:rPr>
              <w:t>-</w:t>
            </w:r>
          </w:p>
        </w:tc>
      </w:tr>
    </w:tbl>
    <w:p/>
    <w:p>
      <w:pPr>
        <w:pStyle w:val="WASH_Caption"/>
        <w:jc w:val="left"/>
      </w:pPr>
      <w:r>
        <w:rPr>
          <w:b/>
          <w:color w:val="1F3864"/>
        </w:rPr>
        <w:t>Table 8 - Sanitation indicators vs SDG 6 targets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18"/>
            <w:shd w:val="clear" w:color="auto" w:fill="0054A6"/>
            <w:vAlign w:val="center"/>
          </w:tcPr>
          <w:p>
            <w:pPr>
              <w:jc w:val="center"/>
            </w:pPr>
            <w:r>
              <w:rPr>
                <w:rFonts w:ascii="Calibri" w:hAnsi="Calibri"/>
                <w:b/>
                <w:color w:val="FFFFFF"/>
                <w:sz w:val="18"/>
              </w:rPr>
              <w:t>Indicator</w:t>
            </w:r>
          </w:p>
        </w:tc>
        <w:tc>
          <w:tcPr>
            <w:tcW w:type="dxa" w:w="1701"/>
            <w:shd w:val="clear" w:color="auto" w:fill="0054A6"/>
            <w:vAlign w:val="center"/>
          </w:tcPr>
          <w:p>
            <w:pPr>
              <w:jc w:val="center"/>
            </w:pPr>
            <w:r>
              <w:rPr>
                <w:rFonts w:ascii="Calibri" w:hAnsi="Calibri"/>
                <w:b/>
                <w:color w:val="FFFFFF"/>
                <w:sz w:val="18"/>
              </w:rPr>
              <w:t>Value</w:t>
            </w:r>
          </w:p>
        </w:tc>
        <w:tc>
          <w:tcPr>
            <w:tcW w:type="dxa" w:w="1701"/>
            <w:shd w:val="clear" w:color="auto" w:fill="0054A6"/>
            <w:vAlign w:val="center"/>
          </w:tcPr>
          <w:p>
            <w:pPr>
              <w:jc w:val="center"/>
            </w:pPr>
            <w:r>
              <w:rPr>
                <w:rFonts w:ascii="Calibri" w:hAnsi="Calibri"/>
                <w:b/>
                <w:color w:val="FFFFFF"/>
                <w:sz w:val="18"/>
              </w:rPr>
              <w:t>SDG 6 target</w:t>
            </w:r>
          </w:p>
        </w:tc>
        <w:tc>
          <w:tcPr>
            <w:tcW w:type="dxa" w:w="2551"/>
            <w:shd w:val="clear" w:color="auto" w:fill="0054A6"/>
            <w:vAlign w:val="center"/>
          </w:tcPr>
          <w:p>
            <w:pPr>
              <w:jc w:val="center"/>
            </w:pPr>
            <w:r>
              <w:rPr>
                <w:rFonts w:ascii="Calibri" w:hAnsi="Calibri"/>
                <w:b/>
                <w:color w:val="FFFFFF"/>
                <w:sz w:val="18"/>
              </w:rPr>
              <w:t>Gap</w:t>
            </w:r>
          </w:p>
        </w:tc>
      </w:tr>
      <w:tr>
        <w:tc>
          <w:tcPr>
            <w:tcW w:type="dxa" w:w="3118"/>
            <w:shd w:val="clear" w:color="auto" w:fill="F2F7FF"/>
            <w:vAlign w:val="center"/>
          </w:tcPr>
          <w:p>
            <w:pPr>
              <w:jc w:val="left"/>
            </w:pPr>
            <w:r>
              <w:rPr>
                <w:rFonts w:ascii="Calibri" w:hAnsi="Calibri"/>
                <w:sz w:val="18"/>
              </w:rPr>
              <w:t>Access to latrines (all types)</w:t>
            </w:r>
          </w:p>
        </w:tc>
        <w:tc>
          <w:tcPr>
            <w:tcW w:type="dxa" w:w="1701"/>
            <w:shd w:val="clear" w:color="auto" w:fill="F2F7FF"/>
            <w:vAlign w:val="center"/>
          </w:tcPr>
          <w:p>
            <w:pPr>
              <w:jc w:val="left"/>
            </w:pPr>
            <w:r>
              <w:rPr>
                <w:rFonts w:ascii="Calibri" w:hAnsi="Calibri"/>
                <w:sz w:val="18"/>
              </w:rPr>
              <w:t>66.4%</w:t>
            </w:r>
          </w:p>
        </w:tc>
        <w:tc>
          <w:tcPr>
            <w:tcW w:type="dxa" w:w="1701"/>
            <w:shd w:val="clear" w:color="auto" w:fill="F2F7FF"/>
            <w:vAlign w:val="center"/>
          </w:tcPr>
          <w:p>
            <w:pPr>
              <w:jc w:val="left"/>
            </w:pPr>
            <w:r>
              <w:rPr>
                <w:rFonts w:ascii="Calibri" w:hAnsi="Calibri"/>
                <w:sz w:val="18"/>
              </w:rPr>
              <w:t>100%</w:t>
            </w:r>
          </w:p>
        </w:tc>
        <w:tc>
          <w:tcPr>
            <w:tcW w:type="dxa" w:w="2551"/>
            <w:shd w:val="clear" w:color="auto" w:fill="F2F7FF"/>
            <w:vAlign w:val="center"/>
          </w:tcPr>
          <w:p>
            <w:pPr>
              <w:jc w:val="left"/>
            </w:pPr>
            <w:r>
              <w:rPr>
                <w:rFonts w:ascii="Calibri" w:hAnsi="Calibri"/>
                <w:sz w:val="18"/>
              </w:rPr>
              <w:t>-33.6 pts</w:t>
            </w:r>
          </w:p>
        </w:tc>
      </w:tr>
      <w:tr>
        <w:tc>
          <w:tcPr>
            <w:tcW w:type="dxa" w:w="3118"/>
            <w:shd w:val="clear" w:color="auto" w:fill="FFFFFF"/>
            <w:vAlign w:val="center"/>
          </w:tcPr>
          <w:p>
            <w:pPr>
              <w:jc w:val="left"/>
            </w:pPr>
            <w:r>
              <w:rPr>
                <w:rFonts w:ascii="Calibri" w:hAnsi="Calibri"/>
                <w:sz w:val="18"/>
              </w:rPr>
              <w:t>Improved latrines + modern toilets</w:t>
            </w:r>
          </w:p>
        </w:tc>
        <w:tc>
          <w:tcPr>
            <w:tcW w:type="dxa" w:w="1701"/>
            <w:shd w:val="clear" w:color="auto" w:fill="FFFFFF"/>
            <w:vAlign w:val="center"/>
          </w:tcPr>
          <w:p>
            <w:pPr>
              <w:jc w:val="left"/>
            </w:pPr>
            <w:r>
              <w:rPr>
                <w:rFonts w:ascii="Calibri" w:hAnsi="Calibri"/>
                <w:sz w:val="18"/>
              </w:rPr>
              <w:t>14.8%</w:t>
            </w:r>
          </w:p>
        </w:tc>
        <w:tc>
          <w:tcPr>
            <w:tcW w:type="dxa" w:w="1701"/>
            <w:shd w:val="clear" w:color="auto" w:fill="FFFFFF"/>
            <w:vAlign w:val="center"/>
          </w:tcPr>
          <w:p>
            <w:pPr>
              <w:jc w:val="left"/>
            </w:pPr>
            <w:r>
              <w:rPr>
                <w:rFonts w:ascii="Calibri" w:hAnsi="Calibri"/>
                <w:sz w:val="18"/>
              </w:rPr>
              <w:t>100%</w:t>
            </w:r>
          </w:p>
        </w:tc>
        <w:tc>
          <w:tcPr>
            <w:tcW w:type="dxa" w:w="2551"/>
            <w:shd w:val="clear" w:color="auto" w:fill="FFFFFF"/>
            <w:vAlign w:val="center"/>
          </w:tcPr>
          <w:p>
            <w:pPr>
              <w:jc w:val="left"/>
            </w:pPr>
            <w:r>
              <w:rPr>
                <w:rFonts w:ascii="Calibri" w:hAnsi="Calibri"/>
                <w:sz w:val="18"/>
              </w:rPr>
              <w:t>-85.2 pts</w:t>
            </w:r>
          </w:p>
        </w:tc>
      </w:tr>
      <w:tr>
        <w:tc>
          <w:tcPr>
            <w:tcW w:type="dxa" w:w="3118"/>
            <w:shd w:val="clear" w:color="auto" w:fill="F2F7FF"/>
            <w:vAlign w:val="center"/>
          </w:tcPr>
          <w:p>
            <w:pPr>
              <w:jc w:val="left"/>
            </w:pPr>
            <w:r>
              <w:rPr>
                <w:rFonts w:ascii="Calibri" w:hAnsi="Calibri"/>
                <w:sz w:val="18"/>
              </w:rPr>
              <w:t>Open defecation (OD)</w:t>
            </w:r>
          </w:p>
        </w:tc>
        <w:tc>
          <w:tcPr>
            <w:tcW w:type="dxa" w:w="1701"/>
            <w:shd w:val="clear" w:color="auto" w:fill="F2F7FF"/>
            <w:vAlign w:val="center"/>
          </w:tcPr>
          <w:p>
            <w:pPr>
              <w:jc w:val="left"/>
            </w:pPr>
            <w:r>
              <w:rPr>
                <w:rFonts w:ascii="Calibri" w:hAnsi="Calibri"/>
                <w:sz w:val="18"/>
              </w:rPr>
              <w:t>33.6%</w:t>
            </w:r>
          </w:p>
        </w:tc>
        <w:tc>
          <w:tcPr>
            <w:tcW w:type="dxa" w:w="1701"/>
            <w:shd w:val="clear" w:color="auto" w:fill="F2F7FF"/>
            <w:vAlign w:val="center"/>
          </w:tcPr>
          <w:p>
            <w:pPr>
              <w:jc w:val="left"/>
            </w:pPr>
            <w:r>
              <w:rPr>
                <w:rFonts w:ascii="Calibri" w:hAnsi="Calibri"/>
                <w:sz w:val="18"/>
              </w:rPr>
              <w:t>0%</w:t>
            </w:r>
          </w:p>
        </w:tc>
        <w:tc>
          <w:tcPr>
            <w:tcW w:type="dxa" w:w="2551"/>
            <w:shd w:val="clear" w:color="auto" w:fill="F2F7FF"/>
            <w:vAlign w:val="center"/>
          </w:tcPr>
          <w:p>
            <w:pPr>
              <w:jc w:val="left"/>
            </w:pPr>
            <w:r>
              <w:rPr>
                <w:rFonts w:ascii="Calibri" w:hAnsi="Calibri"/>
                <w:sz w:val="18"/>
              </w:rPr>
              <w:t>+33.6 pts</w:t>
            </w:r>
          </w:p>
        </w:tc>
      </w:tr>
      <w:tr>
        <w:tc>
          <w:tcPr>
            <w:tcW w:type="dxa" w:w="3118"/>
            <w:shd w:val="clear" w:color="auto" w:fill="FFFFFF"/>
            <w:vAlign w:val="center"/>
          </w:tcPr>
          <w:p>
            <w:pPr>
              <w:jc w:val="left"/>
            </w:pPr>
            <w:r>
              <w:rPr>
                <w:rFonts w:ascii="Calibri" w:hAnsi="Calibri"/>
                <w:sz w:val="18"/>
              </w:rPr>
              <w:t>Household water treatment</w:t>
            </w:r>
          </w:p>
        </w:tc>
        <w:tc>
          <w:tcPr>
            <w:tcW w:type="dxa" w:w="1701"/>
            <w:shd w:val="clear" w:color="auto" w:fill="FFFFFF"/>
            <w:vAlign w:val="center"/>
          </w:tcPr>
          <w:p>
            <w:pPr>
              <w:jc w:val="left"/>
            </w:pPr>
            <w:r>
              <w:rPr>
                <w:rFonts w:ascii="Calibri" w:hAnsi="Calibri"/>
                <w:sz w:val="18"/>
              </w:rPr>
              <w:t>29.1%</w:t>
            </w:r>
          </w:p>
        </w:tc>
        <w:tc>
          <w:tcPr>
            <w:tcW w:type="dxa" w:w="1701"/>
            <w:shd w:val="clear" w:color="auto" w:fill="FFFFFF"/>
            <w:vAlign w:val="center"/>
          </w:tcPr>
          <w:p>
            <w:pPr>
              <w:jc w:val="left"/>
            </w:pPr>
            <w:r>
              <w:rPr>
                <w:rFonts w:ascii="Calibri" w:hAnsi="Calibri"/>
                <w:sz w:val="18"/>
              </w:rPr>
              <w:t>100%</w:t>
            </w:r>
          </w:p>
        </w:tc>
        <w:tc>
          <w:tcPr>
            <w:tcW w:type="dxa" w:w="2551"/>
            <w:shd w:val="clear" w:color="auto" w:fill="FFFFFF"/>
            <w:vAlign w:val="center"/>
          </w:tcPr>
          <w:p>
            <w:pPr>
              <w:jc w:val="left"/>
            </w:pPr>
            <w:r>
              <w:rPr>
                <w:rFonts w:ascii="Calibri" w:hAnsi="Calibri"/>
                <w:sz w:val="18"/>
              </w:rPr>
              <w:t>-70.9 pts</w:t>
            </w:r>
          </w:p>
        </w:tc>
      </w:tr>
    </w:tbl>
    <w:p/>
    <w:p>
      <w:r>
        <w:br w:type="page"/>
      </w:r>
    </w:p>
    <w:p>
      <w:pPr>
        <w:pStyle w:val="WASH_H1"/>
      </w:pPr>
      <w:r>
        <w:t>Section 5 - Waste Management</w:t>
      </w:r>
    </w:p>
    <w:p>
      <w:pPr>
        <w:pStyle w:val="WASH_Body"/>
      </w:pPr>
      <w:r>
        <w:rPr>
          <w:b w:val="0"/>
          <w:i w:val="0"/>
        </w:rPr>
        <w:t>Waste management is a complex issue in both departments. 52.3% of households are exposed to open dumps. Satisfaction remains mostly negative with 62% of households somewhat or completely unsatisfied with current management.</w:t>
      </w:r>
    </w:p>
    <w:p>
      <w:pPr>
        <w:jc w:val="center"/>
      </w:pPr>
      <w:r>
        <w:drawing>
          <wp:inline xmlns:a="http://schemas.openxmlformats.org/drawingml/2006/main" xmlns:pic="http://schemas.openxmlformats.org/drawingml/2006/picture">
            <wp:extent cx="4572000" cy="3151457"/>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3151457"/>
                    </a:xfrm>
                    <a:prstGeom prst="rect"/>
                  </pic:spPr>
                </pic:pic>
              </a:graphicData>
            </a:graphic>
          </wp:inline>
        </w:drawing>
      </w:r>
    </w:p>
    <w:p>
      <w:pPr>
        <w:pStyle w:val="WASH_Caption"/>
        <w:jc w:val="center"/>
      </w:pPr>
      <w:r>
        <w:t>Figure 8 - Waste disposal methods</w:t>
      </w:r>
    </w:p>
    <w:p>
      <w:pPr>
        <w:jc w:val="center"/>
      </w:pPr>
      <w:r>
        <w:drawing>
          <wp:inline xmlns:a="http://schemas.openxmlformats.org/drawingml/2006/main" xmlns:pic="http://schemas.openxmlformats.org/drawingml/2006/picture">
            <wp:extent cx="4572000" cy="3180522"/>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3180522"/>
                    </a:xfrm>
                    <a:prstGeom prst="rect"/>
                  </pic:spPr>
                </pic:pic>
              </a:graphicData>
            </a:graphic>
          </wp:inline>
        </w:drawing>
      </w:r>
    </w:p>
    <w:p>
      <w:pPr>
        <w:pStyle w:val="WASH_Caption"/>
        <w:jc w:val="center"/>
      </w:pPr>
      <w:r>
        <w:t>Figure 9 - Waste management satisfaction</w:t>
      </w:r>
    </w:p>
    <w:p>
      <w:pPr>
        <w:pStyle w:val="WASH_Caption"/>
        <w:jc w:val="left"/>
      </w:pPr>
      <w:r>
        <w:rPr>
          <w:b/>
          <w:color w:val="1F3864"/>
        </w:rPr>
        <w:t>Table 9 - Waste disposal methods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18"/>
            <w:shd w:val="clear" w:color="auto" w:fill="0054A6"/>
            <w:vAlign w:val="center"/>
          </w:tcPr>
          <w:p>
            <w:pPr>
              <w:jc w:val="center"/>
            </w:pPr>
            <w:r>
              <w:rPr>
                <w:rFonts w:ascii="Calibri" w:hAnsi="Calibri"/>
                <w:b/>
                <w:color w:val="FFFFFF"/>
                <w:sz w:val="18"/>
              </w:rPr>
              <w:t>Disposal method</w:t>
            </w:r>
          </w:p>
        </w:tc>
        <w:tc>
          <w:tcPr>
            <w:tcW w:type="dxa" w:w="1701"/>
            <w:shd w:val="clear" w:color="auto" w:fill="0054A6"/>
            <w:vAlign w:val="center"/>
          </w:tcPr>
          <w:p>
            <w:pPr>
              <w:jc w:val="center"/>
            </w:pPr>
            <w:r>
              <w:rPr>
                <w:rFonts w:ascii="Calibri" w:hAnsi="Calibri"/>
                <w:b/>
                <w:color w:val="FFFFFF"/>
                <w:sz w:val="18"/>
              </w:rPr>
              <w:t>Households</w:t>
            </w:r>
          </w:p>
        </w:tc>
        <w:tc>
          <w:tcPr>
            <w:tcW w:type="dxa" w:w="1417"/>
            <w:shd w:val="clear" w:color="auto" w:fill="0054A6"/>
            <w:vAlign w:val="center"/>
          </w:tcPr>
          <w:p>
            <w:pPr>
              <w:jc w:val="center"/>
            </w:pPr>
            <w:r>
              <w:rPr>
                <w:rFonts w:ascii="Calibri" w:hAnsi="Calibri"/>
                <w:b/>
                <w:color w:val="FFFFFF"/>
                <w:sz w:val="18"/>
              </w:rPr>
              <w:t>%</w:t>
            </w:r>
          </w:p>
        </w:tc>
        <w:tc>
          <w:tcPr>
            <w:tcW w:type="dxa" w:w="2835"/>
            <w:shd w:val="clear" w:color="auto" w:fill="0054A6"/>
            <w:vAlign w:val="center"/>
          </w:tcPr>
          <w:p>
            <w:pPr>
              <w:jc w:val="center"/>
            </w:pPr>
            <w:r>
              <w:rPr>
                <w:rFonts w:ascii="Calibri" w:hAnsi="Calibri"/>
                <w:b/>
                <w:color w:val="FFFFFF"/>
                <w:sz w:val="18"/>
              </w:rPr>
              <w:t>Environmental impact</w:t>
            </w:r>
          </w:p>
        </w:tc>
      </w:tr>
      <w:tr>
        <w:tc>
          <w:tcPr>
            <w:tcW w:type="dxa" w:w="3118"/>
            <w:shd w:val="clear" w:color="auto" w:fill="F2F7FF"/>
            <w:vAlign w:val="center"/>
          </w:tcPr>
          <w:p>
            <w:pPr>
              <w:jc w:val="left"/>
            </w:pPr>
            <w:r>
              <w:rPr>
                <w:rFonts w:ascii="Calibri" w:hAnsi="Calibri"/>
                <w:sz w:val="18"/>
              </w:rPr>
              <w:t>Collection / Recycling</w:t>
            </w:r>
          </w:p>
        </w:tc>
        <w:tc>
          <w:tcPr>
            <w:tcW w:type="dxa" w:w="1701"/>
            <w:shd w:val="clear" w:color="auto" w:fill="F2F7FF"/>
            <w:vAlign w:val="center"/>
          </w:tcPr>
          <w:p>
            <w:pPr>
              <w:jc w:val="left"/>
            </w:pPr>
            <w:r>
              <w:rPr>
                <w:rFonts w:ascii="Calibri" w:hAnsi="Calibri"/>
                <w:sz w:val="18"/>
              </w:rPr>
              <w:t>515</w:t>
            </w:r>
          </w:p>
        </w:tc>
        <w:tc>
          <w:tcPr>
            <w:tcW w:type="dxa" w:w="1417"/>
            <w:shd w:val="clear" w:color="auto" w:fill="F2F7FF"/>
            <w:vAlign w:val="center"/>
          </w:tcPr>
          <w:p>
            <w:pPr>
              <w:jc w:val="left"/>
            </w:pPr>
            <w:r>
              <w:rPr>
                <w:rFonts w:ascii="Calibri" w:hAnsi="Calibri"/>
                <w:sz w:val="18"/>
              </w:rPr>
              <w:t>51.5%</w:t>
            </w:r>
          </w:p>
        </w:tc>
        <w:tc>
          <w:tcPr>
            <w:tcW w:type="dxa" w:w="2835"/>
            <w:shd w:val="clear" w:color="auto" w:fill="F2F7FF"/>
            <w:vAlign w:val="center"/>
          </w:tcPr>
          <w:p>
            <w:pPr>
              <w:jc w:val="left"/>
            </w:pPr>
            <w:r>
              <w:rPr>
                <w:rFonts w:ascii="Calibri" w:hAnsi="Calibri"/>
                <w:sz w:val="18"/>
              </w:rPr>
              <w:t>Positive</w:t>
            </w:r>
          </w:p>
        </w:tc>
      </w:tr>
      <w:tr>
        <w:tc>
          <w:tcPr>
            <w:tcW w:type="dxa" w:w="3118"/>
            <w:shd w:val="clear" w:color="auto" w:fill="FFFFFF"/>
            <w:vAlign w:val="center"/>
          </w:tcPr>
          <w:p>
            <w:pPr>
              <w:jc w:val="left"/>
            </w:pPr>
            <w:r>
              <w:rPr>
                <w:rFonts w:ascii="Calibri" w:hAnsi="Calibri"/>
                <w:sz w:val="18"/>
              </w:rPr>
              <w:t>Open dumping</w:t>
            </w:r>
          </w:p>
        </w:tc>
        <w:tc>
          <w:tcPr>
            <w:tcW w:type="dxa" w:w="1701"/>
            <w:shd w:val="clear" w:color="auto" w:fill="FFFFFF"/>
            <w:vAlign w:val="center"/>
          </w:tcPr>
          <w:p>
            <w:pPr>
              <w:jc w:val="left"/>
            </w:pPr>
            <w:r>
              <w:rPr>
                <w:rFonts w:ascii="Calibri" w:hAnsi="Calibri"/>
                <w:sz w:val="18"/>
              </w:rPr>
              <w:t>501</w:t>
            </w:r>
          </w:p>
        </w:tc>
        <w:tc>
          <w:tcPr>
            <w:tcW w:type="dxa" w:w="1417"/>
            <w:shd w:val="clear" w:color="auto" w:fill="FFFFFF"/>
            <w:vAlign w:val="center"/>
          </w:tcPr>
          <w:p>
            <w:pPr>
              <w:jc w:val="left"/>
            </w:pPr>
            <w:r>
              <w:rPr>
                <w:rFonts w:ascii="Calibri" w:hAnsi="Calibri"/>
                <w:sz w:val="18"/>
              </w:rPr>
              <w:t>50.1%</w:t>
            </w:r>
          </w:p>
        </w:tc>
        <w:tc>
          <w:tcPr>
            <w:tcW w:type="dxa" w:w="2835"/>
            <w:shd w:val="clear" w:color="auto" w:fill="FFFFFF"/>
            <w:vAlign w:val="center"/>
          </w:tcPr>
          <w:p>
            <w:pPr>
              <w:jc w:val="left"/>
            </w:pPr>
            <w:r>
              <w:rPr>
                <w:rFonts w:ascii="Calibri" w:hAnsi="Calibri"/>
                <w:sz w:val="18"/>
              </w:rPr>
              <w:t>Very negative</w:t>
            </w:r>
          </w:p>
        </w:tc>
      </w:tr>
      <w:tr>
        <w:tc>
          <w:tcPr>
            <w:tcW w:type="dxa" w:w="3118"/>
            <w:shd w:val="clear" w:color="auto" w:fill="F2F7FF"/>
            <w:vAlign w:val="center"/>
          </w:tcPr>
          <w:p>
            <w:pPr>
              <w:jc w:val="left"/>
            </w:pPr>
            <w:r>
              <w:rPr>
                <w:rFonts w:ascii="Calibri" w:hAnsi="Calibri"/>
                <w:sz w:val="18"/>
              </w:rPr>
              <w:t>Burning</w:t>
            </w:r>
          </w:p>
        </w:tc>
        <w:tc>
          <w:tcPr>
            <w:tcW w:type="dxa" w:w="1701"/>
            <w:shd w:val="clear" w:color="auto" w:fill="F2F7FF"/>
            <w:vAlign w:val="center"/>
          </w:tcPr>
          <w:p>
            <w:pPr>
              <w:jc w:val="left"/>
            </w:pPr>
            <w:r>
              <w:rPr>
                <w:rFonts w:ascii="Calibri" w:hAnsi="Calibri"/>
                <w:sz w:val="18"/>
              </w:rPr>
              <w:t>499</w:t>
            </w:r>
          </w:p>
        </w:tc>
        <w:tc>
          <w:tcPr>
            <w:tcW w:type="dxa" w:w="1417"/>
            <w:shd w:val="clear" w:color="auto" w:fill="F2F7FF"/>
            <w:vAlign w:val="center"/>
          </w:tcPr>
          <w:p>
            <w:pPr>
              <w:jc w:val="left"/>
            </w:pPr>
            <w:r>
              <w:rPr>
                <w:rFonts w:ascii="Calibri" w:hAnsi="Calibri"/>
                <w:sz w:val="18"/>
              </w:rPr>
              <w:t>49.9%</w:t>
            </w:r>
          </w:p>
        </w:tc>
        <w:tc>
          <w:tcPr>
            <w:tcW w:type="dxa" w:w="2835"/>
            <w:shd w:val="clear" w:color="auto" w:fill="F2F7FF"/>
            <w:vAlign w:val="center"/>
          </w:tcPr>
          <w:p>
            <w:pPr>
              <w:jc w:val="left"/>
            </w:pPr>
            <w:r>
              <w:rPr>
                <w:rFonts w:ascii="Calibri" w:hAnsi="Calibri"/>
                <w:sz w:val="18"/>
              </w:rPr>
              <w:t>Negative</w:t>
            </w:r>
          </w:p>
        </w:tc>
      </w:tr>
      <w:tr>
        <w:tc>
          <w:tcPr>
            <w:tcW w:type="dxa" w:w="3118"/>
            <w:shd w:val="clear" w:color="auto" w:fill="FFFFFF"/>
            <w:vAlign w:val="center"/>
          </w:tcPr>
          <w:p>
            <w:pPr>
              <w:jc w:val="left"/>
            </w:pPr>
            <w:r>
              <w:rPr>
                <w:rFonts w:ascii="Calibri" w:hAnsi="Calibri"/>
                <w:sz w:val="18"/>
              </w:rPr>
              <w:t>Reuse</w:t>
            </w:r>
          </w:p>
        </w:tc>
        <w:tc>
          <w:tcPr>
            <w:tcW w:type="dxa" w:w="1701"/>
            <w:shd w:val="clear" w:color="auto" w:fill="FFFFFF"/>
            <w:vAlign w:val="center"/>
          </w:tcPr>
          <w:p>
            <w:pPr>
              <w:jc w:val="left"/>
            </w:pPr>
            <w:r>
              <w:rPr>
                <w:rFonts w:ascii="Calibri" w:hAnsi="Calibri"/>
                <w:sz w:val="18"/>
              </w:rPr>
              <w:t>287</w:t>
            </w:r>
          </w:p>
        </w:tc>
        <w:tc>
          <w:tcPr>
            <w:tcW w:type="dxa" w:w="1417"/>
            <w:shd w:val="clear" w:color="auto" w:fill="FFFFFF"/>
            <w:vAlign w:val="center"/>
          </w:tcPr>
          <w:p>
            <w:pPr>
              <w:jc w:val="left"/>
            </w:pPr>
            <w:r>
              <w:rPr>
                <w:rFonts w:ascii="Calibri" w:hAnsi="Calibri"/>
                <w:sz w:val="18"/>
              </w:rPr>
              <w:t>28.7%</w:t>
            </w:r>
          </w:p>
        </w:tc>
        <w:tc>
          <w:tcPr>
            <w:tcW w:type="dxa" w:w="2835"/>
            <w:shd w:val="clear" w:color="auto" w:fill="FFFFFF"/>
            <w:vAlign w:val="center"/>
          </w:tcPr>
          <w:p>
            <w:pPr>
              <w:jc w:val="left"/>
            </w:pPr>
            <w:r>
              <w:rPr>
                <w:rFonts w:ascii="Calibri" w:hAnsi="Calibri"/>
                <w:sz w:val="18"/>
              </w:rPr>
              <w:t>Positive</w:t>
            </w:r>
          </w:p>
        </w:tc>
      </w:tr>
    </w:tbl>
    <w:p/>
    <w:p>
      <w:pPr>
        <w:pStyle w:val="WASH_Caption"/>
        <w:jc w:val="left"/>
      </w:pPr>
      <w:r>
        <w:rPr>
          <w:b/>
          <w:color w:val="1F3864"/>
        </w:rPr>
        <w:t>Table 10 - Waste management satisfaction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shd w:val="clear" w:color="auto" w:fill="0054A6"/>
            <w:vAlign w:val="center"/>
          </w:tcPr>
          <w:p>
            <w:pPr>
              <w:jc w:val="center"/>
            </w:pPr>
            <w:r>
              <w:rPr>
                <w:rFonts w:ascii="Calibri" w:hAnsi="Calibri"/>
                <w:b/>
                <w:color w:val="FFFFFF"/>
                <w:sz w:val="18"/>
              </w:rPr>
              <w:t>Satisfaction level</w:t>
            </w:r>
          </w:p>
        </w:tc>
        <w:tc>
          <w:tcPr>
            <w:tcW w:type="dxa" w:w="1701"/>
            <w:shd w:val="clear" w:color="auto" w:fill="0054A6"/>
            <w:vAlign w:val="center"/>
          </w:tcPr>
          <w:p>
            <w:pPr>
              <w:jc w:val="center"/>
            </w:pPr>
            <w:r>
              <w:rPr>
                <w:rFonts w:ascii="Calibri" w:hAnsi="Calibri"/>
                <w:b/>
                <w:color w:val="FFFFFF"/>
                <w:sz w:val="18"/>
              </w:rPr>
              <w:t>Households</w:t>
            </w:r>
          </w:p>
        </w:tc>
        <w:tc>
          <w:tcPr>
            <w:tcW w:type="dxa" w:w="1417"/>
            <w:shd w:val="clear" w:color="auto" w:fill="0054A6"/>
            <w:vAlign w:val="center"/>
          </w:tcPr>
          <w:p>
            <w:pPr>
              <w:jc w:val="center"/>
            </w:pPr>
            <w:r>
              <w:rPr>
                <w:rFonts w:ascii="Calibri" w:hAnsi="Calibri"/>
                <w:b/>
                <w:color w:val="FFFFFF"/>
                <w:sz w:val="18"/>
              </w:rPr>
              <w:t>%</w:t>
            </w:r>
          </w:p>
        </w:tc>
        <w:tc>
          <w:tcPr>
            <w:tcW w:type="dxa" w:w="3118"/>
            <w:shd w:val="clear" w:color="auto" w:fill="0054A6"/>
            <w:vAlign w:val="center"/>
          </w:tcPr>
          <w:p>
            <w:pPr>
              <w:jc w:val="center"/>
            </w:pPr>
            <w:r>
              <w:rPr>
                <w:rFonts w:ascii="Calibri" w:hAnsi="Calibri"/>
                <w:b/>
                <w:color w:val="FFFFFF"/>
                <w:sz w:val="18"/>
              </w:rPr>
              <w:t>Trend</w:t>
            </w:r>
          </w:p>
        </w:tc>
      </w:tr>
      <w:tr>
        <w:tc>
          <w:tcPr>
            <w:tcW w:type="dxa" w:w="2835"/>
            <w:shd w:val="clear" w:color="auto" w:fill="F2F7FF"/>
            <w:vAlign w:val="center"/>
          </w:tcPr>
          <w:p>
            <w:pPr>
              <w:jc w:val="left"/>
            </w:pPr>
            <w:r>
              <w:rPr>
                <w:rFonts w:ascii="Calibri" w:hAnsi="Calibri"/>
                <w:sz w:val="18"/>
              </w:rPr>
              <w:t>Somewhat satisfied</w:t>
            </w:r>
          </w:p>
        </w:tc>
        <w:tc>
          <w:tcPr>
            <w:tcW w:type="dxa" w:w="1701"/>
            <w:shd w:val="clear" w:color="auto" w:fill="F2F7FF"/>
            <w:vAlign w:val="center"/>
          </w:tcPr>
          <w:p>
            <w:pPr>
              <w:jc w:val="left"/>
            </w:pPr>
            <w:r>
              <w:rPr>
                <w:rFonts w:ascii="Calibri" w:hAnsi="Calibri"/>
                <w:sz w:val="18"/>
              </w:rPr>
              <w:t>378</w:t>
            </w:r>
          </w:p>
        </w:tc>
        <w:tc>
          <w:tcPr>
            <w:tcW w:type="dxa" w:w="1417"/>
            <w:shd w:val="clear" w:color="auto" w:fill="F2F7FF"/>
            <w:vAlign w:val="center"/>
          </w:tcPr>
          <w:p>
            <w:pPr>
              <w:jc w:val="left"/>
            </w:pPr>
            <w:r>
              <w:rPr>
                <w:rFonts w:ascii="Calibri" w:hAnsi="Calibri"/>
                <w:sz w:val="18"/>
              </w:rPr>
              <w:t>37.8%</w:t>
            </w:r>
          </w:p>
        </w:tc>
        <w:tc>
          <w:tcPr>
            <w:tcW w:type="dxa" w:w="3118"/>
            <w:shd w:val="clear" w:color="auto" w:fill="F2F7FF"/>
            <w:vAlign w:val="center"/>
          </w:tcPr>
          <w:p>
            <w:pPr>
              <w:jc w:val="left"/>
            </w:pPr>
            <w:r>
              <w:rPr>
                <w:rFonts w:ascii="Calibri" w:hAnsi="Calibri"/>
                <w:sz w:val="18"/>
              </w:rPr>
              <w:t>Negative</w:t>
            </w:r>
          </w:p>
        </w:tc>
      </w:tr>
      <w:tr>
        <w:tc>
          <w:tcPr>
            <w:tcW w:type="dxa" w:w="2835"/>
            <w:shd w:val="clear" w:color="auto" w:fill="FFFFFF"/>
            <w:vAlign w:val="center"/>
          </w:tcPr>
          <w:p>
            <w:pPr>
              <w:jc w:val="left"/>
            </w:pPr>
            <w:r>
              <w:rPr>
                <w:rFonts w:ascii="Calibri" w:hAnsi="Calibri"/>
                <w:sz w:val="18"/>
              </w:rPr>
              <w:t>Satisfied</w:t>
            </w:r>
          </w:p>
        </w:tc>
        <w:tc>
          <w:tcPr>
            <w:tcW w:type="dxa" w:w="1701"/>
            <w:shd w:val="clear" w:color="auto" w:fill="FFFFFF"/>
            <w:vAlign w:val="center"/>
          </w:tcPr>
          <w:p>
            <w:pPr>
              <w:jc w:val="left"/>
            </w:pPr>
            <w:r>
              <w:rPr>
                <w:rFonts w:ascii="Calibri" w:hAnsi="Calibri"/>
                <w:sz w:val="18"/>
              </w:rPr>
              <w:t>271</w:t>
            </w:r>
          </w:p>
        </w:tc>
        <w:tc>
          <w:tcPr>
            <w:tcW w:type="dxa" w:w="1417"/>
            <w:shd w:val="clear" w:color="auto" w:fill="FFFFFF"/>
            <w:vAlign w:val="center"/>
          </w:tcPr>
          <w:p>
            <w:pPr>
              <w:jc w:val="left"/>
            </w:pPr>
            <w:r>
              <w:rPr>
                <w:rFonts w:ascii="Calibri" w:hAnsi="Calibri"/>
                <w:sz w:val="18"/>
              </w:rPr>
              <w:t>27.1%</w:t>
            </w:r>
          </w:p>
        </w:tc>
        <w:tc>
          <w:tcPr>
            <w:tcW w:type="dxa" w:w="3118"/>
            <w:shd w:val="clear" w:color="auto" w:fill="FFFFFF"/>
            <w:vAlign w:val="center"/>
          </w:tcPr>
          <w:p>
            <w:pPr>
              <w:jc w:val="left"/>
            </w:pPr>
            <w:r>
              <w:rPr>
                <w:rFonts w:ascii="Calibri" w:hAnsi="Calibri"/>
                <w:sz w:val="18"/>
              </w:rPr>
              <w:t>Positive</w:t>
            </w:r>
          </w:p>
        </w:tc>
      </w:tr>
      <w:tr>
        <w:tc>
          <w:tcPr>
            <w:tcW w:type="dxa" w:w="2835"/>
            <w:shd w:val="clear" w:color="auto" w:fill="F2F7FF"/>
            <w:vAlign w:val="center"/>
          </w:tcPr>
          <w:p>
            <w:pPr>
              <w:jc w:val="left"/>
            </w:pPr>
            <w:r>
              <w:rPr>
                <w:rFonts w:ascii="Calibri" w:hAnsi="Calibri"/>
                <w:sz w:val="18"/>
              </w:rPr>
              <w:t>Not satisfied</w:t>
            </w:r>
          </w:p>
        </w:tc>
        <w:tc>
          <w:tcPr>
            <w:tcW w:type="dxa" w:w="1701"/>
            <w:shd w:val="clear" w:color="auto" w:fill="F2F7FF"/>
            <w:vAlign w:val="center"/>
          </w:tcPr>
          <w:p>
            <w:pPr>
              <w:jc w:val="left"/>
            </w:pPr>
            <w:r>
              <w:rPr>
                <w:rFonts w:ascii="Calibri" w:hAnsi="Calibri"/>
                <w:sz w:val="18"/>
              </w:rPr>
              <w:t>242</w:t>
            </w:r>
          </w:p>
        </w:tc>
        <w:tc>
          <w:tcPr>
            <w:tcW w:type="dxa" w:w="1417"/>
            <w:shd w:val="clear" w:color="auto" w:fill="F2F7FF"/>
            <w:vAlign w:val="center"/>
          </w:tcPr>
          <w:p>
            <w:pPr>
              <w:jc w:val="left"/>
            </w:pPr>
            <w:r>
              <w:rPr>
                <w:rFonts w:ascii="Calibri" w:hAnsi="Calibri"/>
                <w:sz w:val="18"/>
              </w:rPr>
              <w:t>24.2%</w:t>
            </w:r>
          </w:p>
        </w:tc>
        <w:tc>
          <w:tcPr>
            <w:tcW w:type="dxa" w:w="3118"/>
            <w:shd w:val="clear" w:color="auto" w:fill="F2F7FF"/>
            <w:vAlign w:val="center"/>
          </w:tcPr>
          <w:p>
            <w:pPr>
              <w:jc w:val="left"/>
            </w:pPr>
            <w:r>
              <w:rPr>
                <w:rFonts w:ascii="Calibri" w:hAnsi="Calibri"/>
                <w:sz w:val="18"/>
              </w:rPr>
              <w:t>Negative</w:t>
            </w:r>
          </w:p>
        </w:tc>
      </w:tr>
      <w:tr>
        <w:tc>
          <w:tcPr>
            <w:tcW w:type="dxa" w:w="2835"/>
            <w:shd w:val="clear" w:color="auto" w:fill="FFFFFF"/>
            <w:vAlign w:val="center"/>
          </w:tcPr>
          <w:p>
            <w:pPr>
              <w:jc w:val="left"/>
            </w:pPr>
            <w:r>
              <w:rPr>
                <w:rFonts w:ascii="Calibri" w:hAnsi="Calibri"/>
                <w:sz w:val="18"/>
              </w:rPr>
              <w:t>Very satisfied</w:t>
            </w:r>
          </w:p>
        </w:tc>
        <w:tc>
          <w:tcPr>
            <w:tcW w:type="dxa" w:w="1701"/>
            <w:shd w:val="clear" w:color="auto" w:fill="FFFFFF"/>
            <w:vAlign w:val="center"/>
          </w:tcPr>
          <w:p>
            <w:pPr>
              <w:jc w:val="left"/>
            </w:pPr>
            <w:r>
              <w:rPr>
                <w:rFonts w:ascii="Calibri" w:hAnsi="Calibri"/>
                <w:sz w:val="18"/>
              </w:rPr>
              <w:t>109</w:t>
            </w:r>
          </w:p>
        </w:tc>
        <w:tc>
          <w:tcPr>
            <w:tcW w:type="dxa" w:w="1417"/>
            <w:shd w:val="clear" w:color="auto" w:fill="FFFFFF"/>
            <w:vAlign w:val="center"/>
          </w:tcPr>
          <w:p>
            <w:pPr>
              <w:jc w:val="left"/>
            </w:pPr>
            <w:r>
              <w:rPr>
                <w:rFonts w:ascii="Calibri" w:hAnsi="Calibri"/>
                <w:sz w:val="18"/>
              </w:rPr>
              <w:t>10.9%</w:t>
            </w:r>
          </w:p>
        </w:tc>
        <w:tc>
          <w:tcPr>
            <w:tcW w:type="dxa" w:w="3118"/>
            <w:shd w:val="clear" w:color="auto" w:fill="FFFFFF"/>
            <w:vAlign w:val="center"/>
          </w:tcPr>
          <w:p>
            <w:pPr>
              <w:jc w:val="left"/>
            </w:pPr>
            <w:r>
              <w:rPr>
                <w:rFonts w:ascii="Calibri" w:hAnsi="Calibri"/>
                <w:sz w:val="18"/>
              </w:rPr>
              <w:t>Positive</w:t>
            </w:r>
          </w:p>
        </w:tc>
      </w:tr>
      <w:tr>
        <w:tc>
          <w:tcPr>
            <w:tcW w:type="dxa" w:w="2835"/>
            <w:shd w:val="clear" w:color="auto" w:fill="F2F7FF"/>
            <w:vAlign w:val="center"/>
          </w:tcPr>
          <w:p>
            <w:pPr>
              <w:jc w:val="left"/>
            </w:pPr>
            <w:r>
              <w:rPr>
                <w:rFonts w:ascii="Calibri" w:hAnsi="Calibri"/>
                <w:sz w:val="18"/>
              </w:rPr>
              <w:t>Total</w:t>
            </w:r>
          </w:p>
        </w:tc>
        <w:tc>
          <w:tcPr>
            <w:tcW w:type="dxa" w:w="1701"/>
            <w:shd w:val="clear" w:color="auto" w:fill="F2F7FF"/>
            <w:vAlign w:val="center"/>
          </w:tcPr>
          <w:p>
            <w:pPr>
              <w:jc w:val="left"/>
            </w:pPr>
            <w:r>
              <w:rPr>
                <w:rFonts w:ascii="Calibri" w:hAnsi="Calibri"/>
                <w:sz w:val="18"/>
              </w:rPr>
              <w:t>1,000</w:t>
            </w:r>
          </w:p>
        </w:tc>
        <w:tc>
          <w:tcPr>
            <w:tcW w:type="dxa" w:w="1417"/>
            <w:shd w:val="clear" w:color="auto" w:fill="F2F7FF"/>
            <w:vAlign w:val="center"/>
          </w:tcPr>
          <w:p>
            <w:pPr>
              <w:jc w:val="left"/>
            </w:pPr>
            <w:r>
              <w:rPr>
                <w:rFonts w:ascii="Calibri" w:hAnsi="Calibri"/>
                <w:sz w:val="18"/>
              </w:rPr>
              <w:t>100%</w:t>
            </w:r>
          </w:p>
        </w:tc>
        <w:tc>
          <w:tcPr>
            <w:tcW w:type="dxa" w:w="3118"/>
            <w:shd w:val="clear" w:color="auto" w:fill="F2F7FF"/>
            <w:vAlign w:val="center"/>
          </w:tcPr>
          <w:p>
            <w:pPr>
              <w:jc w:val="left"/>
            </w:pPr>
            <w:r>
              <w:rPr>
                <w:rFonts w:ascii="Calibri" w:hAnsi="Calibri"/>
                <w:sz w:val="18"/>
              </w:rPr>
              <w:t>-</w:t>
            </w:r>
          </w:p>
        </w:tc>
      </w:tr>
    </w:tbl>
    <w:p/>
    <w:p>
      <w:r>
        <w:br w:type="page"/>
      </w:r>
    </w:p>
    <w:p>
      <w:pPr>
        <w:pStyle w:val="WASH_H1"/>
      </w:pPr>
      <w:r>
        <w:t>Section 6 - Atmospheric Pollution</w:t>
      </w:r>
    </w:p>
    <w:p>
      <w:pPr>
        <w:pStyle w:val="WASH_Body"/>
      </w:pPr>
      <w:r>
        <w:rPr>
          <w:b w:val="0"/>
          <w:i w:val="0"/>
        </w:rPr>
        <w:t>Atmospheric pollution is reported by nearly one household in two (49.4%). Air quality is judged poor or very poor by 51.6% of respondents. Noise nuisances also affect a majority of households (57.3%).</w:t>
      </w:r>
    </w:p>
    <w:p>
      <w:pPr>
        <w:jc w:val="center"/>
      </w:pPr>
      <w:r>
        <w:drawing>
          <wp:inline xmlns:a="http://schemas.openxmlformats.org/drawingml/2006/main" xmlns:pic="http://schemas.openxmlformats.org/drawingml/2006/picture">
            <wp:extent cx="4114800" cy="3259183"/>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259183"/>
                    </a:xfrm>
                    <a:prstGeom prst="rect"/>
                  </pic:spPr>
                </pic:pic>
              </a:graphicData>
            </a:graphic>
          </wp:inline>
        </w:drawing>
      </w:r>
    </w:p>
    <w:p>
      <w:pPr>
        <w:pStyle w:val="WASH_Caption"/>
        <w:jc w:val="center"/>
      </w:pPr>
      <w:r>
        <w:t>Figure 10 - Reported atmospheric pollution by department</w:t>
      </w:r>
    </w:p>
    <w:p>
      <w:pPr>
        <w:jc w:val="center"/>
      </w:pPr>
      <w:r>
        <w:drawing>
          <wp:inline xmlns:a="http://schemas.openxmlformats.org/drawingml/2006/main" xmlns:pic="http://schemas.openxmlformats.org/drawingml/2006/picture">
            <wp:extent cx="4114800" cy="3415937"/>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415937"/>
                    </a:xfrm>
                    <a:prstGeom prst="rect"/>
                  </pic:spPr>
                </pic:pic>
              </a:graphicData>
            </a:graphic>
          </wp:inline>
        </w:drawing>
      </w:r>
    </w:p>
    <w:p>
      <w:pPr>
        <w:pStyle w:val="WASH_Caption"/>
        <w:jc w:val="center"/>
      </w:pPr>
      <w:r>
        <w:t>Figure 11 - Perceived air quality (N=1000)</w:t>
      </w:r>
    </w:p>
    <w:p>
      <w:pPr>
        <w:pStyle w:val="WASH_Caption"/>
        <w:jc w:val="left"/>
      </w:pPr>
      <w:r>
        <w:rPr>
          <w:b/>
          <w:color w:val="1F3864"/>
        </w:rPr>
        <w:t>Table 11 - Pollution and air quality indicators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18"/>
            <w:shd w:val="clear" w:color="auto" w:fill="0054A6"/>
            <w:vAlign w:val="center"/>
          </w:tcPr>
          <w:p>
            <w:pPr>
              <w:jc w:val="center"/>
            </w:pPr>
            <w:r>
              <w:rPr>
                <w:rFonts w:ascii="Calibri" w:hAnsi="Calibri"/>
                <w:b/>
                <w:color w:val="FFFFFF"/>
                <w:sz w:val="18"/>
              </w:rPr>
              <w:t>Indicator</w:t>
            </w:r>
          </w:p>
        </w:tc>
        <w:tc>
          <w:tcPr>
            <w:tcW w:type="dxa" w:w="1701"/>
            <w:shd w:val="clear" w:color="auto" w:fill="0054A6"/>
            <w:vAlign w:val="center"/>
          </w:tcPr>
          <w:p>
            <w:pPr>
              <w:jc w:val="center"/>
            </w:pPr>
            <w:r>
              <w:rPr>
                <w:rFonts w:ascii="Calibri" w:hAnsi="Calibri"/>
                <w:b/>
                <w:color w:val="FFFFFF"/>
                <w:sz w:val="18"/>
              </w:rPr>
              <w:t>Households</w:t>
            </w:r>
          </w:p>
        </w:tc>
        <w:tc>
          <w:tcPr>
            <w:tcW w:type="dxa" w:w="1417"/>
            <w:shd w:val="clear" w:color="auto" w:fill="0054A6"/>
            <w:vAlign w:val="center"/>
          </w:tcPr>
          <w:p>
            <w:pPr>
              <w:jc w:val="center"/>
            </w:pPr>
            <w:r>
              <w:rPr>
                <w:rFonts w:ascii="Calibri" w:hAnsi="Calibri"/>
                <w:b/>
                <w:color w:val="FFFFFF"/>
                <w:sz w:val="18"/>
              </w:rPr>
              <w:t>%</w:t>
            </w:r>
          </w:p>
        </w:tc>
        <w:tc>
          <w:tcPr>
            <w:tcW w:type="dxa" w:w="2835"/>
            <w:shd w:val="clear" w:color="auto" w:fill="0054A6"/>
            <w:vAlign w:val="center"/>
          </w:tcPr>
          <w:p>
            <w:pPr>
              <w:jc w:val="center"/>
            </w:pPr>
            <w:r>
              <w:rPr>
                <w:rFonts w:ascii="Calibri" w:hAnsi="Calibri"/>
                <w:b/>
                <w:color w:val="FFFFFF"/>
                <w:sz w:val="18"/>
              </w:rPr>
              <w:t>Risk level</w:t>
            </w:r>
          </w:p>
        </w:tc>
      </w:tr>
      <w:tr>
        <w:tc>
          <w:tcPr>
            <w:tcW w:type="dxa" w:w="3118"/>
            <w:shd w:val="clear" w:color="auto" w:fill="F2F7FF"/>
            <w:vAlign w:val="center"/>
          </w:tcPr>
          <w:p>
            <w:pPr>
              <w:jc w:val="left"/>
            </w:pPr>
            <w:r>
              <w:rPr>
                <w:rFonts w:ascii="Calibri" w:hAnsi="Calibri"/>
                <w:sz w:val="18"/>
              </w:rPr>
              <w:t>Atmospheric pollution reported</w:t>
            </w:r>
          </w:p>
        </w:tc>
        <w:tc>
          <w:tcPr>
            <w:tcW w:type="dxa" w:w="1701"/>
            <w:shd w:val="clear" w:color="auto" w:fill="F2F7FF"/>
            <w:vAlign w:val="center"/>
          </w:tcPr>
          <w:p>
            <w:pPr>
              <w:jc w:val="left"/>
            </w:pPr>
            <w:r>
              <w:rPr>
                <w:rFonts w:ascii="Calibri" w:hAnsi="Calibri"/>
                <w:sz w:val="18"/>
              </w:rPr>
              <w:t>494</w:t>
            </w:r>
          </w:p>
        </w:tc>
        <w:tc>
          <w:tcPr>
            <w:tcW w:type="dxa" w:w="1417"/>
            <w:shd w:val="clear" w:color="auto" w:fill="F2F7FF"/>
            <w:vAlign w:val="center"/>
          </w:tcPr>
          <w:p>
            <w:pPr>
              <w:jc w:val="left"/>
            </w:pPr>
            <w:r>
              <w:rPr>
                <w:rFonts w:ascii="Calibri" w:hAnsi="Calibri"/>
                <w:sz w:val="18"/>
              </w:rPr>
              <w:t>49.4%</w:t>
            </w:r>
          </w:p>
        </w:tc>
        <w:tc>
          <w:tcPr>
            <w:tcW w:type="dxa" w:w="2835"/>
            <w:shd w:val="clear" w:color="auto" w:fill="F2F7FF"/>
            <w:vAlign w:val="center"/>
          </w:tcPr>
          <w:p>
            <w:pPr>
              <w:jc w:val="left"/>
            </w:pPr>
            <w:r>
              <w:rPr>
                <w:rFonts w:ascii="Calibri" w:hAnsi="Calibri"/>
                <w:sz w:val="18"/>
              </w:rPr>
              <w:t>Concerning</w:t>
            </w:r>
          </w:p>
        </w:tc>
      </w:tr>
      <w:tr>
        <w:tc>
          <w:tcPr>
            <w:tcW w:type="dxa" w:w="3118"/>
            <w:shd w:val="clear" w:color="auto" w:fill="FFFFFF"/>
            <w:vAlign w:val="center"/>
          </w:tcPr>
          <w:p>
            <w:pPr>
              <w:jc w:val="left"/>
            </w:pPr>
            <w:r>
              <w:rPr>
                <w:rFonts w:ascii="Calibri" w:hAnsi="Calibri"/>
                <w:sz w:val="18"/>
              </w:rPr>
              <w:t>Air quality: Poor</w:t>
            </w:r>
          </w:p>
        </w:tc>
        <w:tc>
          <w:tcPr>
            <w:tcW w:type="dxa" w:w="1701"/>
            <w:shd w:val="clear" w:color="auto" w:fill="FFFFFF"/>
            <w:vAlign w:val="center"/>
          </w:tcPr>
          <w:p>
            <w:pPr>
              <w:jc w:val="left"/>
            </w:pPr>
            <w:r>
              <w:rPr>
                <w:rFonts w:ascii="Calibri" w:hAnsi="Calibri"/>
                <w:sz w:val="18"/>
              </w:rPr>
              <w:t>364</w:t>
            </w:r>
          </w:p>
        </w:tc>
        <w:tc>
          <w:tcPr>
            <w:tcW w:type="dxa" w:w="1417"/>
            <w:shd w:val="clear" w:color="auto" w:fill="FFFFFF"/>
            <w:vAlign w:val="center"/>
          </w:tcPr>
          <w:p>
            <w:pPr>
              <w:jc w:val="left"/>
            </w:pPr>
            <w:r>
              <w:rPr>
                <w:rFonts w:ascii="Calibri" w:hAnsi="Calibri"/>
                <w:sz w:val="18"/>
              </w:rPr>
              <w:t>36.4%</w:t>
            </w:r>
          </w:p>
        </w:tc>
        <w:tc>
          <w:tcPr>
            <w:tcW w:type="dxa" w:w="2835"/>
            <w:shd w:val="clear" w:color="auto" w:fill="FFFFFF"/>
            <w:vAlign w:val="center"/>
          </w:tcPr>
          <w:p>
            <w:pPr>
              <w:jc w:val="left"/>
            </w:pPr>
            <w:r>
              <w:rPr>
                <w:rFonts w:ascii="Calibri" w:hAnsi="Calibri"/>
                <w:sz w:val="18"/>
              </w:rPr>
              <w:t>Critical</w:t>
            </w:r>
          </w:p>
        </w:tc>
      </w:tr>
      <w:tr>
        <w:tc>
          <w:tcPr>
            <w:tcW w:type="dxa" w:w="3118"/>
            <w:shd w:val="clear" w:color="auto" w:fill="F2F7FF"/>
            <w:vAlign w:val="center"/>
          </w:tcPr>
          <w:p>
            <w:pPr>
              <w:jc w:val="left"/>
            </w:pPr>
            <w:r>
              <w:rPr>
                <w:rFonts w:ascii="Calibri" w:hAnsi="Calibri"/>
                <w:sz w:val="18"/>
              </w:rPr>
              <w:t>Air quality: Average</w:t>
            </w:r>
          </w:p>
        </w:tc>
        <w:tc>
          <w:tcPr>
            <w:tcW w:type="dxa" w:w="1701"/>
            <w:shd w:val="clear" w:color="auto" w:fill="F2F7FF"/>
            <w:vAlign w:val="center"/>
          </w:tcPr>
          <w:p>
            <w:pPr>
              <w:jc w:val="left"/>
            </w:pPr>
            <w:r>
              <w:rPr>
                <w:rFonts w:ascii="Calibri" w:hAnsi="Calibri"/>
                <w:sz w:val="18"/>
              </w:rPr>
              <w:t>361</w:t>
            </w:r>
          </w:p>
        </w:tc>
        <w:tc>
          <w:tcPr>
            <w:tcW w:type="dxa" w:w="1417"/>
            <w:shd w:val="clear" w:color="auto" w:fill="F2F7FF"/>
            <w:vAlign w:val="center"/>
          </w:tcPr>
          <w:p>
            <w:pPr>
              <w:jc w:val="left"/>
            </w:pPr>
            <w:r>
              <w:rPr>
                <w:rFonts w:ascii="Calibri" w:hAnsi="Calibri"/>
                <w:sz w:val="18"/>
              </w:rPr>
              <w:t>36.1%</w:t>
            </w:r>
          </w:p>
        </w:tc>
        <w:tc>
          <w:tcPr>
            <w:tcW w:type="dxa" w:w="2835"/>
            <w:shd w:val="clear" w:color="auto" w:fill="F2F7FF"/>
            <w:vAlign w:val="center"/>
          </w:tcPr>
          <w:p>
            <w:pPr>
              <w:jc w:val="left"/>
            </w:pPr>
            <w:r>
              <w:rPr>
                <w:rFonts w:ascii="Calibri" w:hAnsi="Calibri"/>
                <w:sz w:val="18"/>
              </w:rPr>
              <w:t>Moderate</w:t>
            </w:r>
          </w:p>
        </w:tc>
      </w:tr>
      <w:tr>
        <w:tc>
          <w:tcPr>
            <w:tcW w:type="dxa" w:w="3118"/>
            <w:shd w:val="clear" w:color="auto" w:fill="FFFFFF"/>
            <w:vAlign w:val="center"/>
          </w:tcPr>
          <w:p>
            <w:pPr>
              <w:jc w:val="left"/>
            </w:pPr>
            <w:r>
              <w:rPr>
                <w:rFonts w:ascii="Calibri" w:hAnsi="Calibri"/>
                <w:sz w:val="18"/>
              </w:rPr>
              <w:t>Air quality: Very poor</w:t>
            </w:r>
          </w:p>
        </w:tc>
        <w:tc>
          <w:tcPr>
            <w:tcW w:type="dxa" w:w="1701"/>
            <w:shd w:val="clear" w:color="auto" w:fill="FFFFFF"/>
            <w:vAlign w:val="center"/>
          </w:tcPr>
          <w:p>
            <w:pPr>
              <w:jc w:val="left"/>
            </w:pPr>
            <w:r>
              <w:rPr>
                <w:rFonts w:ascii="Calibri" w:hAnsi="Calibri"/>
                <w:sz w:val="18"/>
              </w:rPr>
              <w:t>152</w:t>
            </w:r>
          </w:p>
        </w:tc>
        <w:tc>
          <w:tcPr>
            <w:tcW w:type="dxa" w:w="1417"/>
            <w:shd w:val="clear" w:color="auto" w:fill="FFFFFF"/>
            <w:vAlign w:val="center"/>
          </w:tcPr>
          <w:p>
            <w:pPr>
              <w:jc w:val="left"/>
            </w:pPr>
            <w:r>
              <w:rPr>
                <w:rFonts w:ascii="Calibri" w:hAnsi="Calibri"/>
                <w:sz w:val="18"/>
              </w:rPr>
              <w:t>15.2%</w:t>
            </w:r>
          </w:p>
        </w:tc>
        <w:tc>
          <w:tcPr>
            <w:tcW w:type="dxa" w:w="2835"/>
            <w:shd w:val="clear" w:color="auto" w:fill="FFFFFF"/>
            <w:vAlign w:val="center"/>
          </w:tcPr>
          <w:p>
            <w:pPr>
              <w:jc w:val="left"/>
            </w:pPr>
            <w:r>
              <w:rPr>
                <w:rFonts w:ascii="Calibri" w:hAnsi="Calibri"/>
                <w:sz w:val="18"/>
              </w:rPr>
              <w:t>Very critical</w:t>
            </w:r>
          </w:p>
        </w:tc>
      </w:tr>
      <w:tr>
        <w:tc>
          <w:tcPr>
            <w:tcW w:type="dxa" w:w="3118"/>
            <w:shd w:val="clear" w:color="auto" w:fill="F2F7FF"/>
            <w:vAlign w:val="center"/>
          </w:tcPr>
          <w:p>
            <w:pPr>
              <w:jc w:val="left"/>
            </w:pPr>
            <w:r>
              <w:rPr>
                <w:rFonts w:ascii="Calibri" w:hAnsi="Calibri"/>
                <w:sz w:val="18"/>
              </w:rPr>
              <w:t>Air quality: Good</w:t>
            </w:r>
          </w:p>
        </w:tc>
        <w:tc>
          <w:tcPr>
            <w:tcW w:type="dxa" w:w="1701"/>
            <w:shd w:val="clear" w:color="auto" w:fill="F2F7FF"/>
            <w:vAlign w:val="center"/>
          </w:tcPr>
          <w:p>
            <w:pPr>
              <w:jc w:val="left"/>
            </w:pPr>
            <w:r>
              <w:rPr>
                <w:rFonts w:ascii="Calibri" w:hAnsi="Calibri"/>
                <w:sz w:val="18"/>
              </w:rPr>
              <w:t>123</w:t>
            </w:r>
          </w:p>
        </w:tc>
        <w:tc>
          <w:tcPr>
            <w:tcW w:type="dxa" w:w="1417"/>
            <w:shd w:val="clear" w:color="auto" w:fill="F2F7FF"/>
            <w:vAlign w:val="center"/>
          </w:tcPr>
          <w:p>
            <w:pPr>
              <w:jc w:val="left"/>
            </w:pPr>
            <w:r>
              <w:rPr>
                <w:rFonts w:ascii="Calibri" w:hAnsi="Calibri"/>
                <w:sz w:val="18"/>
              </w:rPr>
              <w:t>12.3%</w:t>
            </w:r>
          </w:p>
        </w:tc>
        <w:tc>
          <w:tcPr>
            <w:tcW w:type="dxa" w:w="2835"/>
            <w:shd w:val="clear" w:color="auto" w:fill="F2F7FF"/>
            <w:vAlign w:val="center"/>
          </w:tcPr>
          <w:p>
            <w:pPr>
              <w:jc w:val="left"/>
            </w:pPr>
            <w:r>
              <w:rPr>
                <w:rFonts w:ascii="Calibri" w:hAnsi="Calibri"/>
                <w:sz w:val="18"/>
              </w:rPr>
              <w:t>Acceptable</w:t>
            </w:r>
          </w:p>
        </w:tc>
      </w:tr>
      <w:tr>
        <w:tc>
          <w:tcPr>
            <w:tcW w:type="dxa" w:w="3118"/>
            <w:shd w:val="clear" w:color="auto" w:fill="FFFFFF"/>
            <w:vAlign w:val="center"/>
          </w:tcPr>
          <w:p>
            <w:pPr>
              <w:jc w:val="left"/>
            </w:pPr>
            <w:r>
              <w:rPr>
                <w:rFonts w:ascii="Calibri" w:hAnsi="Calibri"/>
                <w:sz w:val="18"/>
              </w:rPr>
              <w:t>Noise nuisances</w:t>
            </w:r>
          </w:p>
        </w:tc>
        <w:tc>
          <w:tcPr>
            <w:tcW w:type="dxa" w:w="1701"/>
            <w:shd w:val="clear" w:color="auto" w:fill="FFFFFF"/>
            <w:vAlign w:val="center"/>
          </w:tcPr>
          <w:p>
            <w:pPr>
              <w:jc w:val="left"/>
            </w:pPr>
            <w:r>
              <w:rPr>
                <w:rFonts w:ascii="Calibri" w:hAnsi="Calibri"/>
                <w:sz w:val="18"/>
              </w:rPr>
              <w:t>573</w:t>
            </w:r>
          </w:p>
        </w:tc>
        <w:tc>
          <w:tcPr>
            <w:tcW w:type="dxa" w:w="1417"/>
            <w:shd w:val="clear" w:color="auto" w:fill="FFFFFF"/>
            <w:vAlign w:val="center"/>
          </w:tcPr>
          <w:p>
            <w:pPr>
              <w:jc w:val="left"/>
            </w:pPr>
            <w:r>
              <w:rPr>
                <w:rFonts w:ascii="Calibri" w:hAnsi="Calibri"/>
                <w:sz w:val="18"/>
              </w:rPr>
              <w:t>57.3%</w:t>
            </w:r>
          </w:p>
        </w:tc>
        <w:tc>
          <w:tcPr>
            <w:tcW w:type="dxa" w:w="2835"/>
            <w:shd w:val="clear" w:color="auto" w:fill="FFFFFF"/>
            <w:vAlign w:val="center"/>
          </w:tcPr>
          <w:p>
            <w:pPr>
              <w:jc w:val="left"/>
            </w:pPr>
            <w:r>
              <w:rPr>
                <w:rFonts w:ascii="Calibri" w:hAnsi="Calibri"/>
                <w:sz w:val="18"/>
              </w:rPr>
              <w:t>Concerning</w:t>
            </w:r>
          </w:p>
        </w:tc>
      </w:tr>
    </w:tbl>
    <w:p/>
    <w:p>
      <w:pPr>
        <w:pStyle w:val="WASH_Caption"/>
        <w:jc w:val="left"/>
      </w:pPr>
      <w:r>
        <w:rPr>
          <w:b/>
          <w:color w:val="1F3864"/>
        </w:rPr>
        <w:t>Table 12 - Pollution by department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054A6"/>
            <w:vAlign w:val="center"/>
          </w:tcPr>
          <w:p>
            <w:pPr>
              <w:jc w:val="center"/>
            </w:pPr>
            <w:r>
              <w:rPr>
                <w:rFonts w:ascii="Calibri" w:hAnsi="Calibri"/>
                <w:b/>
                <w:color w:val="FFFFFF"/>
                <w:sz w:val="18"/>
              </w:rPr>
              <w:t>Department</w:t>
            </w:r>
          </w:p>
        </w:tc>
        <w:tc>
          <w:tcPr>
            <w:tcW w:type="dxa" w:w="2268"/>
            <w:shd w:val="clear" w:color="auto" w:fill="0054A6"/>
            <w:vAlign w:val="center"/>
          </w:tcPr>
          <w:p>
            <w:pPr>
              <w:jc w:val="center"/>
            </w:pPr>
            <w:r>
              <w:rPr>
                <w:rFonts w:ascii="Calibri" w:hAnsi="Calibri"/>
                <w:b/>
                <w:color w:val="FFFFFF"/>
                <w:sz w:val="18"/>
              </w:rPr>
              <w:t>Pollution reported</w:t>
            </w:r>
          </w:p>
        </w:tc>
        <w:tc>
          <w:tcPr>
            <w:tcW w:type="dxa" w:w="2268"/>
            <w:shd w:val="clear" w:color="auto" w:fill="0054A6"/>
            <w:vAlign w:val="center"/>
          </w:tcPr>
          <w:p>
            <w:pPr>
              <w:jc w:val="center"/>
            </w:pPr>
            <w:r>
              <w:rPr>
                <w:rFonts w:ascii="Calibri" w:hAnsi="Calibri"/>
                <w:b/>
                <w:color w:val="FFFFFF"/>
                <w:sz w:val="18"/>
              </w:rPr>
              <w:t>No pollution</w:t>
            </w:r>
          </w:p>
        </w:tc>
        <w:tc>
          <w:tcPr>
            <w:tcW w:type="dxa" w:w="2268"/>
            <w:shd w:val="clear" w:color="auto" w:fill="0054A6"/>
            <w:vAlign w:val="center"/>
          </w:tcPr>
          <w:p>
            <w:pPr>
              <w:jc w:val="center"/>
            </w:pPr>
            <w:r>
              <w:rPr>
                <w:rFonts w:ascii="Calibri" w:hAnsi="Calibri"/>
                <w:b/>
                <w:color w:val="FFFFFF"/>
                <w:sz w:val="18"/>
              </w:rPr>
              <w:t>Rate</w:t>
            </w:r>
          </w:p>
        </w:tc>
      </w:tr>
      <w:tr>
        <w:tc>
          <w:tcPr>
            <w:tcW w:type="dxa" w:w="2268"/>
            <w:shd w:val="clear" w:color="auto" w:fill="F2F7FF"/>
            <w:vAlign w:val="center"/>
          </w:tcPr>
          <w:p>
            <w:pPr>
              <w:jc w:val="left"/>
            </w:pPr>
            <w:r>
              <w:rPr>
                <w:rFonts w:ascii="Calibri" w:hAnsi="Calibri"/>
                <w:sz w:val="18"/>
              </w:rPr>
              <w:t>Goh</w:t>
            </w:r>
          </w:p>
        </w:tc>
        <w:tc>
          <w:tcPr>
            <w:tcW w:type="dxa" w:w="2268"/>
            <w:shd w:val="clear" w:color="auto" w:fill="F2F7FF"/>
            <w:vAlign w:val="center"/>
          </w:tcPr>
          <w:p>
            <w:pPr>
              <w:jc w:val="left"/>
            </w:pPr>
            <w:r>
              <w:rPr>
                <w:rFonts w:ascii="Calibri" w:hAnsi="Calibri"/>
                <w:sz w:val="18"/>
              </w:rPr>
              <w:t>285</w:t>
            </w:r>
          </w:p>
        </w:tc>
        <w:tc>
          <w:tcPr>
            <w:tcW w:type="dxa" w:w="2268"/>
            <w:shd w:val="clear" w:color="auto" w:fill="F2F7FF"/>
            <w:vAlign w:val="center"/>
          </w:tcPr>
          <w:p>
            <w:pPr>
              <w:jc w:val="left"/>
            </w:pPr>
            <w:r>
              <w:rPr>
                <w:rFonts w:ascii="Calibri" w:hAnsi="Calibri"/>
                <w:sz w:val="18"/>
              </w:rPr>
              <w:t>285</w:t>
            </w:r>
          </w:p>
        </w:tc>
        <w:tc>
          <w:tcPr>
            <w:tcW w:type="dxa" w:w="2268"/>
            <w:shd w:val="clear" w:color="auto" w:fill="F2F7FF"/>
            <w:vAlign w:val="center"/>
          </w:tcPr>
          <w:p>
            <w:pPr>
              <w:jc w:val="left"/>
            </w:pPr>
            <w:r>
              <w:rPr>
                <w:rFonts w:ascii="Calibri" w:hAnsi="Calibri"/>
                <w:sz w:val="18"/>
              </w:rPr>
              <w:t>50.0%</w:t>
            </w:r>
          </w:p>
        </w:tc>
      </w:tr>
      <w:tr>
        <w:tc>
          <w:tcPr>
            <w:tcW w:type="dxa" w:w="2268"/>
            <w:shd w:val="clear" w:color="auto" w:fill="FFFFFF"/>
            <w:vAlign w:val="center"/>
          </w:tcPr>
          <w:p>
            <w:pPr>
              <w:jc w:val="left"/>
            </w:pPr>
            <w:r>
              <w:rPr>
                <w:rFonts w:ascii="Calibri" w:hAnsi="Calibri"/>
                <w:sz w:val="18"/>
              </w:rPr>
              <w:t>Loh Djiboua</w:t>
            </w:r>
          </w:p>
        </w:tc>
        <w:tc>
          <w:tcPr>
            <w:tcW w:type="dxa" w:w="2268"/>
            <w:shd w:val="clear" w:color="auto" w:fill="FFFFFF"/>
            <w:vAlign w:val="center"/>
          </w:tcPr>
          <w:p>
            <w:pPr>
              <w:jc w:val="left"/>
            </w:pPr>
            <w:r>
              <w:rPr>
                <w:rFonts w:ascii="Calibri" w:hAnsi="Calibri"/>
                <w:sz w:val="18"/>
              </w:rPr>
              <w:t>209</w:t>
            </w:r>
          </w:p>
        </w:tc>
        <w:tc>
          <w:tcPr>
            <w:tcW w:type="dxa" w:w="2268"/>
            <w:shd w:val="clear" w:color="auto" w:fill="FFFFFF"/>
            <w:vAlign w:val="center"/>
          </w:tcPr>
          <w:p>
            <w:pPr>
              <w:jc w:val="left"/>
            </w:pPr>
            <w:r>
              <w:rPr>
                <w:rFonts w:ascii="Calibri" w:hAnsi="Calibri"/>
                <w:sz w:val="18"/>
              </w:rPr>
              <w:t>221</w:t>
            </w:r>
          </w:p>
        </w:tc>
        <w:tc>
          <w:tcPr>
            <w:tcW w:type="dxa" w:w="2268"/>
            <w:shd w:val="clear" w:color="auto" w:fill="FFFFFF"/>
            <w:vAlign w:val="center"/>
          </w:tcPr>
          <w:p>
            <w:pPr>
              <w:jc w:val="left"/>
            </w:pPr>
            <w:r>
              <w:rPr>
                <w:rFonts w:ascii="Calibri" w:hAnsi="Calibri"/>
                <w:sz w:val="18"/>
              </w:rPr>
              <w:t>48.6%</w:t>
            </w:r>
          </w:p>
        </w:tc>
      </w:tr>
      <w:tr>
        <w:tc>
          <w:tcPr>
            <w:tcW w:type="dxa" w:w="2268"/>
            <w:shd w:val="clear" w:color="auto" w:fill="F2F7FF"/>
            <w:vAlign w:val="center"/>
          </w:tcPr>
          <w:p>
            <w:pPr>
              <w:jc w:val="left"/>
            </w:pPr>
            <w:r>
              <w:rPr>
                <w:rFonts w:ascii="Calibri" w:hAnsi="Calibri"/>
                <w:sz w:val="18"/>
              </w:rPr>
              <w:t>Total</w:t>
            </w:r>
          </w:p>
        </w:tc>
        <w:tc>
          <w:tcPr>
            <w:tcW w:type="dxa" w:w="2268"/>
            <w:shd w:val="clear" w:color="auto" w:fill="F2F7FF"/>
            <w:vAlign w:val="center"/>
          </w:tcPr>
          <w:p>
            <w:pPr>
              <w:jc w:val="left"/>
            </w:pPr>
            <w:r>
              <w:rPr>
                <w:rFonts w:ascii="Calibri" w:hAnsi="Calibri"/>
                <w:sz w:val="18"/>
              </w:rPr>
              <w:t>494</w:t>
            </w:r>
          </w:p>
        </w:tc>
        <w:tc>
          <w:tcPr>
            <w:tcW w:type="dxa" w:w="2268"/>
            <w:shd w:val="clear" w:color="auto" w:fill="F2F7FF"/>
            <w:vAlign w:val="center"/>
          </w:tcPr>
          <w:p>
            <w:pPr>
              <w:jc w:val="left"/>
            </w:pPr>
            <w:r>
              <w:rPr>
                <w:rFonts w:ascii="Calibri" w:hAnsi="Calibri"/>
                <w:sz w:val="18"/>
              </w:rPr>
              <w:t>506</w:t>
            </w:r>
          </w:p>
        </w:tc>
        <w:tc>
          <w:tcPr>
            <w:tcW w:type="dxa" w:w="2268"/>
            <w:shd w:val="clear" w:color="auto" w:fill="F2F7FF"/>
            <w:vAlign w:val="center"/>
          </w:tcPr>
          <w:p>
            <w:pPr>
              <w:jc w:val="left"/>
            </w:pPr>
            <w:r>
              <w:rPr>
                <w:rFonts w:ascii="Calibri" w:hAnsi="Calibri"/>
                <w:sz w:val="18"/>
              </w:rPr>
              <w:t>49.4%</w:t>
            </w:r>
          </w:p>
        </w:tc>
      </w:tr>
    </w:tbl>
    <w:p/>
    <w:p>
      <w:r>
        <w:br w:type="page"/>
      </w:r>
    </w:p>
    <w:p>
      <w:pPr>
        <w:pStyle w:val="WASH_H1"/>
      </w:pPr>
      <w:r>
        <w:t>Section 7 - Natural Resources</w:t>
      </w:r>
    </w:p>
    <w:p>
      <w:pPr>
        <w:pStyle w:val="WASH_Body"/>
      </w:pPr>
      <w:r>
        <w:rPr>
          <w:b w:val="0"/>
          <w:i w:val="0"/>
        </w:rPr>
        <w:t>The natural resources situation is alarming: 57.7% of households report resource degradation, and only 12.1% consider them abundant. This situation indicates growing awareness but practices that remain insufficient to reverse the trend.</w:t>
      </w:r>
    </w:p>
    <w:p>
      <w:pPr>
        <w:jc w:val="center"/>
      </w:pPr>
      <w:r>
        <w:drawing>
          <wp:inline xmlns:a="http://schemas.openxmlformats.org/drawingml/2006/main" xmlns:pic="http://schemas.openxmlformats.org/drawingml/2006/picture">
            <wp:extent cx="4572000" cy="3470473"/>
            <wp:docPr id="12" name="Picture 1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3470473"/>
                    </a:xfrm>
                    <a:prstGeom prst="rect"/>
                  </pic:spPr>
                </pic:pic>
              </a:graphicData>
            </a:graphic>
          </wp:inline>
        </w:drawing>
      </w:r>
    </w:p>
    <w:p>
      <w:pPr>
        <w:pStyle w:val="WASH_Caption"/>
        <w:jc w:val="center"/>
      </w:pPr>
      <w:r>
        <w:t>Figure 12 - Perceived natural resources availability (N=1000)</w:t>
      </w:r>
    </w:p>
    <w:p>
      <w:pPr>
        <w:pStyle w:val="WASH_Caption"/>
        <w:jc w:val="left"/>
      </w:pPr>
      <w:r>
        <w:rPr>
          <w:b/>
          <w:color w:val="1F3864"/>
        </w:rPr>
        <w:t>Table 13 - Natural resources availability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118"/>
            <w:shd w:val="clear" w:color="auto" w:fill="0054A6"/>
            <w:vAlign w:val="center"/>
          </w:tcPr>
          <w:p>
            <w:pPr>
              <w:jc w:val="center"/>
            </w:pPr>
            <w:r>
              <w:rPr>
                <w:rFonts w:ascii="Calibri" w:hAnsi="Calibri"/>
                <w:b/>
                <w:color w:val="FFFFFF"/>
                <w:sz w:val="18"/>
              </w:rPr>
              <w:t>Availability level</w:t>
            </w:r>
          </w:p>
        </w:tc>
        <w:tc>
          <w:tcPr>
            <w:tcW w:type="dxa" w:w="1701"/>
            <w:shd w:val="clear" w:color="auto" w:fill="0054A6"/>
            <w:vAlign w:val="center"/>
          </w:tcPr>
          <w:p>
            <w:pPr>
              <w:jc w:val="center"/>
            </w:pPr>
            <w:r>
              <w:rPr>
                <w:rFonts w:ascii="Calibri" w:hAnsi="Calibri"/>
                <w:b/>
                <w:color w:val="FFFFFF"/>
                <w:sz w:val="18"/>
              </w:rPr>
              <w:t>Households</w:t>
            </w:r>
          </w:p>
        </w:tc>
        <w:tc>
          <w:tcPr>
            <w:tcW w:type="dxa" w:w="1417"/>
            <w:shd w:val="clear" w:color="auto" w:fill="0054A6"/>
            <w:vAlign w:val="center"/>
          </w:tcPr>
          <w:p>
            <w:pPr>
              <w:jc w:val="center"/>
            </w:pPr>
            <w:r>
              <w:rPr>
                <w:rFonts w:ascii="Calibri" w:hAnsi="Calibri"/>
                <w:b/>
                <w:color w:val="FFFFFF"/>
                <w:sz w:val="18"/>
              </w:rPr>
              <w:t>%</w:t>
            </w:r>
          </w:p>
        </w:tc>
        <w:tc>
          <w:tcPr>
            <w:tcW w:type="dxa" w:w="2835"/>
            <w:shd w:val="clear" w:color="auto" w:fill="0054A6"/>
            <w:vAlign w:val="center"/>
          </w:tcPr>
          <w:p>
            <w:pPr>
              <w:jc w:val="center"/>
            </w:pPr>
            <w:r>
              <w:rPr>
                <w:rFonts w:ascii="Calibri" w:hAnsi="Calibri"/>
                <w:b/>
                <w:color w:val="FFFFFF"/>
                <w:sz w:val="18"/>
              </w:rPr>
              <w:t>Status</w:t>
            </w:r>
          </w:p>
        </w:tc>
      </w:tr>
      <w:tr>
        <w:tc>
          <w:tcPr>
            <w:tcW w:type="dxa" w:w="3118"/>
            <w:shd w:val="clear" w:color="auto" w:fill="F2F7FF"/>
            <w:vAlign w:val="center"/>
          </w:tcPr>
          <w:p>
            <w:pPr>
              <w:jc w:val="left"/>
            </w:pPr>
            <w:r>
              <w:rPr>
                <w:rFonts w:ascii="Calibri" w:hAnsi="Calibri"/>
                <w:sz w:val="18"/>
              </w:rPr>
              <w:t>Scarce</w:t>
            </w:r>
          </w:p>
        </w:tc>
        <w:tc>
          <w:tcPr>
            <w:tcW w:type="dxa" w:w="1701"/>
            <w:shd w:val="clear" w:color="auto" w:fill="F2F7FF"/>
            <w:vAlign w:val="center"/>
          </w:tcPr>
          <w:p>
            <w:pPr>
              <w:jc w:val="left"/>
            </w:pPr>
            <w:r>
              <w:rPr>
                <w:rFonts w:ascii="Calibri" w:hAnsi="Calibri"/>
                <w:sz w:val="18"/>
              </w:rPr>
              <w:t>384</w:t>
            </w:r>
          </w:p>
        </w:tc>
        <w:tc>
          <w:tcPr>
            <w:tcW w:type="dxa" w:w="1417"/>
            <w:shd w:val="clear" w:color="auto" w:fill="F2F7FF"/>
            <w:vAlign w:val="center"/>
          </w:tcPr>
          <w:p>
            <w:pPr>
              <w:jc w:val="left"/>
            </w:pPr>
            <w:r>
              <w:rPr>
                <w:rFonts w:ascii="Calibri" w:hAnsi="Calibri"/>
                <w:sz w:val="18"/>
              </w:rPr>
              <w:t>38.4%</w:t>
            </w:r>
          </w:p>
        </w:tc>
        <w:tc>
          <w:tcPr>
            <w:tcW w:type="dxa" w:w="2835"/>
            <w:shd w:val="clear" w:color="auto" w:fill="F2F7FF"/>
            <w:vAlign w:val="center"/>
          </w:tcPr>
          <w:p>
            <w:pPr>
              <w:jc w:val="left"/>
            </w:pPr>
            <w:r>
              <w:rPr>
                <w:rFonts w:ascii="Calibri" w:hAnsi="Calibri"/>
                <w:sz w:val="18"/>
              </w:rPr>
              <w:t>Critical</w:t>
            </w:r>
          </w:p>
        </w:tc>
      </w:tr>
      <w:tr>
        <w:tc>
          <w:tcPr>
            <w:tcW w:type="dxa" w:w="3118"/>
            <w:shd w:val="clear" w:color="auto" w:fill="FFFFFF"/>
            <w:vAlign w:val="center"/>
          </w:tcPr>
          <w:p>
            <w:pPr>
              <w:jc w:val="left"/>
            </w:pPr>
            <w:r>
              <w:rPr>
                <w:rFonts w:ascii="Calibri" w:hAnsi="Calibri"/>
                <w:sz w:val="18"/>
              </w:rPr>
              <w:t>Moderately available</w:t>
            </w:r>
          </w:p>
        </w:tc>
        <w:tc>
          <w:tcPr>
            <w:tcW w:type="dxa" w:w="1701"/>
            <w:shd w:val="clear" w:color="auto" w:fill="FFFFFF"/>
            <w:vAlign w:val="center"/>
          </w:tcPr>
          <w:p>
            <w:pPr>
              <w:jc w:val="left"/>
            </w:pPr>
            <w:r>
              <w:rPr>
                <w:rFonts w:ascii="Calibri" w:hAnsi="Calibri"/>
                <w:sz w:val="18"/>
              </w:rPr>
              <w:t>335</w:t>
            </w:r>
          </w:p>
        </w:tc>
        <w:tc>
          <w:tcPr>
            <w:tcW w:type="dxa" w:w="1417"/>
            <w:shd w:val="clear" w:color="auto" w:fill="FFFFFF"/>
            <w:vAlign w:val="center"/>
          </w:tcPr>
          <w:p>
            <w:pPr>
              <w:jc w:val="left"/>
            </w:pPr>
            <w:r>
              <w:rPr>
                <w:rFonts w:ascii="Calibri" w:hAnsi="Calibri"/>
                <w:sz w:val="18"/>
              </w:rPr>
              <w:t>33.5%</w:t>
            </w:r>
          </w:p>
        </w:tc>
        <w:tc>
          <w:tcPr>
            <w:tcW w:type="dxa" w:w="2835"/>
            <w:shd w:val="clear" w:color="auto" w:fill="FFFFFF"/>
            <w:vAlign w:val="center"/>
          </w:tcPr>
          <w:p>
            <w:pPr>
              <w:jc w:val="left"/>
            </w:pPr>
            <w:r>
              <w:rPr>
                <w:rFonts w:ascii="Calibri" w:hAnsi="Calibri"/>
                <w:sz w:val="18"/>
              </w:rPr>
              <w:t>Precarious</w:t>
            </w:r>
          </w:p>
        </w:tc>
      </w:tr>
      <w:tr>
        <w:tc>
          <w:tcPr>
            <w:tcW w:type="dxa" w:w="3118"/>
            <w:shd w:val="clear" w:color="auto" w:fill="F2F7FF"/>
            <w:vAlign w:val="center"/>
          </w:tcPr>
          <w:p>
            <w:pPr>
              <w:jc w:val="left"/>
            </w:pPr>
            <w:r>
              <w:rPr>
                <w:rFonts w:ascii="Calibri" w:hAnsi="Calibri"/>
                <w:sz w:val="18"/>
              </w:rPr>
              <w:t>Near depletion</w:t>
            </w:r>
          </w:p>
        </w:tc>
        <w:tc>
          <w:tcPr>
            <w:tcW w:type="dxa" w:w="1701"/>
            <w:shd w:val="clear" w:color="auto" w:fill="F2F7FF"/>
            <w:vAlign w:val="center"/>
          </w:tcPr>
          <w:p>
            <w:pPr>
              <w:jc w:val="left"/>
            </w:pPr>
            <w:r>
              <w:rPr>
                <w:rFonts w:ascii="Calibri" w:hAnsi="Calibri"/>
                <w:sz w:val="18"/>
              </w:rPr>
              <w:t>160</w:t>
            </w:r>
          </w:p>
        </w:tc>
        <w:tc>
          <w:tcPr>
            <w:tcW w:type="dxa" w:w="1417"/>
            <w:shd w:val="clear" w:color="auto" w:fill="F2F7FF"/>
            <w:vAlign w:val="center"/>
          </w:tcPr>
          <w:p>
            <w:pPr>
              <w:jc w:val="left"/>
            </w:pPr>
            <w:r>
              <w:rPr>
                <w:rFonts w:ascii="Calibri" w:hAnsi="Calibri"/>
                <w:sz w:val="18"/>
              </w:rPr>
              <w:t>16.0%</w:t>
            </w:r>
          </w:p>
        </w:tc>
        <w:tc>
          <w:tcPr>
            <w:tcW w:type="dxa" w:w="2835"/>
            <w:shd w:val="clear" w:color="auto" w:fill="F2F7FF"/>
            <w:vAlign w:val="center"/>
          </w:tcPr>
          <w:p>
            <w:pPr>
              <w:jc w:val="left"/>
            </w:pPr>
            <w:r>
              <w:rPr>
                <w:rFonts w:ascii="Calibri" w:hAnsi="Calibri"/>
                <w:sz w:val="18"/>
              </w:rPr>
              <w:t>Emergency</w:t>
            </w:r>
          </w:p>
        </w:tc>
      </w:tr>
      <w:tr>
        <w:tc>
          <w:tcPr>
            <w:tcW w:type="dxa" w:w="3118"/>
            <w:shd w:val="clear" w:color="auto" w:fill="FFFFFF"/>
            <w:vAlign w:val="center"/>
          </w:tcPr>
          <w:p>
            <w:pPr>
              <w:jc w:val="left"/>
            </w:pPr>
            <w:r>
              <w:rPr>
                <w:rFonts w:ascii="Calibri" w:hAnsi="Calibri"/>
                <w:sz w:val="18"/>
              </w:rPr>
              <w:t>Abundant</w:t>
            </w:r>
          </w:p>
        </w:tc>
        <w:tc>
          <w:tcPr>
            <w:tcW w:type="dxa" w:w="1701"/>
            <w:shd w:val="clear" w:color="auto" w:fill="FFFFFF"/>
            <w:vAlign w:val="center"/>
          </w:tcPr>
          <w:p>
            <w:pPr>
              <w:jc w:val="left"/>
            </w:pPr>
            <w:r>
              <w:rPr>
                <w:rFonts w:ascii="Calibri" w:hAnsi="Calibri"/>
                <w:sz w:val="18"/>
              </w:rPr>
              <w:t>121</w:t>
            </w:r>
          </w:p>
        </w:tc>
        <w:tc>
          <w:tcPr>
            <w:tcW w:type="dxa" w:w="1417"/>
            <w:shd w:val="clear" w:color="auto" w:fill="FFFFFF"/>
            <w:vAlign w:val="center"/>
          </w:tcPr>
          <w:p>
            <w:pPr>
              <w:jc w:val="left"/>
            </w:pPr>
            <w:r>
              <w:rPr>
                <w:rFonts w:ascii="Calibri" w:hAnsi="Calibri"/>
                <w:sz w:val="18"/>
              </w:rPr>
              <w:t>12.1%</w:t>
            </w:r>
          </w:p>
        </w:tc>
        <w:tc>
          <w:tcPr>
            <w:tcW w:type="dxa" w:w="2835"/>
            <w:shd w:val="clear" w:color="auto" w:fill="FFFFFF"/>
            <w:vAlign w:val="center"/>
          </w:tcPr>
          <w:p>
            <w:pPr>
              <w:jc w:val="left"/>
            </w:pPr>
            <w:r>
              <w:rPr>
                <w:rFonts w:ascii="Calibri" w:hAnsi="Calibri"/>
                <w:sz w:val="18"/>
              </w:rPr>
              <w:t>Favorable</w:t>
            </w:r>
          </w:p>
        </w:tc>
      </w:tr>
    </w:tbl>
    <w:p/>
    <w:p>
      <w:pPr>
        <w:pStyle w:val="WASH_Caption"/>
        <w:jc w:val="left"/>
      </w:pPr>
      <w:r>
        <w:rPr>
          <w:b/>
          <w:color w:val="1F3864"/>
        </w:rPr>
        <w:t>Table 14 - Natural resources and environmental stewardship indicators</w:t>
      </w:r>
    </w:p>
    <w:tbl>
      <w:tblPr>
        <w:tblStyle w:val="TableGrid"/>
        <w:tblW w:type="auto" w:w="0"/>
        <w:jc w:val="center"/>
        <w:tblLook w:firstColumn="1" w:firstRow="1" w:lastColumn="0" w:lastRow="0" w:noHBand="0" w:noVBand="1" w:val="04A0"/>
      </w:tblPr>
      <w:tblGrid>
        <w:gridCol w:w="3024"/>
        <w:gridCol w:w="3024"/>
        <w:gridCol w:w="3024"/>
      </w:tblGrid>
      <w:tr>
        <w:tc>
          <w:tcPr>
            <w:tcW w:type="dxa" w:w="3118"/>
            <w:shd w:val="clear" w:color="auto" w:fill="0054A6"/>
            <w:vAlign w:val="center"/>
          </w:tcPr>
          <w:p>
            <w:pPr>
              <w:jc w:val="center"/>
            </w:pPr>
            <w:r>
              <w:rPr>
                <w:rFonts w:ascii="Calibri" w:hAnsi="Calibri"/>
                <w:b/>
                <w:color w:val="FFFFFF"/>
                <w:sz w:val="18"/>
              </w:rPr>
              <w:t>Resources indicator</w:t>
            </w:r>
          </w:p>
        </w:tc>
        <w:tc>
          <w:tcPr>
            <w:tcW w:type="dxa" w:w="2268"/>
            <w:shd w:val="clear" w:color="auto" w:fill="0054A6"/>
            <w:vAlign w:val="center"/>
          </w:tcPr>
          <w:p>
            <w:pPr>
              <w:jc w:val="center"/>
            </w:pPr>
            <w:r>
              <w:rPr>
                <w:rFonts w:ascii="Calibri" w:hAnsi="Calibri"/>
                <w:b/>
                <w:color w:val="FFFFFF"/>
                <w:sz w:val="18"/>
              </w:rPr>
              <w:t>Value</w:t>
            </w:r>
          </w:p>
        </w:tc>
        <w:tc>
          <w:tcPr>
            <w:tcW w:type="dxa" w:w="3685"/>
            <w:shd w:val="clear" w:color="auto" w:fill="0054A6"/>
            <w:vAlign w:val="center"/>
          </w:tcPr>
          <w:p>
            <w:pPr>
              <w:jc w:val="center"/>
            </w:pPr>
            <w:r>
              <w:rPr>
                <w:rFonts w:ascii="Calibri" w:hAnsi="Calibri"/>
                <w:b/>
                <w:color w:val="FFFFFF"/>
                <w:sz w:val="18"/>
              </w:rPr>
              <w:t>Interpretation</w:t>
            </w:r>
          </w:p>
        </w:tc>
      </w:tr>
      <w:tr>
        <w:tc>
          <w:tcPr>
            <w:tcW w:type="dxa" w:w="3118"/>
            <w:shd w:val="clear" w:color="auto" w:fill="F2F7FF"/>
            <w:vAlign w:val="center"/>
          </w:tcPr>
          <w:p>
            <w:pPr>
              <w:jc w:val="left"/>
            </w:pPr>
            <w:r>
              <w:rPr>
                <w:rFonts w:ascii="Calibri" w:hAnsi="Calibri"/>
                <w:sz w:val="18"/>
              </w:rPr>
              <w:t>Degradation reported</w:t>
            </w:r>
          </w:p>
        </w:tc>
        <w:tc>
          <w:tcPr>
            <w:tcW w:type="dxa" w:w="2268"/>
            <w:shd w:val="clear" w:color="auto" w:fill="F2F7FF"/>
            <w:vAlign w:val="center"/>
          </w:tcPr>
          <w:p>
            <w:pPr>
              <w:jc w:val="left"/>
            </w:pPr>
            <w:r>
              <w:rPr>
                <w:rFonts w:ascii="Calibri" w:hAnsi="Calibri"/>
                <w:sz w:val="18"/>
              </w:rPr>
              <w:t>57.7% (577)</w:t>
            </w:r>
          </w:p>
        </w:tc>
        <w:tc>
          <w:tcPr>
            <w:tcW w:type="dxa" w:w="3685"/>
            <w:shd w:val="clear" w:color="auto" w:fill="F2F7FF"/>
            <w:vAlign w:val="center"/>
          </w:tcPr>
          <w:p>
            <w:pPr>
              <w:jc w:val="left"/>
            </w:pPr>
            <w:r>
              <w:rPr>
                <w:rFonts w:ascii="Calibri" w:hAnsi="Calibri"/>
                <w:sz w:val="18"/>
              </w:rPr>
              <w:t>Critical situation</w:t>
            </w:r>
          </w:p>
        </w:tc>
      </w:tr>
      <w:tr>
        <w:tc>
          <w:tcPr>
            <w:tcW w:type="dxa" w:w="3118"/>
            <w:shd w:val="clear" w:color="auto" w:fill="FFFFFF"/>
            <w:vAlign w:val="center"/>
          </w:tcPr>
          <w:p>
            <w:pPr>
              <w:jc w:val="left"/>
            </w:pPr>
            <w:r>
              <w:rPr>
                <w:rFonts w:ascii="Calibri" w:hAnsi="Calibri"/>
                <w:sz w:val="18"/>
              </w:rPr>
              <w:t>Environmental stewardship: Strong</w:t>
            </w:r>
          </w:p>
        </w:tc>
        <w:tc>
          <w:tcPr>
            <w:tcW w:type="dxa" w:w="2268"/>
            <w:shd w:val="clear" w:color="auto" w:fill="FFFFFF"/>
            <w:vAlign w:val="center"/>
          </w:tcPr>
          <w:p>
            <w:pPr>
              <w:jc w:val="left"/>
            </w:pPr>
            <w:r>
              <w:rPr>
                <w:rFonts w:ascii="Calibri" w:hAnsi="Calibri"/>
                <w:sz w:val="18"/>
              </w:rPr>
              <w:t>35.8% (358)</w:t>
            </w:r>
          </w:p>
        </w:tc>
        <w:tc>
          <w:tcPr>
            <w:tcW w:type="dxa" w:w="3685"/>
            <w:shd w:val="clear" w:color="auto" w:fill="FFFFFF"/>
            <w:vAlign w:val="center"/>
          </w:tcPr>
          <w:p>
            <w:pPr>
              <w:jc w:val="left"/>
            </w:pPr>
            <w:r>
              <w:rPr>
                <w:rFonts w:ascii="Calibri" w:hAnsi="Calibri"/>
                <w:sz w:val="18"/>
              </w:rPr>
              <w:t>Awareness present</w:t>
            </w:r>
          </w:p>
        </w:tc>
      </w:tr>
      <w:tr>
        <w:tc>
          <w:tcPr>
            <w:tcW w:type="dxa" w:w="3118"/>
            <w:shd w:val="clear" w:color="auto" w:fill="F2F7FF"/>
            <w:vAlign w:val="center"/>
          </w:tcPr>
          <w:p>
            <w:pPr>
              <w:jc w:val="left"/>
            </w:pPr>
            <w:r>
              <w:rPr>
                <w:rFonts w:ascii="Calibri" w:hAnsi="Calibri"/>
                <w:sz w:val="18"/>
              </w:rPr>
              <w:t>Environmental stewardship: Moderate</w:t>
            </w:r>
          </w:p>
        </w:tc>
        <w:tc>
          <w:tcPr>
            <w:tcW w:type="dxa" w:w="2268"/>
            <w:shd w:val="clear" w:color="auto" w:fill="F2F7FF"/>
            <w:vAlign w:val="center"/>
          </w:tcPr>
          <w:p>
            <w:pPr>
              <w:jc w:val="left"/>
            </w:pPr>
            <w:r>
              <w:rPr>
                <w:rFonts w:ascii="Calibri" w:hAnsi="Calibri"/>
                <w:sz w:val="18"/>
              </w:rPr>
              <w:t>30.8% (308)</w:t>
            </w:r>
          </w:p>
        </w:tc>
        <w:tc>
          <w:tcPr>
            <w:tcW w:type="dxa" w:w="3685"/>
            <w:shd w:val="clear" w:color="auto" w:fill="F2F7FF"/>
            <w:vAlign w:val="center"/>
          </w:tcPr>
          <w:p>
            <w:pPr>
              <w:jc w:val="left"/>
            </w:pPr>
            <w:r>
              <w:rPr>
                <w:rFonts w:ascii="Calibri" w:hAnsi="Calibri"/>
                <w:sz w:val="18"/>
              </w:rPr>
              <w:t>Needs reinforcement</w:t>
            </w:r>
          </w:p>
        </w:tc>
      </w:tr>
      <w:tr>
        <w:tc>
          <w:tcPr>
            <w:tcW w:type="dxa" w:w="3118"/>
            <w:shd w:val="clear" w:color="auto" w:fill="FFFFFF"/>
            <w:vAlign w:val="center"/>
          </w:tcPr>
          <w:p>
            <w:pPr>
              <w:jc w:val="left"/>
            </w:pPr>
            <w:r>
              <w:rPr>
                <w:rFonts w:ascii="Calibri" w:hAnsi="Calibri"/>
                <w:sz w:val="18"/>
              </w:rPr>
              <w:t>Environmental stewardship: Very strong</w:t>
            </w:r>
          </w:p>
        </w:tc>
        <w:tc>
          <w:tcPr>
            <w:tcW w:type="dxa" w:w="2268"/>
            <w:shd w:val="clear" w:color="auto" w:fill="FFFFFF"/>
            <w:vAlign w:val="center"/>
          </w:tcPr>
          <w:p>
            <w:pPr>
              <w:jc w:val="left"/>
            </w:pPr>
            <w:r>
              <w:rPr>
                <w:rFonts w:ascii="Calibri" w:hAnsi="Calibri"/>
                <w:sz w:val="18"/>
              </w:rPr>
              <w:t>18.3% (183)</w:t>
            </w:r>
          </w:p>
        </w:tc>
        <w:tc>
          <w:tcPr>
            <w:tcW w:type="dxa" w:w="3685"/>
            <w:shd w:val="clear" w:color="auto" w:fill="FFFFFF"/>
            <w:vAlign w:val="center"/>
          </w:tcPr>
          <w:p>
            <w:pPr>
              <w:jc w:val="left"/>
            </w:pPr>
            <w:r>
              <w:rPr>
                <w:rFonts w:ascii="Calibri" w:hAnsi="Calibri"/>
                <w:sz w:val="18"/>
              </w:rPr>
              <w:t>Committed minority</w:t>
            </w:r>
          </w:p>
        </w:tc>
      </w:tr>
      <w:tr>
        <w:tc>
          <w:tcPr>
            <w:tcW w:type="dxa" w:w="3118"/>
            <w:shd w:val="clear" w:color="auto" w:fill="F2F7FF"/>
            <w:vAlign w:val="center"/>
          </w:tcPr>
          <w:p>
            <w:pPr>
              <w:jc w:val="left"/>
            </w:pPr>
            <w:r>
              <w:rPr>
                <w:rFonts w:ascii="Calibri" w:hAnsi="Calibri"/>
                <w:sz w:val="18"/>
              </w:rPr>
              <w:t>Environmental stewardship: Weak</w:t>
            </w:r>
          </w:p>
        </w:tc>
        <w:tc>
          <w:tcPr>
            <w:tcW w:type="dxa" w:w="2268"/>
            <w:shd w:val="clear" w:color="auto" w:fill="F2F7FF"/>
            <w:vAlign w:val="center"/>
          </w:tcPr>
          <w:p>
            <w:pPr>
              <w:jc w:val="left"/>
            </w:pPr>
            <w:r>
              <w:rPr>
                <w:rFonts w:ascii="Calibri" w:hAnsi="Calibri"/>
                <w:sz w:val="18"/>
              </w:rPr>
              <w:t>15.1% (151)</w:t>
            </w:r>
          </w:p>
        </w:tc>
        <w:tc>
          <w:tcPr>
            <w:tcW w:type="dxa" w:w="3685"/>
            <w:shd w:val="clear" w:color="auto" w:fill="F2F7FF"/>
            <w:vAlign w:val="center"/>
          </w:tcPr>
          <w:p>
            <w:pPr>
              <w:jc w:val="left"/>
            </w:pPr>
            <w:r>
              <w:rPr>
                <w:rFonts w:ascii="Calibri" w:hAnsi="Calibri"/>
                <w:sz w:val="18"/>
              </w:rPr>
              <w:t>High risk</w:t>
            </w:r>
          </w:p>
        </w:tc>
      </w:tr>
    </w:tbl>
    <w:p/>
    <w:p>
      <w:r>
        <w:br w:type="page"/>
      </w:r>
    </w:p>
    <w:p>
      <w:pPr>
        <w:pStyle w:val="WASH_H1"/>
      </w:pPr>
      <w:r>
        <w:t>Section 8 - Comparative Analysis</w:t>
      </w:r>
    </w:p>
    <w:p>
      <w:pPr>
        <w:pStyle w:val="WASH_Body"/>
      </w:pPr>
      <w:r>
        <w:rPr>
          <w:b w:val="0"/>
          <w:i w:val="0"/>
        </w:rPr>
        <w:t>The comparison of WASH indicators between the two departments reveals relatively similar profiles. The Goh department shows slightly more disease cases and a higher proportion of treated water, while Loh Djiboua shows better access within 30 minutes.</w:t>
      </w:r>
    </w:p>
    <w:p>
      <w:pPr>
        <w:jc w:val="center"/>
      </w:pPr>
      <w:r>
        <w:drawing>
          <wp:inline xmlns:a="http://schemas.openxmlformats.org/drawingml/2006/main" xmlns:pic="http://schemas.openxmlformats.org/drawingml/2006/picture">
            <wp:extent cx="5029200" cy="3161211"/>
            <wp:docPr id="13" name="Picture 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161211"/>
                    </a:xfrm>
                    <a:prstGeom prst="rect"/>
                  </pic:spPr>
                </pic:pic>
              </a:graphicData>
            </a:graphic>
          </wp:inline>
        </w:drawing>
      </w:r>
    </w:p>
    <w:p>
      <w:pPr>
        <w:pStyle w:val="WASH_Caption"/>
        <w:jc w:val="center"/>
      </w:pPr>
      <w:r>
        <w:t>Figure 13 - Comparison of key WASH indicators by department</w:t>
      </w:r>
    </w:p>
    <w:p>
      <w:pPr>
        <w:pStyle w:val="WASH_Caption"/>
        <w:jc w:val="left"/>
      </w:pPr>
      <w:r>
        <w:rPr>
          <w:b/>
          <w:color w:val="1F3864"/>
        </w:rPr>
        <w:t>Table 15 - Full comparative table of WASH indicators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0054A6"/>
            <w:vAlign w:val="center"/>
          </w:tcPr>
          <w:p>
            <w:pPr>
              <w:jc w:val="center"/>
            </w:pPr>
            <w:r>
              <w:rPr>
                <w:rFonts w:ascii="Calibri" w:hAnsi="Calibri"/>
                <w:b/>
                <w:color w:val="FFFFFF"/>
                <w:sz w:val="18"/>
              </w:rPr>
              <w:t>Indicator</w:t>
            </w:r>
          </w:p>
        </w:tc>
        <w:tc>
          <w:tcPr>
            <w:tcW w:type="dxa" w:w="1417"/>
            <w:shd w:val="clear" w:color="auto" w:fill="0054A6"/>
            <w:vAlign w:val="center"/>
          </w:tcPr>
          <w:p>
            <w:pPr>
              <w:jc w:val="center"/>
            </w:pPr>
            <w:r>
              <w:rPr>
                <w:rFonts w:ascii="Calibri" w:hAnsi="Calibri"/>
                <w:b/>
                <w:color w:val="FFFFFF"/>
                <w:sz w:val="18"/>
              </w:rPr>
              <w:t>Overall</w:t>
            </w:r>
          </w:p>
        </w:tc>
        <w:tc>
          <w:tcPr>
            <w:tcW w:type="dxa" w:w="1701"/>
            <w:shd w:val="clear" w:color="auto" w:fill="0054A6"/>
            <w:vAlign w:val="center"/>
          </w:tcPr>
          <w:p>
            <w:pPr>
              <w:jc w:val="center"/>
            </w:pPr>
            <w:r>
              <w:rPr>
                <w:rFonts w:ascii="Calibri" w:hAnsi="Calibri"/>
                <w:b/>
                <w:color w:val="FFFFFF"/>
                <w:sz w:val="18"/>
              </w:rPr>
              <w:t>Goh (N=570)</w:t>
            </w:r>
          </w:p>
        </w:tc>
        <w:tc>
          <w:tcPr>
            <w:tcW w:type="dxa" w:w="1984"/>
            <w:shd w:val="clear" w:color="auto" w:fill="0054A6"/>
            <w:vAlign w:val="center"/>
          </w:tcPr>
          <w:p>
            <w:pPr>
              <w:jc w:val="center"/>
            </w:pPr>
            <w:r>
              <w:rPr>
                <w:rFonts w:ascii="Calibri" w:hAnsi="Calibri"/>
                <w:b/>
                <w:color w:val="FFFFFF"/>
                <w:sz w:val="18"/>
              </w:rPr>
              <w:t>Loh Djiboua (N=430)</w:t>
            </w:r>
          </w:p>
        </w:tc>
        <w:tc>
          <w:tcPr>
            <w:tcW w:type="dxa" w:w="1701"/>
            <w:shd w:val="clear" w:color="auto" w:fill="0054A6"/>
            <w:vAlign w:val="center"/>
          </w:tcPr>
          <w:p>
            <w:pPr>
              <w:jc w:val="center"/>
            </w:pPr>
            <w:r>
              <w:rPr>
                <w:rFonts w:ascii="Calibri" w:hAnsi="Calibri"/>
                <w:b/>
                <w:color w:val="FFFFFF"/>
                <w:sz w:val="18"/>
              </w:rPr>
              <w:t>Gap</w:t>
            </w:r>
          </w:p>
        </w:tc>
      </w:tr>
      <w:tr>
        <w:tc>
          <w:tcPr>
            <w:tcW w:type="dxa" w:w="2268"/>
            <w:shd w:val="clear" w:color="auto" w:fill="F2F7FF"/>
            <w:vAlign w:val="center"/>
          </w:tcPr>
          <w:p>
            <w:pPr>
              <w:jc w:val="left"/>
            </w:pPr>
            <w:r>
              <w:rPr>
                <w:rFonts w:ascii="Calibri" w:hAnsi="Calibri"/>
                <w:sz w:val="18"/>
              </w:rPr>
              <w:t>Good water quality</w:t>
            </w:r>
          </w:p>
        </w:tc>
        <w:tc>
          <w:tcPr>
            <w:tcW w:type="dxa" w:w="1417"/>
            <w:shd w:val="clear" w:color="auto" w:fill="F2F7FF"/>
            <w:vAlign w:val="center"/>
          </w:tcPr>
          <w:p>
            <w:pPr>
              <w:jc w:val="left"/>
            </w:pPr>
            <w:r>
              <w:rPr>
                <w:rFonts w:ascii="Calibri" w:hAnsi="Calibri"/>
                <w:sz w:val="18"/>
              </w:rPr>
              <w:t>20.8%</w:t>
            </w:r>
          </w:p>
        </w:tc>
        <w:tc>
          <w:tcPr>
            <w:tcW w:type="dxa" w:w="1701"/>
            <w:shd w:val="clear" w:color="auto" w:fill="F2F7FF"/>
            <w:vAlign w:val="center"/>
          </w:tcPr>
          <w:p>
            <w:pPr>
              <w:jc w:val="left"/>
            </w:pPr>
            <w:r>
              <w:rPr>
                <w:rFonts w:ascii="Calibri" w:hAnsi="Calibri"/>
                <w:sz w:val="18"/>
              </w:rPr>
              <w:t>20.7%</w:t>
            </w:r>
          </w:p>
        </w:tc>
        <w:tc>
          <w:tcPr>
            <w:tcW w:type="dxa" w:w="1984"/>
            <w:shd w:val="clear" w:color="auto" w:fill="F2F7FF"/>
            <w:vAlign w:val="center"/>
          </w:tcPr>
          <w:p>
            <w:pPr>
              <w:jc w:val="left"/>
            </w:pPr>
            <w:r>
              <w:rPr>
                <w:rFonts w:ascii="Calibri" w:hAnsi="Calibri"/>
                <w:sz w:val="18"/>
              </w:rPr>
              <w:t>20.9%</w:t>
            </w:r>
          </w:p>
        </w:tc>
        <w:tc>
          <w:tcPr>
            <w:tcW w:type="dxa" w:w="1701"/>
            <w:shd w:val="clear" w:color="auto" w:fill="F2F7FF"/>
            <w:vAlign w:val="center"/>
          </w:tcPr>
          <w:p>
            <w:pPr>
              <w:jc w:val="left"/>
            </w:pPr>
            <w:r>
              <w:rPr>
                <w:rFonts w:ascii="Calibri" w:hAnsi="Calibri"/>
                <w:sz w:val="18"/>
              </w:rPr>
              <w:t>+0.2 pts</w:t>
            </w:r>
          </w:p>
        </w:tc>
      </w:tr>
      <w:tr>
        <w:tc>
          <w:tcPr>
            <w:tcW w:type="dxa" w:w="2268"/>
            <w:shd w:val="clear" w:color="auto" w:fill="FFFFFF"/>
            <w:vAlign w:val="center"/>
          </w:tcPr>
          <w:p>
            <w:pPr>
              <w:jc w:val="left"/>
            </w:pPr>
            <w:r>
              <w:rPr>
                <w:rFonts w:ascii="Calibri" w:hAnsi="Calibri"/>
                <w:sz w:val="18"/>
              </w:rPr>
              <w:t>Poor water quality</w:t>
            </w:r>
          </w:p>
        </w:tc>
        <w:tc>
          <w:tcPr>
            <w:tcW w:type="dxa" w:w="1417"/>
            <w:shd w:val="clear" w:color="auto" w:fill="FFFFFF"/>
            <w:vAlign w:val="center"/>
          </w:tcPr>
          <w:p>
            <w:pPr>
              <w:jc w:val="left"/>
            </w:pPr>
            <w:r>
              <w:rPr>
                <w:rFonts w:ascii="Calibri" w:hAnsi="Calibri"/>
                <w:sz w:val="18"/>
              </w:rPr>
              <w:t>40.0%</w:t>
            </w:r>
          </w:p>
        </w:tc>
        <w:tc>
          <w:tcPr>
            <w:tcW w:type="dxa" w:w="1701"/>
            <w:shd w:val="clear" w:color="auto" w:fill="FFFFFF"/>
            <w:vAlign w:val="center"/>
          </w:tcPr>
          <w:p>
            <w:pPr>
              <w:jc w:val="left"/>
            </w:pPr>
            <w:r>
              <w:rPr>
                <w:rFonts w:ascii="Calibri" w:hAnsi="Calibri"/>
                <w:sz w:val="18"/>
              </w:rPr>
              <w:t>40.5%</w:t>
            </w:r>
          </w:p>
        </w:tc>
        <w:tc>
          <w:tcPr>
            <w:tcW w:type="dxa" w:w="1984"/>
            <w:shd w:val="clear" w:color="auto" w:fill="FFFFFF"/>
            <w:vAlign w:val="center"/>
          </w:tcPr>
          <w:p>
            <w:pPr>
              <w:jc w:val="left"/>
            </w:pPr>
            <w:r>
              <w:rPr>
                <w:rFonts w:ascii="Calibri" w:hAnsi="Calibri"/>
                <w:sz w:val="18"/>
              </w:rPr>
              <w:t>39.3%</w:t>
            </w:r>
          </w:p>
        </w:tc>
        <w:tc>
          <w:tcPr>
            <w:tcW w:type="dxa" w:w="1701"/>
            <w:shd w:val="clear" w:color="auto" w:fill="FFFFFF"/>
            <w:vAlign w:val="center"/>
          </w:tcPr>
          <w:p>
            <w:pPr>
              <w:jc w:val="left"/>
            </w:pPr>
            <w:r>
              <w:rPr>
                <w:rFonts w:ascii="Calibri" w:hAnsi="Calibri"/>
                <w:sz w:val="18"/>
              </w:rPr>
              <w:t>-1.2 pts</w:t>
            </w:r>
          </w:p>
        </w:tc>
      </w:tr>
      <w:tr>
        <w:tc>
          <w:tcPr>
            <w:tcW w:type="dxa" w:w="2268"/>
            <w:shd w:val="clear" w:color="auto" w:fill="F2F7FF"/>
            <w:vAlign w:val="center"/>
          </w:tcPr>
          <w:p>
            <w:pPr>
              <w:jc w:val="left"/>
            </w:pPr>
            <w:r>
              <w:rPr>
                <w:rFonts w:ascii="Calibri" w:hAnsi="Calibri"/>
                <w:sz w:val="18"/>
              </w:rPr>
              <w:t>Access &lt;30 min</w:t>
            </w:r>
          </w:p>
        </w:tc>
        <w:tc>
          <w:tcPr>
            <w:tcW w:type="dxa" w:w="1417"/>
            <w:shd w:val="clear" w:color="auto" w:fill="F2F7FF"/>
            <w:vAlign w:val="center"/>
          </w:tcPr>
          <w:p>
            <w:pPr>
              <w:jc w:val="left"/>
            </w:pPr>
            <w:r>
              <w:rPr>
                <w:rFonts w:ascii="Calibri" w:hAnsi="Calibri"/>
                <w:sz w:val="18"/>
              </w:rPr>
              <w:t>38.6%</w:t>
            </w:r>
          </w:p>
        </w:tc>
        <w:tc>
          <w:tcPr>
            <w:tcW w:type="dxa" w:w="1701"/>
            <w:shd w:val="clear" w:color="auto" w:fill="F2F7FF"/>
            <w:vAlign w:val="center"/>
          </w:tcPr>
          <w:p>
            <w:pPr>
              <w:jc w:val="left"/>
            </w:pPr>
            <w:r>
              <w:rPr>
                <w:rFonts w:ascii="Calibri" w:hAnsi="Calibri"/>
                <w:sz w:val="18"/>
              </w:rPr>
              <w:t>37.5%</w:t>
            </w:r>
          </w:p>
        </w:tc>
        <w:tc>
          <w:tcPr>
            <w:tcW w:type="dxa" w:w="1984"/>
            <w:shd w:val="clear" w:color="auto" w:fill="F2F7FF"/>
            <w:vAlign w:val="center"/>
          </w:tcPr>
          <w:p>
            <w:pPr>
              <w:jc w:val="left"/>
            </w:pPr>
            <w:r>
              <w:rPr>
                <w:rFonts w:ascii="Calibri" w:hAnsi="Calibri"/>
                <w:sz w:val="18"/>
              </w:rPr>
              <w:t>40.0%</w:t>
            </w:r>
          </w:p>
        </w:tc>
        <w:tc>
          <w:tcPr>
            <w:tcW w:type="dxa" w:w="1701"/>
            <w:shd w:val="clear" w:color="auto" w:fill="F2F7FF"/>
            <w:vAlign w:val="center"/>
          </w:tcPr>
          <w:p>
            <w:pPr>
              <w:jc w:val="left"/>
            </w:pPr>
            <w:r>
              <w:rPr>
                <w:rFonts w:ascii="Calibri" w:hAnsi="Calibri"/>
                <w:sz w:val="18"/>
              </w:rPr>
              <w:t>+2.5 pts</w:t>
            </w:r>
          </w:p>
        </w:tc>
      </w:tr>
      <w:tr>
        <w:tc>
          <w:tcPr>
            <w:tcW w:type="dxa" w:w="2268"/>
            <w:shd w:val="clear" w:color="auto" w:fill="FFFFFF"/>
            <w:vAlign w:val="center"/>
          </w:tcPr>
          <w:p>
            <w:pPr>
              <w:jc w:val="left"/>
            </w:pPr>
            <w:r>
              <w:rPr>
                <w:rFonts w:ascii="Calibri" w:hAnsi="Calibri"/>
                <w:sz w:val="18"/>
              </w:rPr>
              <w:t>Access &gt;60 min</w:t>
            </w:r>
          </w:p>
        </w:tc>
        <w:tc>
          <w:tcPr>
            <w:tcW w:type="dxa" w:w="1417"/>
            <w:shd w:val="clear" w:color="auto" w:fill="FFFFFF"/>
            <w:vAlign w:val="center"/>
          </w:tcPr>
          <w:p>
            <w:pPr>
              <w:jc w:val="left"/>
            </w:pPr>
            <w:r>
              <w:rPr>
                <w:rFonts w:ascii="Calibri" w:hAnsi="Calibri"/>
                <w:sz w:val="18"/>
              </w:rPr>
              <w:t>27.3%</w:t>
            </w:r>
          </w:p>
        </w:tc>
        <w:tc>
          <w:tcPr>
            <w:tcW w:type="dxa" w:w="1701"/>
            <w:shd w:val="clear" w:color="auto" w:fill="FFFFFF"/>
            <w:vAlign w:val="center"/>
          </w:tcPr>
          <w:p>
            <w:pPr>
              <w:jc w:val="left"/>
            </w:pPr>
            <w:r>
              <w:rPr>
                <w:rFonts w:ascii="Calibri" w:hAnsi="Calibri"/>
                <w:sz w:val="18"/>
              </w:rPr>
              <w:t>28.1%</w:t>
            </w:r>
          </w:p>
        </w:tc>
        <w:tc>
          <w:tcPr>
            <w:tcW w:type="dxa" w:w="1984"/>
            <w:shd w:val="clear" w:color="auto" w:fill="FFFFFF"/>
            <w:vAlign w:val="center"/>
          </w:tcPr>
          <w:p>
            <w:pPr>
              <w:jc w:val="left"/>
            </w:pPr>
            <w:r>
              <w:rPr>
                <w:rFonts w:ascii="Calibri" w:hAnsi="Calibri"/>
                <w:sz w:val="18"/>
              </w:rPr>
              <w:t>26.3%</w:t>
            </w:r>
          </w:p>
        </w:tc>
        <w:tc>
          <w:tcPr>
            <w:tcW w:type="dxa" w:w="1701"/>
            <w:shd w:val="clear" w:color="auto" w:fill="FFFFFF"/>
            <w:vAlign w:val="center"/>
          </w:tcPr>
          <w:p>
            <w:pPr>
              <w:jc w:val="left"/>
            </w:pPr>
            <w:r>
              <w:rPr>
                <w:rFonts w:ascii="Calibri" w:hAnsi="Calibri"/>
                <w:sz w:val="18"/>
              </w:rPr>
              <w:t>-1.8 pts</w:t>
            </w:r>
          </w:p>
        </w:tc>
      </w:tr>
      <w:tr>
        <w:tc>
          <w:tcPr>
            <w:tcW w:type="dxa" w:w="2268"/>
            <w:shd w:val="clear" w:color="auto" w:fill="F2F7FF"/>
            <w:vAlign w:val="center"/>
          </w:tcPr>
          <w:p>
            <w:pPr>
              <w:jc w:val="left"/>
            </w:pPr>
            <w:r>
              <w:rPr>
                <w:rFonts w:ascii="Calibri" w:hAnsi="Calibri"/>
                <w:sz w:val="18"/>
              </w:rPr>
              <w:t>Treated water</w:t>
            </w:r>
          </w:p>
        </w:tc>
        <w:tc>
          <w:tcPr>
            <w:tcW w:type="dxa" w:w="1417"/>
            <w:shd w:val="clear" w:color="auto" w:fill="F2F7FF"/>
            <w:vAlign w:val="center"/>
          </w:tcPr>
          <w:p>
            <w:pPr>
              <w:jc w:val="left"/>
            </w:pPr>
            <w:r>
              <w:rPr>
                <w:rFonts w:ascii="Calibri" w:hAnsi="Calibri"/>
                <w:sz w:val="18"/>
              </w:rPr>
              <w:t>29.1%</w:t>
            </w:r>
          </w:p>
        </w:tc>
        <w:tc>
          <w:tcPr>
            <w:tcW w:type="dxa" w:w="1701"/>
            <w:shd w:val="clear" w:color="auto" w:fill="F2F7FF"/>
            <w:vAlign w:val="center"/>
          </w:tcPr>
          <w:p>
            <w:pPr>
              <w:jc w:val="left"/>
            </w:pPr>
            <w:r>
              <w:rPr>
                <w:rFonts w:ascii="Calibri" w:hAnsi="Calibri"/>
                <w:sz w:val="18"/>
              </w:rPr>
              <w:t>30.0%</w:t>
            </w:r>
          </w:p>
        </w:tc>
        <w:tc>
          <w:tcPr>
            <w:tcW w:type="dxa" w:w="1984"/>
            <w:shd w:val="clear" w:color="auto" w:fill="F2F7FF"/>
            <w:vAlign w:val="center"/>
          </w:tcPr>
          <w:p>
            <w:pPr>
              <w:jc w:val="left"/>
            </w:pPr>
            <w:r>
              <w:rPr>
                <w:rFonts w:ascii="Calibri" w:hAnsi="Calibri"/>
                <w:sz w:val="18"/>
              </w:rPr>
              <w:t>28.1%</w:t>
            </w:r>
          </w:p>
        </w:tc>
        <w:tc>
          <w:tcPr>
            <w:tcW w:type="dxa" w:w="1701"/>
            <w:shd w:val="clear" w:color="auto" w:fill="F2F7FF"/>
            <w:vAlign w:val="center"/>
          </w:tcPr>
          <w:p>
            <w:pPr>
              <w:jc w:val="left"/>
            </w:pPr>
            <w:r>
              <w:rPr>
                <w:rFonts w:ascii="Calibri" w:hAnsi="Calibri"/>
                <w:sz w:val="18"/>
              </w:rPr>
              <w:t>-1.9 pts</w:t>
            </w:r>
          </w:p>
        </w:tc>
      </w:tr>
      <w:tr>
        <w:tc>
          <w:tcPr>
            <w:tcW w:type="dxa" w:w="2268"/>
            <w:shd w:val="clear" w:color="auto" w:fill="FFFFFF"/>
            <w:vAlign w:val="center"/>
          </w:tcPr>
          <w:p>
            <w:pPr>
              <w:jc w:val="left"/>
            </w:pPr>
            <w:r>
              <w:rPr>
                <w:rFonts w:ascii="Calibri" w:hAnsi="Calibri"/>
                <w:sz w:val="18"/>
              </w:rPr>
              <w:t>Waterborne diseases</w:t>
            </w:r>
          </w:p>
        </w:tc>
        <w:tc>
          <w:tcPr>
            <w:tcW w:type="dxa" w:w="1417"/>
            <w:shd w:val="clear" w:color="auto" w:fill="FFFFFF"/>
            <w:vAlign w:val="center"/>
          </w:tcPr>
          <w:p>
            <w:pPr>
              <w:jc w:val="left"/>
            </w:pPr>
            <w:r>
              <w:rPr>
                <w:rFonts w:ascii="Calibri" w:hAnsi="Calibri"/>
                <w:sz w:val="18"/>
              </w:rPr>
              <w:t>27.1%</w:t>
            </w:r>
          </w:p>
        </w:tc>
        <w:tc>
          <w:tcPr>
            <w:tcW w:type="dxa" w:w="1701"/>
            <w:shd w:val="clear" w:color="auto" w:fill="FFFFFF"/>
            <w:vAlign w:val="center"/>
          </w:tcPr>
          <w:p>
            <w:pPr>
              <w:jc w:val="left"/>
            </w:pPr>
            <w:r>
              <w:rPr>
                <w:rFonts w:ascii="Calibri" w:hAnsi="Calibri"/>
                <w:sz w:val="18"/>
              </w:rPr>
              <w:t>26.7%</w:t>
            </w:r>
          </w:p>
        </w:tc>
        <w:tc>
          <w:tcPr>
            <w:tcW w:type="dxa" w:w="1984"/>
            <w:shd w:val="clear" w:color="auto" w:fill="FFFFFF"/>
            <w:vAlign w:val="center"/>
          </w:tcPr>
          <w:p>
            <w:pPr>
              <w:jc w:val="left"/>
            </w:pPr>
            <w:r>
              <w:rPr>
                <w:rFonts w:ascii="Calibri" w:hAnsi="Calibri"/>
                <w:sz w:val="18"/>
              </w:rPr>
              <w:t>27.7%</w:t>
            </w:r>
          </w:p>
        </w:tc>
        <w:tc>
          <w:tcPr>
            <w:tcW w:type="dxa" w:w="1701"/>
            <w:shd w:val="clear" w:color="auto" w:fill="FFFFFF"/>
            <w:vAlign w:val="center"/>
          </w:tcPr>
          <w:p>
            <w:pPr>
              <w:jc w:val="left"/>
            </w:pPr>
            <w:r>
              <w:rPr>
                <w:rFonts w:ascii="Calibri" w:hAnsi="Calibri"/>
                <w:sz w:val="18"/>
              </w:rPr>
              <w:t>+1.0 pts</w:t>
            </w:r>
          </w:p>
        </w:tc>
      </w:tr>
      <w:tr>
        <w:tc>
          <w:tcPr>
            <w:tcW w:type="dxa" w:w="2268"/>
            <w:shd w:val="clear" w:color="auto" w:fill="F2F7FF"/>
            <w:vAlign w:val="center"/>
          </w:tcPr>
          <w:p>
            <w:pPr>
              <w:jc w:val="left"/>
            </w:pPr>
            <w:r>
              <w:rPr>
                <w:rFonts w:ascii="Calibri" w:hAnsi="Calibri"/>
                <w:sz w:val="18"/>
              </w:rPr>
              <w:t>No latrine (OD)</w:t>
            </w:r>
          </w:p>
        </w:tc>
        <w:tc>
          <w:tcPr>
            <w:tcW w:type="dxa" w:w="1417"/>
            <w:shd w:val="clear" w:color="auto" w:fill="F2F7FF"/>
            <w:vAlign w:val="center"/>
          </w:tcPr>
          <w:p>
            <w:pPr>
              <w:jc w:val="left"/>
            </w:pPr>
            <w:r>
              <w:rPr>
                <w:rFonts w:ascii="Calibri" w:hAnsi="Calibri"/>
                <w:sz w:val="18"/>
              </w:rPr>
              <w:t>33.6%</w:t>
            </w:r>
          </w:p>
        </w:tc>
        <w:tc>
          <w:tcPr>
            <w:tcW w:type="dxa" w:w="1701"/>
            <w:shd w:val="clear" w:color="auto" w:fill="F2F7FF"/>
            <w:vAlign w:val="center"/>
          </w:tcPr>
          <w:p>
            <w:pPr>
              <w:jc w:val="left"/>
            </w:pPr>
            <w:r>
              <w:rPr>
                <w:rFonts w:ascii="Calibri" w:hAnsi="Calibri"/>
                <w:sz w:val="18"/>
              </w:rPr>
              <w:t>33.3%</w:t>
            </w:r>
          </w:p>
        </w:tc>
        <w:tc>
          <w:tcPr>
            <w:tcW w:type="dxa" w:w="1984"/>
            <w:shd w:val="clear" w:color="auto" w:fill="F2F7FF"/>
            <w:vAlign w:val="center"/>
          </w:tcPr>
          <w:p>
            <w:pPr>
              <w:jc w:val="left"/>
            </w:pPr>
            <w:r>
              <w:rPr>
                <w:rFonts w:ascii="Calibri" w:hAnsi="Calibri"/>
                <w:sz w:val="18"/>
              </w:rPr>
              <w:t>33.3%</w:t>
            </w:r>
          </w:p>
        </w:tc>
        <w:tc>
          <w:tcPr>
            <w:tcW w:type="dxa" w:w="1701"/>
            <w:shd w:val="clear" w:color="auto" w:fill="F2F7FF"/>
            <w:vAlign w:val="center"/>
          </w:tcPr>
          <w:p>
            <w:pPr>
              <w:jc w:val="left"/>
            </w:pPr>
            <w:r>
              <w:rPr>
                <w:rFonts w:ascii="Calibri" w:hAnsi="Calibri"/>
                <w:sz w:val="18"/>
              </w:rPr>
              <w:t>0.0 pts</w:t>
            </w:r>
          </w:p>
        </w:tc>
      </w:tr>
      <w:tr>
        <w:tc>
          <w:tcPr>
            <w:tcW w:type="dxa" w:w="2268"/>
            <w:shd w:val="clear" w:color="auto" w:fill="FFFFFF"/>
            <w:vAlign w:val="center"/>
          </w:tcPr>
          <w:p>
            <w:pPr>
              <w:jc w:val="left"/>
            </w:pPr>
            <w:r>
              <w:rPr>
                <w:rFonts w:ascii="Calibri" w:hAnsi="Calibri"/>
                <w:sz w:val="18"/>
              </w:rPr>
              <w:t>Atmospheric pollution</w:t>
            </w:r>
          </w:p>
        </w:tc>
        <w:tc>
          <w:tcPr>
            <w:tcW w:type="dxa" w:w="1417"/>
            <w:shd w:val="clear" w:color="auto" w:fill="FFFFFF"/>
            <w:vAlign w:val="center"/>
          </w:tcPr>
          <w:p>
            <w:pPr>
              <w:jc w:val="left"/>
            </w:pPr>
            <w:r>
              <w:rPr>
                <w:rFonts w:ascii="Calibri" w:hAnsi="Calibri"/>
                <w:sz w:val="18"/>
              </w:rPr>
              <w:t>49.4%</w:t>
            </w:r>
          </w:p>
        </w:tc>
        <w:tc>
          <w:tcPr>
            <w:tcW w:type="dxa" w:w="1701"/>
            <w:shd w:val="clear" w:color="auto" w:fill="FFFFFF"/>
            <w:vAlign w:val="center"/>
          </w:tcPr>
          <w:p>
            <w:pPr>
              <w:jc w:val="left"/>
            </w:pPr>
            <w:r>
              <w:rPr>
                <w:rFonts w:ascii="Calibri" w:hAnsi="Calibri"/>
                <w:sz w:val="18"/>
              </w:rPr>
              <w:t>50.0%</w:t>
            </w:r>
          </w:p>
        </w:tc>
        <w:tc>
          <w:tcPr>
            <w:tcW w:type="dxa" w:w="1984"/>
            <w:shd w:val="clear" w:color="auto" w:fill="FFFFFF"/>
            <w:vAlign w:val="center"/>
          </w:tcPr>
          <w:p>
            <w:pPr>
              <w:jc w:val="left"/>
            </w:pPr>
            <w:r>
              <w:rPr>
                <w:rFonts w:ascii="Calibri" w:hAnsi="Calibri"/>
                <w:sz w:val="18"/>
              </w:rPr>
              <w:t>48.6%</w:t>
            </w:r>
          </w:p>
        </w:tc>
        <w:tc>
          <w:tcPr>
            <w:tcW w:type="dxa" w:w="1701"/>
            <w:shd w:val="clear" w:color="auto" w:fill="FFFFFF"/>
            <w:vAlign w:val="center"/>
          </w:tcPr>
          <w:p>
            <w:pPr>
              <w:jc w:val="left"/>
            </w:pPr>
            <w:r>
              <w:rPr>
                <w:rFonts w:ascii="Calibri" w:hAnsi="Calibri"/>
                <w:sz w:val="18"/>
              </w:rPr>
              <w:t>-1.4 pts</w:t>
            </w:r>
          </w:p>
        </w:tc>
      </w:tr>
      <w:tr>
        <w:tc>
          <w:tcPr>
            <w:tcW w:type="dxa" w:w="2268"/>
            <w:shd w:val="clear" w:color="auto" w:fill="F2F7FF"/>
            <w:vAlign w:val="center"/>
          </w:tcPr>
          <w:p>
            <w:pPr>
              <w:jc w:val="left"/>
            </w:pPr>
            <w:r>
              <w:rPr>
                <w:rFonts w:ascii="Calibri" w:hAnsi="Calibri"/>
                <w:sz w:val="18"/>
              </w:rPr>
              <w:t>Scarce resources</w:t>
            </w:r>
          </w:p>
        </w:tc>
        <w:tc>
          <w:tcPr>
            <w:tcW w:type="dxa" w:w="1417"/>
            <w:shd w:val="clear" w:color="auto" w:fill="F2F7FF"/>
            <w:vAlign w:val="center"/>
          </w:tcPr>
          <w:p>
            <w:pPr>
              <w:jc w:val="left"/>
            </w:pPr>
            <w:r>
              <w:rPr>
                <w:rFonts w:ascii="Calibri" w:hAnsi="Calibri"/>
                <w:sz w:val="18"/>
              </w:rPr>
              <w:t>38.4%</w:t>
            </w:r>
          </w:p>
        </w:tc>
        <w:tc>
          <w:tcPr>
            <w:tcW w:type="dxa" w:w="1701"/>
            <w:shd w:val="clear" w:color="auto" w:fill="F2F7FF"/>
            <w:vAlign w:val="center"/>
          </w:tcPr>
          <w:p>
            <w:pPr>
              <w:jc w:val="left"/>
            </w:pPr>
            <w:r>
              <w:rPr>
                <w:rFonts w:ascii="Calibri" w:hAnsi="Calibri"/>
                <w:sz w:val="18"/>
              </w:rPr>
              <w:t>~39.0%</w:t>
            </w:r>
          </w:p>
        </w:tc>
        <w:tc>
          <w:tcPr>
            <w:tcW w:type="dxa" w:w="1984"/>
            <w:shd w:val="clear" w:color="auto" w:fill="F2F7FF"/>
            <w:vAlign w:val="center"/>
          </w:tcPr>
          <w:p>
            <w:pPr>
              <w:jc w:val="left"/>
            </w:pPr>
            <w:r>
              <w:rPr>
                <w:rFonts w:ascii="Calibri" w:hAnsi="Calibri"/>
                <w:sz w:val="18"/>
              </w:rPr>
              <w:t>~37.5%</w:t>
            </w:r>
          </w:p>
        </w:tc>
        <w:tc>
          <w:tcPr>
            <w:tcW w:type="dxa" w:w="1701"/>
            <w:shd w:val="clear" w:color="auto" w:fill="F2F7FF"/>
            <w:vAlign w:val="center"/>
          </w:tcPr>
          <w:p>
            <w:pPr>
              <w:jc w:val="left"/>
            </w:pPr>
            <w:r>
              <w:rPr>
                <w:rFonts w:ascii="Calibri" w:hAnsi="Calibri"/>
                <w:sz w:val="18"/>
              </w:rPr>
              <w:t>-1.5 pts</w:t>
            </w:r>
          </w:p>
        </w:tc>
      </w:tr>
      <w:tr>
        <w:tc>
          <w:tcPr>
            <w:tcW w:type="dxa" w:w="2268"/>
            <w:shd w:val="clear" w:color="auto" w:fill="FFFFFF"/>
            <w:vAlign w:val="center"/>
          </w:tcPr>
          <w:p>
            <w:pPr>
              <w:jc w:val="left"/>
            </w:pPr>
            <w:r>
              <w:rPr>
                <w:rFonts w:ascii="Calibri" w:hAnsi="Calibri"/>
                <w:sz w:val="18"/>
              </w:rPr>
              <w:t>Resource degradation</w:t>
            </w:r>
          </w:p>
        </w:tc>
        <w:tc>
          <w:tcPr>
            <w:tcW w:type="dxa" w:w="1417"/>
            <w:shd w:val="clear" w:color="auto" w:fill="FFFFFF"/>
            <w:vAlign w:val="center"/>
          </w:tcPr>
          <w:p>
            <w:pPr>
              <w:jc w:val="left"/>
            </w:pPr>
            <w:r>
              <w:rPr>
                <w:rFonts w:ascii="Calibri" w:hAnsi="Calibri"/>
                <w:sz w:val="18"/>
              </w:rPr>
              <w:t>57.7%</w:t>
            </w:r>
          </w:p>
        </w:tc>
        <w:tc>
          <w:tcPr>
            <w:tcW w:type="dxa" w:w="1701"/>
            <w:shd w:val="clear" w:color="auto" w:fill="FFFFFF"/>
            <w:vAlign w:val="center"/>
          </w:tcPr>
          <w:p>
            <w:pPr>
              <w:jc w:val="left"/>
            </w:pPr>
            <w:r>
              <w:rPr>
                <w:rFonts w:ascii="Calibri" w:hAnsi="Calibri"/>
                <w:sz w:val="18"/>
              </w:rPr>
              <w:t>~58.0%</w:t>
            </w:r>
          </w:p>
        </w:tc>
        <w:tc>
          <w:tcPr>
            <w:tcW w:type="dxa" w:w="1984"/>
            <w:shd w:val="clear" w:color="auto" w:fill="FFFFFF"/>
            <w:vAlign w:val="center"/>
          </w:tcPr>
          <w:p>
            <w:pPr>
              <w:jc w:val="left"/>
            </w:pPr>
            <w:r>
              <w:rPr>
                <w:rFonts w:ascii="Calibri" w:hAnsi="Calibri"/>
                <w:sz w:val="18"/>
              </w:rPr>
              <w:t>~57.2%</w:t>
            </w:r>
          </w:p>
        </w:tc>
        <w:tc>
          <w:tcPr>
            <w:tcW w:type="dxa" w:w="1701"/>
            <w:shd w:val="clear" w:color="auto" w:fill="FFFFFF"/>
            <w:vAlign w:val="center"/>
          </w:tcPr>
          <w:p>
            <w:pPr>
              <w:jc w:val="left"/>
            </w:pPr>
            <w:r>
              <w:rPr>
                <w:rFonts w:ascii="Calibri" w:hAnsi="Calibri"/>
                <w:sz w:val="18"/>
              </w:rPr>
              <w:t>-0.8 pts</w:t>
            </w:r>
          </w:p>
        </w:tc>
      </w:tr>
      <w:tr>
        <w:tc>
          <w:tcPr>
            <w:tcW w:type="dxa" w:w="2268"/>
            <w:shd w:val="clear" w:color="auto" w:fill="F2F7FF"/>
            <w:vAlign w:val="center"/>
          </w:tcPr>
          <w:p>
            <w:pPr>
              <w:jc w:val="left"/>
            </w:pPr>
            <w:r>
              <w:rPr>
                <w:rFonts w:ascii="Calibri" w:hAnsi="Calibri"/>
                <w:sz w:val="18"/>
              </w:rPr>
              <w:t>Sufficient water</w:t>
            </w:r>
          </w:p>
        </w:tc>
        <w:tc>
          <w:tcPr>
            <w:tcW w:type="dxa" w:w="1417"/>
            <w:shd w:val="clear" w:color="auto" w:fill="F2F7FF"/>
            <w:vAlign w:val="center"/>
          </w:tcPr>
          <w:p>
            <w:pPr>
              <w:jc w:val="left"/>
            </w:pPr>
            <w:r>
              <w:rPr>
                <w:rFonts w:ascii="Calibri" w:hAnsi="Calibri"/>
                <w:sz w:val="18"/>
              </w:rPr>
              <w:t>58.0%</w:t>
            </w:r>
          </w:p>
        </w:tc>
        <w:tc>
          <w:tcPr>
            <w:tcW w:type="dxa" w:w="1701"/>
            <w:shd w:val="clear" w:color="auto" w:fill="F2F7FF"/>
            <w:vAlign w:val="center"/>
          </w:tcPr>
          <w:p>
            <w:pPr>
              <w:jc w:val="left"/>
            </w:pPr>
            <w:r>
              <w:rPr>
                <w:rFonts w:ascii="Calibri" w:hAnsi="Calibri"/>
                <w:sz w:val="18"/>
              </w:rPr>
              <w:t>~58.5%</w:t>
            </w:r>
          </w:p>
        </w:tc>
        <w:tc>
          <w:tcPr>
            <w:tcW w:type="dxa" w:w="1984"/>
            <w:shd w:val="clear" w:color="auto" w:fill="F2F7FF"/>
            <w:vAlign w:val="center"/>
          </w:tcPr>
          <w:p>
            <w:pPr>
              <w:jc w:val="left"/>
            </w:pPr>
            <w:r>
              <w:rPr>
                <w:rFonts w:ascii="Calibri" w:hAnsi="Calibri"/>
                <w:sz w:val="18"/>
              </w:rPr>
              <w:t>~57.2%</w:t>
            </w:r>
          </w:p>
        </w:tc>
        <w:tc>
          <w:tcPr>
            <w:tcW w:type="dxa" w:w="1701"/>
            <w:shd w:val="clear" w:color="auto" w:fill="F2F7FF"/>
            <w:vAlign w:val="center"/>
          </w:tcPr>
          <w:p>
            <w:pPr>
              <w:jc w:val="left"/>
            </w:pPr>
            <w:r>
              <w:rPr>
                <w:rFonts w:ascii="Calibri" w:hAnsi="Calibri"/>
                <w:sz w:val="18"/>
              </w:rPr>
              <w:t>-1.3 pts</w:t>
            </w:r>
          </w:p>
        </w:tc>
      </w:tr>
      <w:tr>
        <w:tc>
          <w:tcPr>
            <w:tcW w:type="dxa" w:w="2268"/>
            <w:shd w:val="clear" w:color="auto" w:fill="FFFFFF"/>
            <w:vAlign w:val="center"/>
          </w:tcPr>
          <w:p>
            <w:pPr>
              <w:jc w:val="left"/>
            </w:pPr>
            <w:r>
              <w:rPr>
                <w:rFonts w:ascii="Calibri" w:hAnsi="Calibri"/>
                <w:sz w:val="18"/>
              </w:rPr>
              <w:t>Exposed to waste</w:t>
            </w:r>
          </w:p>
        </w:tc>
        <w:tc>
          <w:tcPr>
            <w:tcW w:type="dxa" w:w="1417"/>
            <w:shd w:val="clear" w:color="auto" w:fill="FFFFFF"/>
            <w:vAlign w:val="center"/>
          </w:tcPr>
          <w:p>
            <w:pPr>
              <w:jc w:val="left"/>
            </w:pPr>
            <w:r>
              <w:rPr>
                <w:rFonts w:ascii="Calibri" w:hAnsi="Calibri"/>
                <w:sz w:val="18"/>
              </w:rPr>
              <w:t>52.3%</w:t>
            </w:r>
          </w:p>
        </w:tc>
        <w:tc>
          <w:tcPr>
            <w:tcW w:type="dxa" w:w="1701"/>
            <w:shd w:val="clear" w:color="auto" w:fill="FFFFFF"/>
            <w:vAlign w:val="center"/>
          </w:tcPr>
          <w:p>
            <w:pPr>
              <w:jc w:val="left"/>
            </w:pPr>
            <w:r>
              <w:rPr>
                <w:rFonts w:ascii="Calibri" w:hAnsi="Calibri"/>
                <w:sz w:val="18"/>
              </w:rPr>
              <w:t>~53.0%</w:t>
            </w:r>
          </w:p>
        </w:tc>
        <w:tc>
          <w:tcPr>
            <w:tcW w:type="dxa" w:w="1984"/>
            <w:shd w:val="clear" w:color="auto" w:fill="FFFFFF"/>
            <w:vAlign w:val="center"/>
          </w:tcPr>
          <w:p>
            <w:pPr>
              <w:jc w:val="left"/>
            </w:pPr>
            <w:r>
              <w:rPr>
                <w:rFonts w:ascii="Calibri" w:hAnsi="Calibri"/>
                <w:sz w:val="18"/>
              </w:rPr>
              <w:t>~51.4%</w:t>
            </w:r>
          </w:p>
        </w:tc>
        <w:tc>
          <w:tcPr>
            <w:tcW w:type="dxa" w:w="1701"/>
            <w:shd w:val="clear" w:color="auto" w:fill="FFFFFF"/>
            <w:vAlign w:val="center"/>
          </w:tcPr>
          <w:p>
            <w:pPr>
              <w:jc w:val="left"/>
            </w:pPr>
            <w:r>
              <w:rPr>
                <w:rFonts w:ascii="Calibri" w:hAnsi="Calibri"/>
                <w:sz w:val="18"/>
              </w:rPr>
              <w:t>-1.6 pts</w:t>
            </w:r>
          </w:p>
        </w:tc>
      </w:tr>
    </w:tbl>
    <w:p/>
    <w:p>
      <w:r>
        <w:br w:type="page"/>
      </w:r>
    </w:p>
    <w:p>
      <w:pPr>
        <w:pStyle w:val="WASH_H1"/>
      </w:pPr>
      <w:r>
        <w:t>Section 9 - Priority Recommendations</w:t>
      </w:r>
    </w:p>
    <w:p>
      <w:pPr>
        <w:pStyle w:val="WASH_Body"/>
      </w:pPr>
      <w:r>
        <w:rPr>
          <w:b w:val="0"/>
          <w:i w:val="0"/>
        </w:rPr>
        <w:t>Based on the findings of this survey, the following recommendations are formulated, ranked in order of priority according to urgency and potential impact on public health and the environment.</w:t>
      </w:r>
    </w:p>
    <w:p>
      <w:pPr>
        <w:pStyle w:val="WASH_H2"/>
      </w:pPr>
      <w:r>
        <w:t>Priority 1 - Water quality and treatment</w:t>
      </w:r>
    </w:p>
    <w:p>
      <w:pPr>
        <w:pStyle w:val="WASH_Bullet"/>
      </w:pPr>
      <w:r>
        <w:rPr>
          <w:rFonts w:ascii="Calibri" w:hAnsi="Calibri"/>
          <w:sz w:val="20"/>
        </w:rPr>
        <w:t xml:space="preserve">   &gt;&gt; Mass campaigns on household water treatment (chlorination, filtration, boiling)</w:t>
      </w:r>
    </w:p>
    <w:p>
      <w:pPr>
        <w:pStyle w:val="WASH_Bullet"/>
      </w:pPr>
      <w:r>
        <w:rPr>
          <w:rFonts w:ascii="Calibri" w:hAnsi="Calibri"/>
          <w:sz w:val="20"/>
        </w:rPr>
        <w:t xml:space="preserve">   &gt;&gt; Construction of additional boreholes in high-risk areas</w:t>
      </w:r>
    </w:p>
    <w:p>
      <w:pPr>
        <w:pStyle w:val="WASH_Bullet"/>
      </w:pPr>
      <w:r>
        <w:rPr>
          <w:rFonts w:ascii="Calibri" w:hAnsi="Calibri"/>
          <w:sz w:val="20"/>
        </w:rPr>
        <w:t xml:space="preserve">   &gt;&gt; Regular testing of water source quality</w:t>
      </w:r>
    </w:p>
    <w:p>
      <w:pPr>
        <w:pStyle w:val="WASH_Bullet"/>
      </w:pPr>
      <w:r>
        <w:rPr>
          <w:rFonts w:ascii="Calibri" w:hAnsi="Calibri"/>
          <w:sz w:val="20"/>
        </w:rPr>
        <w:t xml:space="preserve">   &gt;&gt; Rehabilitation of existing traditional wells</w:t>
      </w:r>
    </w:p>
    <w:p/>
    <w:p>
      <w:pPr>
        <w:pStyle w:val="WASH_H2"/>
      </w:pPr>
      <w:r>
        <w:t>Priority 2 - Sanitation &amp; Latrines</w:t>
      </w:r>
    </w:p>
    <w:p>
      <w:pPr>
        <w:pStyle w:val="WASH_Bullet"/>
      </w:pPr>
      <w:r>
        <w:rPr>
          <w:rFonts w:ascii="Calibri" w:hAnsi="Calibri"/>
          <w:sz w:val="20"/>
        </w:rPr>
        <w:t xml:space="preserve">   &gt;&gt; Open defecation free (ODF) elimination programme</w:t>
      </w:r>
    </w:p>
    <w:p>
      <w:pPr>
        <w:pStyle w:val="WASH_Bullet"/>
      </w:pPr>
      <w:r>
        <w:rPr>
          <w:rFonts w:ascii="Calibri" w:hAnsi="Calibri"/>
          <w:sz w:val="20"/>
        </w:rPr>
        <w:t xml:space="preserve">   &gt;&gt; Subsidies for construction of improved latrines</w:t>
      </w:r>
    </w:p>
    <w:p>
      <w:pPr>
        <w:pStyle w:val="WASH_Bullet"/>
      </w:pPr>
      <w:r>
        <w:rPr>
          <w:rFonts w:ascii="Calibri" w:hAnsi="Calibri"/>
          <w:sz w:val="20"/>
        </w:rPr>
        <w:t xml:space="preserve">   &gt;&gt; Awareness of waterborne diseases linked to lack of sanitation</w:t>
      </w:r>
    </w:p>
    <w:p>
      <w:pPr>
        <w:pStyle w:val="WASH_Bullet"/>
      </w:pPr>
      <w:r>
        <w:rPr>
          <w:rFonts w:ascii="Calibri" w:hAnsi="Calibri"/>
          <w:sz w:val="20"/>
        </w:rPr>
        <w:t xml:space="preserve">   &gt;&gt; Training local masons in latrine construction</w:t>
      </w:r>
    </w:p>
    <w:p/>
    <w:p>
      <w:pPr>
        <w:pStyle w:val="WASH_H2"/>
      </w:pPr>
      <w:r>
        <w:t>Priority 3 - Waste management</w:t>
      </w:r>
    </w:p>
    <w:p>
      <w:pPr>
        <w:pStyle w:val="WASH_Bullet"/>
      </w:pPr>
      <w:r>
        <w:rPr>
          <w:rFonts w:ascii="Calibri" w:hAnsi="Calibri"/>
          <w:sz w:val="20"/>
        </w:rPr>
        <w:t xml:space="preserve">   &gt;&gt; Establish structured collection systems in underserved areas</w:t>
      </w:r>
    </w:p>
    <w:p>
      <w:pPr>
        <w:pStyle w:val="WASH_Bullet"/>
      </w:pPr>
      <w:r>
        <w:rPr>
          <w:rFonts w:ascii="Calibri" w:hAnsi="Calibri"/>
          <w:sz w:val="20"/>
        </w:rPr>
        <w:t xml:space="preserve">   &gt;&gt; Promote composting and organic waste recycling</w:t>
      </w:r>
    </w:p>
    <w:p>
      <w:pPr>
        <w:pStyle w:val="WASH_Bullet"/>
      </w:pPr>
      <w:r>
        <w:rPr>
          <w:rFonts w:ascii="Calibri" w:hAnsi="Calibri"/>
          <w:sz w:val="20"/>
        </w:rPr>
        <w:t xml:space="preserve">   &gt;&gt; Ban and penalise open-air burning</w:t>
      </w:r>
    </w:p>
    <w:p>
      <w:pPr>
        <w:pStyle w:val="WASH_Bullet"/>
      </w:pPr>
      <w:r>
        <w:rPr>
          <w:rFonts w:ascii="Calibri" w:hAnsi="Calibri"/>
          <w:sz w:val="20"/>
        </w:rPr>
        <w:t xml:space="preserve">   &gt;&gt; Regulated and secured transit depots</w:t>
      </w:r>
    </w:p>
    <w:p/>
    <w:p>
      <w:pPr>
        <w:pStyle w:val="WASH_H2"/>
      </w:pPr>
      <w:r>
        <w:t>Priority 4 - Atmospheric pollution</w:t>
      </w:r>
    </w:p>
    <w:p>
      <w:pPr>
        <w:pStyle w:val="WASH_Bullet"/>
      </w:pPr>
      <w:r>
        <w:rPr>
          <w:rFonts w:ascii="Calibri" w:hAnsi="Calibri"/>
          <w:sz w:val="20"/>
        </w:rPr>
        <w:t xml:space="preserve">   &gt;&gt; Mapping and monitoring of pollution sources</w:t>
      </w:r>
    </w:p>
    <w:p>
      <w:pPr>
        <w:pStyle w:val="WASH_Bullet"/>
      </w:pPr>
      <w:r>
        <w:rPr>
          <w:rFonts w:ascii="Calibri" w:hAnsi="Calibri"/>
          <w:sz w:val="20"/>
        </w:rPr>
        <w:t xml:space="preserve">   &gt;&gt; Regulation of industrial and artisanal emissions</w:t>
      </w:r>
    </w:p>
    <w:p>
      <w:pPr>
        <w:pStyle w:val="WASH_Bullet"/>
      </w:pPr>
      <w:r>
        <w:rPr>
          <w:rFonts w:ascii="Calibri" w:hAnsi="Calibri"/>
          <w:sz w:val="20"/>
        </w:rPr>
        <w:t xml:space="preserve">   &gt;&gt; Promote improved cookstoves to reduce domestic smoke</w:t>
      </w:r>
    </w:p>
    <w:p>
      <w:pPr>
        <w:pStyle w:val="WASH_Bullet"/>
      </w:pPr>
      <w:r>
        <w:rPr>
          <w:rFonts w:ascii="Calibri" w:hAnsi="Calibri"/>
          <w:sz w:val="20"/>
        </w:rPr>
        <w:t xml:space="preserve">   &gt;&gt; Buffer zones around urban agglomerations</w:t>
      </w:r>
    </w:p>
    <w:p/>
    <w:p>
      <w:pPr>
        <w:pStyle w:val="WASH_H2"/>
      </w:pPr>
      <w:r>
        <w:t>Priority 5 - Natural resources</w:t>
      </w:r>
    </w:p>
    <w:p>
      <w:pPr>
        <w:pStyle w:val="WASH_Bullet"/>
      </w:pPr>
      <w:r>
        <w:rPr>
          <w:rFonts w:ascii="Calibri" w:hAnsi="Calibri"/>
          <w:sz w:val="20"/>
        </w:rPr>
        <w:t xml:space="preserve">   &gt;&gt; Local sustainable natural resource management plans</w:t>
      </w:r>
    </w:p>
    <w:p>
      <w:pPr>
        <w:pStyle w:val="WASH_Bullet"/>
      </w:pPr>
      <w:r>
        <w:rPr>
          <w:rFonts w:ascii="Calibri" w:hAnsi="Calibri"/>
          <w:sz w:val="20"/>
        </w:rPr>
        <w:t xml:space="preserve">   &gt;&gt; Reforestation and degraded land restoration</w:t>
      </w:r>
    </w:p>
    <w:p>
      <w:pPr>
        <w:pStyle w:val="WASH_Bullet"/>
      </w:pPr>
      <w:r>
        <w:rPr>
          <w:rFonts w:ascii="Calibri" w:hAnsi="Calibri"/>
          <w:sz w:val="20"/>
        </w:rPr>
        <w:t xml:space="preserve">   &gt;&gt; Community awareness on environmental preservation</w:t>
      </w:r>
    </w:p>
    <w:p>
      <w:pPr>
        <w:pStyle w:val="WASH_Bullet"/>
      </w:pPr>
      <w:r>
        <w:rPr>
          <w:rFonts w:ascii="Calibri" w:hAnsi="Calibri"/>
          <w:sz w:val="20"/>
        </w:rPr>
        <w:t xml:space="preserve">   &gt;&gt; Participatory resource monitoring systems</w:t>
      </w:r>
    </w:p>
    <w:p/>
    <w:p>
      <w:pPr>
        <w:pStyle w:val="WASH_H2"/>
      </w:pPr>
      <w:r>
        <w:t>Priority 6 - Monitoring &amp; Governance</w:t>
      </w:r>
    </w:p>
    <w:p>
      <w:pPr>
        <w:pStyle w:val="WASH_Bullet"/>
      </w:pPr>
      <w:r>
        <w:rPr>
          <w:rFonts w:ascii="Calibri" w:hAnsi="Calibri"/>
          <w:sz w:val="20"/>
        </w:rPr>
        <w:t xml:space="preserve">   &gt;&gt; WASH indicator monitoring and evaluation systems</w:t>
      </w:r>
    </w:p>
    <w:p>
      <w:pPr>
        <w:pStyle w:val="WASH_Bullet"/>
      </w:pPr>
      <w:r>
        <w:rPr>
          <w:rFonts w:ascii="Calibri" w:hAnsi="Calibri"/>
          <w:sz w:val="20"/>
        </w:rPr>
        <w:t xml:space="preserve">   &gt;&gt; Capacity building for local authorities</w:t>
      </w:r>
    </w:p>
    <w:p>
      <w:pPr>
        <w:pStyle w:val="WASH_Bullet"/>
      </w:pPr>
      <w:r>
        <w:rPr>
          <w:rFonts w:ascii="Calibri" w:hAnsi="Calibri"/>
          <w:sz w:val="20"/>
        </w:rPr>
        <w:t xml:space="preserve">   &gt;&gt; Community involvement in infrastructure management</w:t>
      </w:r>
    </w:p>
    <w:p>
      <w:pPr>
        <w:pStyle w:val="WASH_Bullet"/>
      </w:pPr>
      <w:r>
        <w:rPr>
          <w:rFonts w:ascii="Calibri" w:hAnsi="Calibri"/>
          <w:sz w:val="20"/>
        </w:rPr>
        <w:t xml:space="preserve">   &gt;&gt; Repeat the survey every 2 years to measure progress</w:t>
      </w:r>
    </w:p>
    <w:p/>
    <w:p>
      <w:r>
        <w:br w:type="page"/>
      </w:r>
    </w:p>
    <w:p>
      <w:pPr>
        <w:pStyle w:val="WASH_H1"/>
      </w:pPr>
      <w:r>
        <w:t>Section 10 - Conclusion</w:t>
      </w:r>
    </w:p>
    <w:p>
      <w:pPr>
        <w:pStyle w:val="WASH_Body"/>
      </w:pPr>
      <w:r>
        <w:rPr>
          <w:b w:val="0"/>
          <w:i w:val="0"/>
        </w:rPr>
        <w:t>This WASH survey conducted among 1,000 households in the Goh and Loh Djiboua departments of Cote d'Ivoire highlights considerable challenges in drinking water, sanitation and environmental management.</w:t>
      </w:r>
    </w:p>
    <w:p>
      <w:pPr>
        <w:pStyle w:val="WASH_Body"/>
      </w:pPr>
      <w:r>
        <w:rPr>
          <w:b w:val="0"/>
          <w:i w:val="0"/>
        </w:rPr>
        <w:t>The most concerning findings relate to water quality (40% poor quality), the low rate of household treatment (29.1%), and the prevalence of open defecation (33.6%). These combined factors largely explain the 27.1% of households reporting water-related diseases.</w:t>
      </w:r>
    </w:p>
    <w:p>
      <w:pPr>
        <w:pStyle w:val="WASH_Body"/>
      </w:pPr>
      <w:r>
        <w:rPr>
          <w:b w:val="0"/>
          <w:i w:val="0"/>
        </w:rPr>
        <w:t>Relative to the Sustainable Development Goals (SDG 6) - ensuring access to safe water and sanitation for all - both departments remain far from targets. Targeted investments and behaviour change programmes are essential to reduce access inequalities and protect population health.</w:t>
      </w:r>
    </w:p>
    <w:p>
      <w:pPr>
        <w:pStyle w:val="WASH_Body"/>
      </w:pPr>
      <w:r>
        <w:rPr>
          <w:b w:val="0"/>
          <w:i w:val="0"/>
        </w:rPr>
        <w:t>As the profiles of the two departments are very similar, interventions can be planned in a coordinated manner, while accounting for the local specificities of each sub-prefecture. A repeat survey in two years will allow progress to be measured and intervention strategies to be adapted.</w:t>
      </w:r>
    </w:p>
    <w:p>
      <w:pPr>
        <w:pStyle w:val="WASH_H2"/>
      </w:pPr>
      <w:r>
        <w:t>Summary of key indicators</w:t>
      </w:r>
    </w:p>
    <w:p>
      <w:pPr>
        <w:pStyle w:val="WASH_Caption"/>
        <w:jc w:val="left"/>
      </w:pPr>
      <w:r>
        <w:rPr>
          <w:b/>
          <w:color w:val="1F3864"/>
        </w:rPr>
        <w:t>Table 16 - Summary of key indicators and priority levels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0054A6"/>
            <w:vAlign w:val="center"/>
          </w:tcPr>
          <w:p>
            <w:pPr>
              <w:jc w:val="center"/>
            </w:pPr>
            <w:r>
              <w:rPr>
                <w:rFonts w:ascii="Calibri" w:hAnsi="Calibri"/>
                <w:b/>
                <w:color w:val="FFFFFF"/>
                <w:sz w:val="18"/>
              </w:rPr>
              <w:t>Dimension</w:t>
            </w:r>
          </w:p>
        </w:tc>
        <w:tc>
          <w:tcPr>
            <w:tcW w:type="dxa" w:w="3118"/>
            <w:shd w:val="clear" w:color="auto" w:fill="0054A6"/>
            <w:vAlign w:val="center"/>
          </w:tcPr>
          <w:p>
            <w:pPr>
              <w:jc w:val="center"/>
            </w:pPr>
            <w:r>
              <w:rPr>
                <w:rFonts w:ascii="Calibri" w:hAnsi="Calibri"/>
                <w:b/>
                <w:color w:val="FFFFFF"/>
                <w:sz w:val="18"/>
              </w:rPr>
              <w:t>Main indicator</w:t>
            </w:r>
          </w:p>
        </w:tc>
        <w:tc>
          <w:tcPr>
            <w:tcW w:type="dxa" w:w="1701"/>
            <w:shd w:val="clear" w:color="auto" w:fill="0054A6"/>
            <w:vAlign w:val="center"/>
          </w:tcPr>
          <w:p>
            <w:pPr>
              <w:jc w:val="center"/>
            </w:pPr>
            <w:r>
              <w:rPr>
                <w:rFonts w:ascii="Calibri" w:hAnsi="Calibri"/>
                <w:b/>
                <w:color w:val="FFFFFF"/>
                <w:sz w:val="18"/>
              </w:rPr>
              <w:t>Value</w:t>
            </w:r>
          </w:p>
        </w:tc>
        <w:tc>
          <w:tcPr>
            <w:tcW w:type="dxa" w:w="1984"/>
            <w:shd w:val="clear" w:color="auto" w:fill="0054A6"/>
            <w:vAlign w:val="center"/>
          </w:tcPr>
          <w:p>
            <w:pPr>
              <w:jc w:val="center"/>
            </w:pPr>
            <w:r>
              <w:rPr>
                <w:rFonts w:ascii="Calibri" w:hAnsi="Calibri"/>
                <w:b/>
                <w:color w:val="FFFFFF"/>
                <w:sz w:val="18"/>
              </w:rPr>
              <w:t>Priority</w:t>
            </w:r>
          </w:p>
        </w:tc>
      </w:tr>
      <w:tr>
        <w:tc>
          <w:tcPr>
            <w:tcW w:type="dxa" w:w="2268"/>
            <w:shd w:val="clear" w:color="auto" w:fill="F2F7FF"/>
            <w:vAlign w:val="center"/>
          </w:tcPr>
          <w:p>
            <w:pPr>
              <w:jc w:val="left"/>
            </w:pPr>
            <w:r>
              <w:rPr>
                <w:rFonts w:ascii="Calibri" w:hAnsi="Calibri"/>
                <w:sz w:val="18"/>
              </w:rPr>
              <w:t>Water</w:t>
            </w:r>
          </w:p>
        </w:tc>
        <w:tc>
          <w:tcPr>
            <w:tcW w:type="dxa" w:w="3118"/>
            <w:shd w:val="clear" w:color="auto" w:fill="F2F7FF"/>
            <w:vAlign w:val="center"/>
          </w:tcPr>
          <w:p>
            <w:pPr>
              <w:jc w:val="left"/>
            </w:pPr>
            <w:r>
              <w:rPr>
                <w:rFonts w:ascii="Calibri" w:hAnsi="Calibri"/>
                <w:sz w:val="18"/>
              </w:rPr>
              <w:t>Poor quality</w:t>
            </w:r>
          </w:p>
        </w:tc>
        <w:tc>
          <w:tcPr>
            <w:tcW w:type="dxa" w:w="1701"/>
            <w:shd w:val="clear" w:color="auto" w:fill="F2F7FF"/>
            <w:vAlign w:val="center"/>
          </w:tcPr>
          <w:p>
            <w:pPr>
              <w:jc w:val="left"/>
            </w:pPr>
            <w:r>
              <w:rPr>
                <w:rFonts w:ascii="Calibri" w:hAnsi="Calibri"/>
                <w:sz w:val="18"/>
              </w:rPr>
              <w:t>40%</w:t>
            </w:r>
          </w:p>
        </w:tc>
        <w:tc>
          <w:tcPr>
            <w:tcW w:type="dxa" w:w="1984"/>
            <w:shd w:val="clear" w:color="auto" w:fill="F2F7FF"/>
            <w:vAlign w:val="center"/>
          </w:tcPr>
          <w:p>
            <w:pPr>
              <w:jc w:val="left"/>
            </w:pPr>
            <w:r>
              <w:rPr>
                <w:rFonts w:ascii="Calibri" w:hAnsi="Calibri"/>
                <w:sz w:val="18"/>
              </w:rPr>
              <w:t>Critical</w:t>
            </w:r>
          </w:p>
        </w:tc>
      </w:tr>
      <w:tr>
        <w:tc>
          <w:tcPr>
            <w:tcW w:type="dxa" w:w="2268"/>
            <w:shd w:val="clear" w:color="auto" w:fill="FFFFFF"/>
            <w:vAlign w:val="center"/>
          </w:tcPr>
          <w:p>
            <w:pPr>
              <w:jc w:val="left"/>
            </w:pPr>
            <w:r>
              <w:rPr>
                <w:rFonts w:ascii="Calibri" w:hAnsi="Calibri"/>
                <w:sz w:val="18"/>
              </w:rPr>
              <w:t>Water</w:t>
            </w:r>
          </w:p>
        </w:tc>
        <w:tc>
          <w:tcPr>
            <w:tcW w:type="dxa" w:w="3118"/>
            <w:shd w:val="clear" w:color="auto" w:fill="FFFFFF"/>
            <w:vAlign w:val="center"/>
          </w:tcPr>
          <w:p>
            <w:pPr>
              <w:jc w:val="left"/>
            </w:pPr>
            <w:r>
              <w:rPr>
                <w:rFonts w:ascii="Calibri" w:hAnsi="Calibri"/>
                <w:sz w:val="18"/>
              </w:rPr>
              <w:t>Untreated</w:t>
            </w:r>
          </w:p>
        </w:tc>
        <w:tc>
          <w:tcPr>
            <w:tcW w:type="dxa" w:w="1701"/>
            <w:shd w:val="clear" w:color="auto" w:fill="FFFFFF"/>
            <w:vAlign w:val="center"/>
          </w:tcPr>
          <w:p>
            <w:pPr>
              <w:jc w:val="left"/>
            </w:pPr>
            <w:r>
              <w:rPr>
                <w:rFonts w:ascii="Calibri" w:hAnsi="Calibri"/>
                <w:sz w:val="18"/>
              </w:rPr>
              <w:t>70.9%</w:t>
            </w:r>
          </w:p>
        </w:tc>
        <w:tc>
          <w:tcPr>
            <w:tcW w:type="dxa" w:w="1984"/>
            <w:shd w:val="clear" w:color="auto" w:fill="FFFFFF"/>
            <w:vAlign w:val="center"/>
          </w:tcPr>
          <w:p>
            <w:pPr>
              <w:jc w:val="left"/>
            </w:pPr>
            <w:r>
              <w:rPr>
                <w:rFonts w:ascii="Calibri" w:hAnsi="Calibri"/>
                <w:sz w:val="18"/>
              </w:rPr>
              <w:t>Critical</w:t>
            </w:r>
          </w:p>
        </w:tc>
      </w:tr>
      <w:tr>
        <w:tc>
          <w:tcPr>
            <w:tcW w:type="dxa" w:w="2268"/>
            <w:shd w:val="clear" w:color="auto" w:fill="F2F7FF"/>
            <w:vAlign w:val="center"/>
          </w:tcPr>
          <w:p>
            <w:pPr>
              <w:jc w:val="left"/>
            </w:pPr>
            <w:r>
              <w:rPr>
                <w:rFonts w:ascii="Calibri" w:hAnsi="Calibri"/>
                <w:sz w:val="18"/>
              </w:rPr>
              <w:t>Access</w:t>
            </w:r>
          </w:p>
        </w:tc>
        <w:tc>
          <w:tcPr>
            <w:tcW w:type="dxa" w:w="3118"/>
            <w:shd w:val="clear" w:color="auto" w:fill="F2F7FF"/>
            <w:vAlign w:val="center"/>
          </w:tcPr>
          <w:p>
            <w:pPr>
              <w:jc w:val="left"/>
            </w:pPr>
            <w:r>
              <w:rPr>
                <w:rFonts w:ascii="Calibri" w:hAnsi="Calibri"/>
                <w:sz w:val="18"/>
              </w:rPr>
              <w:t>Over 60 min</w:t>
            </w:r>
          </w:p>
        </w:tc>
        <w:tc>
          <w:tcPr>
            <w:tcW w:type="dxa" w:w="1701"/>
            <w:shd w:val="clear" w:color="auto" w:fill="F2F7FF"/>
            <w:vAlign w:val="center"/>
          </w:tcPr>
          <w:p>
            <w:pPr>
              <w:jc w:val="left"/>
            </w:pPr>
            <w:r>
              <w:rPr>
                <w:rFonts w:ascii="Calibri" w:hAnsi="Calibri"/>
                <w:sz w:val="18"/>
              </w:rPr>
              <w:t>27.3%</w:t>
            </w:r>
          </w:p>
        </w:tc>
        <w:tc>
          <w:tcPr>
            <w:tcW w:type="dxa" w:w="1984"/>
            <w:shd w:val="clear" w:color="auto" w:fill="F2F7FF"/>
            <w:vAlign w:val="center"/>
          </w:tcPr>
          <w:p>
            <w:pPr>
              <w:jc w:val="left"/>
            </w:pPr>
            <w:r>
              <w:rPr>
                <w:rFonts w:ascii="Calibri" w:hAnsi="Calibri"/>
                <w:sz w:val="18"/>
              </w:rPr>
              <w:t>High</w:t>
            </w:r>
          </w:p>
        </w:tc>
      </w:tr>
      <w:tr>
        <w:tc>
          <w:tcPr>
            <w:tcW w:type="dxa" w:w="2268"/>
            <w:shd w:val="clear" w:color="auto" w:fill="FFFFFF"/>
            <w:vAlign w:val="center"/>
          </w:tcPr>
          <w:p>
            <w:pPr>
              <w:jc w:val="left"/>
            </w:pPr>
            <w:r>
              <w:rPr>
                <w:rFonts w:ascii="Calibri" w:hAnsi="Calibri"/>
                <w:sz w:val="18"/>
              </w:rPr>
              <w:t>Health</w:t>
            </w:r>
          </w:p>
        </w:tc>
        <w:tc>
          <w:tcPr>
            <w:tcW w:type="dxa" w:w="3118"/>
            <w:shd w:val="clear" w:color="auto" w:fill="FFFFFF"/>
            <w:vAlign w:val="center"/>
          </w:tcPr>
          <w:p>
            <w:pPr>
              <w:jc w:val="left"/>
            </w:pPr>
            <w:r>
              <w:rPr>
                <w:rFonts w:ascii="Calibri" w:hAnsi="Calibri"/>
                <w:sz w:val="18"/>
              </w:rPr>
              <w:t>Waterborne diseases</w:t>
            </w:r>
          </w:p>
        </w:tc>
        <w:tc>
          <w:tcPr>
            <w:tcW w:type="dxa" w:w="1701"/>
            <w:shd w:val="clear" w:color="auto" w:fill="FFFFFF"/>
            <w:vAlign w:val="center"/>
          </w:tcPr>
          <w:p>
            <w:pPr>
              <w:jc w:val="left"/>
            </w:pPr>
            <w:r>
              <w:rPr>
                <w:rFonts w:ascii="Calibri" w:hAnsi="Calibri"/>
                <w:sz w:val="18"/>
              </w:rPr>
              <w:t>27.1%</w:t>
            </w:r>
          </w:p>
        </w:tc>
        <w:tc>
          <w:tcPr>
            <w:tcW w:type="dxa" w:w="1984"/>
            <w:shd w:val="clear" w:color="auto" w:fill="FFFFFF"/>
            <w:vAlign w:val="center"/>
          </w:tcPr>
          <w:p>
            <w:pPr>
              <w:jc w:val="left"/>
            </w:pPr>
            <w:r>
              <w:rPr>
                <w:rFonts w:ascii="Calibri" w:hAnsi="Calibri"/>
                <w:sz w:val="18"/>
              </w:rPr>
              <w:t>High</w:t>
            </w:r>
          </w:p>
        </w:tc>
      </w:tr>
      <w:tr>
        <w:tc>
          <w:tcPr>
            <w:tcW w:type="dxa" w:w="2268"/>
            <w:shd w:val="clear" w:color="auto" w:fill="F2F7FF"/>
            <w:vAlign w:val="center"/>
          </w:tcPr>
          <w:p>
            <w:pPr>
              <w:jc w:val="left"/>
            </w:pPr>
            <w:r>
              <w:rPr>
                <w:rFonts w:ascii="Calibri" w:hAnsi="Calibri"/>
                <w:sz w:val="18"/>
              </w:rPr>
              <w:t>Sanitation</w:t>
            </w:r>
          </w:p>
        </w:tc>
        <w:tc>
          <w:tcPr>
            <w:tcW w:type="dxa" w:w="3118"/>
            <w:shd w:val="clear" w:color="auto" w:fill="F2F7FF"/>
            <w:vAlign w:val="center"/>
          </w:tcPr>
          <w:p>
            <w:pPr>
              <w:jc w:val="left"/>
            </w:pPr>
            <w:r>
              <w:rPr>
                <w:rFonts w:ascii="Calibri" w:hAnsi="Calibri"/>
                <w:sz w:val="18"/>
              </w:rPr>
              <w:t>No latrine</w:t>
            </w:r>
          </w:p>
        </w:tc>
        <w:tc>
          <w:tcPr>
            <w:tcW w:type="dxa" w:w="1701"/>
            <w:shd w:val="clear" w:color="auto" w:fill="F2F7FF"/>
            <w:vAlign w:val="center"/>
          </w:tcPr>
          <w:p>
            <w:pPr>
              <w:jc w:val="left"/>
            </w:pPr>
            <w:r>
              <w:rPr>
                <w:rFonts w:ascii="Calibri" w:hAnsi="Calibri"/>
                <w:sz w:val="18"/>
              </w:rPr>
              <w:t>33.6%</w:t>
            </w:r>
          </w:p>
        </w:tc>
        <w:tc>
          <w:tcPr>
            <w:tcW w:type="dxa" w:w="1984"/>
            <w:shd w:val="clear" w:color="auto" w:fill="F2F7FF"/>
            <w:vAlign w:val="center"/>
          </w:tcPr>
          <w:p>
            <w:pPr>
              <w:jc w:val="left"/>
            </w:pPr>
            <w:r>
              <w:rPr>
                <w:rFonts w:ascii="Calibri" w:hAnsi="Calibri"/>
                <w:sz w:val="18"/>
              </w:rPr>
              <w:t>Critical</w:t>
            </w:r>
          </w:p>
        </w:tc>
      </w:tr>
      <w:tr>
        <w:tc>
          <w:tcPr>
            <w:tcW w:type="dxa" w:w="2268"/>
            <w:shd w:val="clear" w:color="auto" w:fill="FFFFFF"/>
            <w:vAlign w:val="center"/>
          </w:tcPr>
          <w:p>
            <w:pPr>
              <w:jc w:val="left"/>
            </w:pPr>
            <w:r>
              <w:rPr>
                <w:rFonts w:ascii="Calibri" w:hAnsi="Calibri"/>
                <w:sz w:val="18"/>
              </w:rPr>
              <w:t>Waste</w:t>
            </w:r>
          </w:p>
        </w:tc>
        <w:tc>
          <w:tcPr>
            <w:tcW w:type="dxa" w:w="3118"/>
            <w:shd w:val="clear" w:color="auto" w:fill="FFFFFF"/>
            <w:vAlign w:val="center"/>
          </w:tcPr>
          <w:p>
            <w:pPr>
              <w:jc w:val="left"/>
            </w:pPr>
            <w:r>
              <w:rPr>
                <w:rFonts w:ascii="Calibri" w:hAnsi="Calibri"/>
                <w:sz w:val="18"/>
              </w:rPr>
              <w:t>Somewhat/not satisfied</w:t>
            </w:r>
          </w:p>
        </w:tc>
        <w:tc>
          <w:tcPr>
            <w:tcW w:type="dxa" w:w="1701"/>
            <w:shd w:val="clear" w:color="auto" w:fill="FFFFFF"/>
            <w:vAlign w:val="center"/>
          </w:tcPr>
          <w:p>
            <w:pPr>
              <w:jc w:val="left"/>
            </w:pPr>
            <w:r>
              <w:rPr>
                <w:rFonts w:ascii="Calibri" w:hAnsi="Calibri"/>
                <w:sz w:val="18"/>
              </w:rPr>
              <w:t>62.0%</w:t>
            </w:r>
          </w:p>
        </w:tc>
        <w:tc>
          <w:tcPr>
            <w:tcW w:type="dxa" w:w="1984"/>
            <w:shd w:val="clear" w:color="auto" w:fill="FFFFFF"/>
            <w:vAlign w:val="center"/>
          </w:tcPr>
          <w:p>
            <w:pPr>
              <w:jc w:val="left"/>
            </w:pPr>
            <w:r>
              <w:rPr>
                <w:rFonts w:ascii="Calibri" w:hAnsi="Calibri"/>
                <w:sz w:val="18"/>
              </w:rPr>
              <w:t>Moderate</w:t>
            </w:r>
          </w:p>
        </w:tc>
      </w:tr>
      <w:tr>
        <w:tc>
          <w:tcPr>
            <w:tcW w:type="dxa" w:w="2268"/>
            <w:shd w:val="clear" w:color="auto" w:fill="F2F7FF"/>
            <w:vAlign w:val="center"/>
          </w:tcPr>
          <w:p>
            <w:pPr>
              <w:jc w:val="left"/>
            </w:pPr>
            <w:r>
              <w:rPr>
                <w:rFonts w:ascii="Calibri" w:hAnsi="Calibri"/>
                <w:sz w:val="18"/>
              </w:rPr>
              <w:t>Pollution</w:t>
            </w:r>
          </w:p>
        </w:tc>
        <w:tc>
          <w:tcPr>
            <w:tcW w:type="dxa" w:w="3118"/>
            <w:shd w:val="clear" w:color="auto" w:fill="F2F7FF"/>
            <w:vAlign w:val="center"/>
          </w:tcPr>
          <w:p>
            <w:pPr>
              <w:jc w:val="left"/>
            </w:pPr>
            <w:r>
              <w:rPr>
                <w:rFonts w:ascii="Calibri" w:hAnsi="Calibri"/>
                <w:sz w:val="18"/>
              </w:rPr>
              <w:t>Reported</w:t>
            </w:r>
          </w:p>
        </w:tc>
        <w:tc>
          <w:tcPr>
            <w:tcW w:type="dxa" w:w="1701"/>
            <w:shd w:val="clear" w:color="auto" w:fill="F2F7FF"/>
            <w:vAlign w:val="center"/>
          </w:tcPr>
          <w:p>
            <w:pPr>
              <w:jc w:val="left"/>
            </w:pPr>
            <w:r>
              <w:rPr>
                <w:rFonts w:ascii="Calibri" w:hAnsi="Calibri"/>
                <w:sz w:val="18"/>
              </w:rPr>
              <w:t>49.4%</w:t>
            </w:r>
          </w:p>
        </w:tc>
        <w:tc>
          <w:tcPr>
            <w:tcW w:type="dxa" w:w="1984"/>
            <w:shd w:val="clear" w:color="auto" w:fill="F2F7FF"/>
            <w:vAlign w:val="center"/>
          </w:tcPr>
          <w:p>
            <w:pPr>
              <w:jc w:val="left"/>
            </w:pPr>
            <w:r>
              <w:rPr>
                <w:rFonts w:ascii="Calibri" w:hAnsi="Calibri"/>
                <w:sz w:val="18"/>
              </w:rPr>
              <w:t>Moderate</w:t>
            </w:r>
          </w:p>
        </w:tc>
      </w:tr>
      <w:tr>
        <w:tc>
          <w:tcPr>
            <w:tcW w:type="dxa" w:w="2268"/>
            <w:shd w:val="clear" w:color="auto" w:fill="FFFFFF"/>
            <w:vAlign w:val="center"/>
          </w:tcPr>
          <w:p>
            <w:pPr>
              <w:jc w:val="left"/>
            </w:pPr>
            <w:r>
              <w:rPr>
                <w:rFonts w:ascii="Calibri" w:hAnsi="Calibri"/>
                <w:sz w:val="18"/>
              </w:rPr>
              <w:t>Resources</w:t>
            </w:r>
          </w:p>
        </w:tc>
        <w:tc>
          <w:tcPr>
            <w:tcW w:type="dxa" w:w="3118"/>
            <w:shd w:val="clear" w:color="auto" w:fill="FFFFFF"/>
            <w:vAlign w:val="center"/>
          </w:tcPr>
          <w:p>
            <w:pPr>
              <w:jc w:val="left"/>
            </w:pPr>
            <w:r>
              <w:rPr>
                <w:rFonts w:ascii="Calibri" w:hAnsi="Calibri"/>
                <w:sz w:val="18"/>
              </w:rPr>
              <w:t>Degradation</w:t>
            </w:r>
          </w:p>
        </w:tc>
        <w:tc>
          <w:tcPr>
            <w:tcW w:type="dxa" w:w="1701"/>
            <w:shd w:val="clear" w:color="auto" w:fill="FFFFFF"/>
            <w:vAlign w:val="center"/>
          </w:tcPr>
          <w:p>
            <w:pPr>
              <w:jc w:val="left"/>
            </w:pPr>
            <w:r>
              <w:rPr>
                <w:rFonts w:ascii="Calibri" w:hAnsi="Calibri"/>
                <w:sz w:val="18"/>
              </w:rPr>
              <w:t>57.7%</w:t>
            </w:r>
          </w:p>
        </w:tc>
        <w:tc>
          <w:tcPr>
            <w:tcW w:type="dxa" w:w="1984"/>
            <w:shd w:val="clear" w:color="auto" w:fill="FFFFFF"/>
            <w:vAlign w:val="center"/>
          </w:tcPr>
          <w:p>
            <w:pPr>
              <w:jc w:val="left"/>
            </w:pPr>
            <w:r>
              <w:rPr>
                <w:rFonts w:ascii="Calibri" w:hAnsi="Calibri"/>
                <w:sz w:val="18"/>
              </w:rPr>
              <w:t>High</w:t>
            </w:r>
          </w:p>
        </w:tc>
      </w:tr>
      <w:tr>
        <w:tc>
          <w:tcPr>
            <w:tcW w:type="dxa" w:w="2268"/>
            <w:shd w:val="clear" w:color="auto" w:fill="F2F7FF"/>
            <w:vAlign w:val="center"/>
          </w:tcPr>
          <w:p>
            <w:pPr>
              <w:jc w:val="left"/>
            </w:pPr>
            <w:r>
              <w:rPr>
                <w:rFonts w:ascii="Calibri" w:hAnsi="Calibri"/>
                <w:sz w:val="18"/>
              </w:rPr>
              <w:t>Environment</w:t>
            </w:r>
          </w:p>
        </w:tc>
        <w:tc>
          <w:tcPr>
            <w:tcW w:type="dxa" w:w="3118"/>
            <w:shd w:val="clear" w:color="auto" w:fill="F2F7FF"/>
            <w:vAlign w:val="center"/>
          </w:tcPr>
          <w:p>
            <w:pPr>
              <w:jc w:val="left"/>
            </w:pPr>
            <w:r>
              <w:rPr>
                <w:rFonts w:ascii="Calibri" w:hAnsi="Calibri"/>
                <w:sz w:val="18"/>
              </w:rPr>
              <w:t>Scarce resources</w:t>
            </w:r>
          </w:p>
        </w:tc>
        <w:tc>
          <w:tcPr>
            <w:tcW w:type="dxa" w:w="1701"/>
            <w:shd w:val="clear" w:color="auto" w:fill="F2F7FF"/>
            <w:vAlign w:val="center"/>
          </w:tcPr>
          <w:p>
            <w:pPr>
              <w:jc w:val="left"/>
            </w:pPr>
            <w:r>
              <w:rPr>
                <w:rFonts w:ascii="Calibri" w:hAnsi="Calibri"/>
                <w:sz w:val="18"/>
              </w:rPr>
              <w:t>38.4%</w:t>
            </w:r>
          </w:p>
        </w:tc>
        <w:tc>
          <w:tcPr>
            <w:tcW w:type="dxa" w:w="1984"/>
            <w:shd w:val="clear" w:color="auto" w:fill="F2F7FF"/>
            <w:vAlign w:val="center"/>
          </w:tcPr>
          <w:p>
            <w:pPr>
              <w:jc w:val="left"/>
            </w:pPr>
            <w:r>
              <w:rPr>
                <w:rFonts w:ascii="Calibri" w:hAnsi="Calibri"/>
                <w:sz w:val="18"/>
              </w:rPr>
              <w:t>High</w:t>
            </w:r>
          </w:p>
        </w:tc>
      </w:tr>
    </w:tbl>
    <w:p/>
    <w:sectPr w:rsidR="00FC693F" w:rsidRPr="0006063C" w:rsidSect="00034616">
      <w:headerReference w:type="first" r:id="rId9"/>
      <w:headerReference w:type="default" r:id="rId10"/>
      <w:footerReference w:type="default" r:id="rId11"/>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fldChar w:fldCharType="begin"/>
    </w:r>
    <w:r>
      <w:instrText>PAGE</w:instrText>
    </w:r>
    <w:r>
      <w:fldChar w:fldCharType="end"/>
    </w:r>
    <w:r>
      <w:rPr>
        <w:rFonts w:ascii="Calibri" w:hAnsi="Calibri"/>
        <w:color w:val="595959"/>
        <w:sz w:val="18"/>
      </w:rPr>
      <w:t xml:space="preserve"> | WASH Survey 2026 | Goh &amp; Loh Djiboua Regions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0054A6"/>
        <w:sz w:val="18"/>
      </w:rPr>
      <w:t>WASH Survey Report - Cote d'Ivoire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ASH_Title">
    <w:name w:val="WASH_Title"/>
    <w:basedOn w:val="Normal"/>
    <w:pPr>
      <w:spacing w:before="240" w:after="240"/>
      <w:jc w:val="center"/>
    </w:pPr>
    <w:rPr>
      <w:rFonts w:ascii="Calibri Light" w:hAnsi="Calibri Light"/>
      <w:b/>
      <w:color w:val="0054A6"/>
      <w:sz w:val="72"/>
    </w:rPr>
  </w:style>
  <w:style w:type="paragraph" w:customStyle="1" w:styleId="WASH_H1">
    <w:name w:val="WASH_H1"/>
    <w:basedOn w:val="Normal"/>
    <w:pPr>
      <w:spacing w:before="280" w:after="120"/>
      <w:jc w:val="left"/>
    </w:pPr>
    <w:rPr>
      <w:rFonts w:ascii="Calibri Light" w:hAnsi="Calibri Light"/>
      <w:b/>
      <w:color w:val="0054A6"/>
      <w:sz w:val="40"/>
    </w:rPr>
  </w:style>
  <w:style w:type="paragraph" w:customStyle="1" w:styleId="WASH_H2">
    <w:name w:val="WASH_H2"/>
    <w:basedOn w:val="Normal"/>
    <w:pPr>
      <w:spacing w:before="200" w:after="80"/>
      <w:jc w:val="left"/>
    </w:pPr>
    <w:rPr>
      <w:rFonts w:ascii="Calibri" w:hAnsi="Calibri"/>
      <w:b/>
      <w:color w:val="00B0B9"/>
      <w:sz w:val="28"/>
    </w:rPr>
  </w:style>
  <w:style w:type="paragraph" w:customStyle="1" w:styleId="WASH_H3">
    <w:name w:val="WASH_H3"/>
    <w:basedOn w:val="Normal"/>
    <w:pPr>
      <w:spacing w:before="160" w:after="80"/>
      <w:jc w:val="left"/>
    </w:pPr>
    <w:rPr>
      <w:rFonts w:ascii="Calibri" w:hAnsi="Calibri"/>
      <w:b/>
      <w:color w:val="1F3864"/>
      <w:sz w:val="24"/>
    </w:rPr>
  </w:style>
  <w:style w:type="paragraph" w:customStyle="1" w:styleId="WASH_Body">
    <w:name w:val="WASH_Body"/>
    <w:basedOn w:val="Normal"/>
    <w:pPr>
      <w:spacing w:before="0" w:after="120"/>
      <w:jc w:val="both"/>
    </w:pPr>
    <w:rPr>
      <w:rFonts w:ascii="Calibri" w:hAnsi="Calibri"/>
      <w:b w:val="0"/>
      <w:color w:val="222222"/>
      <w:sz w:val="22"/>
    </w:rPr>
  </w:style>
  <w:style w:type="paragraph" w:customStyle="1" w:styleId="WASH_Caption">
    <w:name w:val="WASH_Caption"/>
    <w:basedOn w:val="Normal"/>
    <w:pPr>
      <w:spacing w:before="40" w:after="160"/>
      <w:jc w:val="center"/>
    </w:pPr>
    <w:rPr>
      <w:rFonts w:ascii="Calibri" w:hAnsi="Calibri"/>
      <w:b w:val="0"/>
      <w:color w:val="595959"/>
      <w:sz w:val="18"/>
    </w:rPr>
  </w:style>
  <w:style w:type="paragraph" w:customStyle="1" w:styleId="WASH_Bullet">
    <w:name w:val="WASH_Bullet"/>
    <w:basedOn w:val="Normal"/>
    <w:pPr>
      <w:spacing w:before="0" w:after="60"/>
      <w:jc w:val="left"/>
    </w:pPr>
    <w:rPr>
      <w:rFonts w:ascii="Calibri" w:hAnsi="Calibri"/>
      <w:b w:val="0"/>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