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CURRICULAR_METADATA:</w:t>
      </w:r>
      <w:r>
        <w:t xml:space="preserve"> </w:t>
      </w:r>
      <w:r>
        <w:t xml:space="preserve">- Nivel: A — Nivel investigativo</w:t>
      </w:r>
      <w:r>
        <w:t xml:space="preserve"> </w:t>
      </w:r>
      <w:r>
        <w:t xml:space="preserve">- Agente emisor: digital-education-research-analyst</w:t>
      </w:r>
      <w:r>
        <w:t xml:space="preserve"> </w:t>
      </w:r>
      <w:r>
        <w:t xml:space="preserve">- Insumo base: solicitud de usuario + contexto CLAUDE.md</w:t>
      </w:r>
      <w:r>
        <w:t xml:space="preserve"> </w:t>
      </w:r>
      <w:r>
        <w:t xml:space="preserve">- Asignatura: Tecnología Educativa: Teorías, Productos y Procesos</w:t>
      </w:r>
      <w:r>
        <w:t xml:space="preserve"> </w:t>
      </w:r>
      <w:r>
        <w:t xml:space="preserve">- Semestre: 2</w:t>
      </w:r>
      <w:r>
        <w:t xml:space="preserve"> </w:t>
      </w:r>
      <w:r>
        <w:t xml:space="preserve">- Línea DEDCP: Tecnológica e Instrumental</w:t>
      </w:r>
      <w:r>
        <w:t xml:space="preserve"> </w:t>
      </w:r>
      <w:r>
        <w:t xml:space="preserve">- Supuestos explícitos: Doctorantes han cursado S1 completo (Filosofía de la Educación en el Tránsito a la Posmodernidad, Teorías y Modelos de la Educación, Globalización y Sociedad del Conocimiento, Seminario de Investigación I); modalidad intensiva de 5 módulos asumida; no se dispone de perfil concreto de cohorte ni infraestructura institucional declarada; doctorantes tienen formación pedagógica previa de nivel posgrado.</w:t>
      </w:r>
      <w:r>
        <w:t xml:space="preserve"> </w:t>
      </w:r>
      <w:r>
        <w:t xml:space="preserve">- Handoff sugerido: doctoral-competency-designer</w:t>
      </w:r>
    </w:p>
    <w:p>
      <w:r>
        <w:pict>
          <v:rect style="width:0;height:1.5pt" o:hralign="center" o:hrstd="t" o:hr="t"/>
        </w:pict>
      </w:r>
    </w:p>
    <w:bookmarkStart w:id="51" w:name="X3bea9ce3642a9c8461218afecdf5ae292d45aec"/>
    <w:p>
      <w:pPr>
        <w:pStyle w:val="Heading1"/>
      </w:pPr>
      <w:r>
        <w:t xml:space="preserve">INFORME DE INTELIGENCIA INVESTIGATIVA CURRICULAR</w:t>
      </w:r>
    </w:p>
    <w:p>
      <w:pPr>
        <w:pStyle w:val="FirstParagraph"/>
      </w:pPr>
      <w:r>
        <w:rPr>
          <w:b/>
          <w:bCs/>
        </w:rPr>
        <w:t xml:space="preserve">Modo de operación:</w:t>
      </w:r>
      <w:r>
        <w:t xml:space="preserve"> </w:t>
      </w:r>
      <w:r>
        <w:t xml:space="preserve">Fundamentación Curricular</w:t>
      </w:r>
      <w:r>
        <w:br/>
      </w:r>
      <w:r>
        <w:rPr>
          <w:b/>
          <w:bCs/>
        </w:rPr>
        <w:t xml:space="preserve">Objeto de análisis:</w:t>
      </w:r>
      <w:r>
        <w:t xml:space="preserve"> </w:t>
      </w:r>
      <w:r>
        <w:t xml:space="preserve">Tecnología Educativa como campo disciplinar en tensión — teorías, productos y procesos; fundamentación para diseño doctoral de Semestre 2, Línea Tecnológica e Instrumental, DEDCP</w:t>
      </w:r>
      <w:r>
        <w:br/>
      </w:r>
      <w:r>
        <w:rPr>
          <w:b/>
          <w:bCs/>
        </w:rPr>
        <w:t xml:space="preserve">Supuestos explícitos:</w:t>
      </w:r>
      <w:r>
        <w:t xml:space="preserve"> </w:t>
      </w:r>
      <w:r>
        <w:t xml:space="preserve">Los doctorantes han cursado el Semestre 1 completo, lo que implica que disponen de herramientas filosóficas y epistemológicas de base (posmodernidad, teorías educativas, sociedad del conocimiento, introducción a investigación). Esta asignatura no es una introducción a la tecnología educativa: es una problematización doctoral del campo desde dentro. El informe se produce en modo Fundamentación Curricular porque el propósito es sustentar la arquitectura de la asignatura, alimentar el perfil de competencias y proveer nodos de problematización para el trabajo modular posterior.</w:t>
      </w:r>
    </w:p>
    <w:p>
      <w:r>
        <w:pict>
          <v:rect style="width:0;height:1.5pt" o:hralign="center" o:hrstd="t" o:hr="t"/>
        </w:pict>
      </w:r>
    </w:p>
    <w:bookmarkStart w:id="13" w:name="panorama-epistémico-del-campo"/>
    <w:p>
      <w:pPr>
        <w:pStyle w:val="Heading2"/>
      </w:pPr>
      <w:r>
        <w:t xml:space="preserve">1. Panorama Epistémico del Campo</w:t>
      </w:r>
    </w:p>
    <w:bookmarkStart w:id="9" w:name="Xfadc84a674b7b35a7eeaaeaa6dd73f05b09bc16"/>
    <w:p>
      <w:pPr>
        <w:pStyle w:val="Heading3"/>
      </w:pPr>
      <w:r>
        <w:t xml:space="preserve">1.1 La tecnología educativa como campo disciplinar: constitución y tensiones fundantes</w:t>
      </w:r>
    </w:p>
    <w:p>
      <w:pPr>
        <w:pStyle w:val="FirstParagraph"/>
      </w:pPr>
      <w:r>
        <w:t xml:space="preserve">La tecnología educativa no es una disciplina de origen epistemológicamente homogéneo. Emerge a mediados del siglo XX en el cruce entre la psicología del aprendizaje conductista (Skinner, 1954; Crowder, 1960), la ingeniería de sistemas aplicada a la instrucción (Gagné, 1965) y las demandas de industrialización y eficiencia del aparato educativo occidental de posguerra. Desde su fundación, el campo carga con una tensión constitutiva que no ha resuelto: la de definirse como ciencia aplicada orientada a la optimización instruccional, o como campo crítico orientado a comprender los efectos, condiciones y contradicciones del uso de tecnología en los procesos de formación humana.</w:t>
      </w:r>
    </w:p>
    <w:p>
      <w:pPr>
        <w:pStyle w:val="BodyText"/>
      </w:pPr>
      <w:r>
        <w:t xml:space="preserve">Esta tensión no es meramente académica. Tiene consecuencias directas en cómo se define el objeto de estudio del campo, qué preguntas se consideran legítimas, qué metodologías se usan, qué actores financian la investigación y qué queda fuera de la agenda investigativa. Neil Selwyn (2011, 2019) ha argumentado con precisión que la tecnología educativa como campo académico ha sido colonizada sistemáticamente por lógicas de mercado, optimismo tecnológico y una forma de racionalidad instrumental que sitúa la pregunta de investigación en</w:t>
      </w:r>
      <w:r>
        <w:t xml:space="preserve"> </w:t>
      </w:r>
      <w:r>
        <w:rPr>
          <w:i/>
          <w:iCs/>
        </w:rPr>
        <w:t xml:space="preserve">cómo</w:t>
      </w:r>
      <w:r>
        <w:t xml:space="preserve"> </w:t>
      </w:r>
      <w:r>
        <w:t xml:space="preserve">usar mejor las tecnologías, no en</w:t>
      </w:r>
      <w:r>
        <w:t xml:space="preserve"> </w:t>
      </w:r>
      <w:r>
        <w:rPr>
          <w:i/>
          <w:iCs/>
        </w:rPr>
        <w:t xml:space="preserve">si</w:t>
      </w:r>
      <w:r>
        <w:t xml:space="preserve"> </w:t>
      </w:r>
      <w:r>
        <w:t xml:space="preserve">deben usarse ni</w:t>
      </w:r>
      <w:r>
        <w:t xml:space="preserve"> </w:t>
      </w:r>
      <w:r>
        <w:rPr>
          <w:i/>
          <w:iCs/>
        </w:rPr>
        <w:t xml:space="preserve">para qué</w:t>
      </w:r>
      <w:r>
        <w:t xml:space="preserve"> </w:t>
      </w:r>
      <w:r>
        <w:t xml:space="preserve">y</w:t>
      </w:r>
      <w:r>
        <w:t xml:space="preserve"> </w:t>
      </w:r>
      <w:r>
        <w:rPr>
          <w:i/>
          <w:iCs/>
        </w:rPr>
        <w:t xml:space="preserve">en beneficio de quién</w:t>
      </w:r>
      <w:r>
        <w:t xml:space="preserve">. Esta colonización no es un accidente: responde a estructuras de financiamiento, publicación y transferencia tecnológica que orientan la producción de conocimiento del campo hacia la legitimación de productos e-learning, plataformas y soluciones tecnológicas comerciales.</w:t>
      </w:r>
    </w:p>
    <w:p>
      <w:pPr>
        <w:pStyle w:val="BodyText"/>
      </w:pPr>
      <w:r>
        <w:t xml:space="preserve">Frente a esta tendencia dominante, existe un corpus crítico consolidado —Selwyn, Watters, Bayne, Williamson, Noble, Roszak— que concibe la tecnología educativa como campo de disputa política, epistemológica y cultural. Esta corriente no rechaza la tecnología en la educación; rechaza su naturalización como progreso, su presentación como solución neutral a problemas complejos y su función de desplazar la mediación pedagógica por la automatización de procesos.</w:t>
      </w:r>
    </w:p>
    <w:bookmarkEnd w:id="9"/>
    <w:bookmarkStart w:id="10" w:name="Xfb661b3356234762825575b6c2f63eb5ab3c690"/>
    <w:p>
      <w:pPr>
        <w:pStyle w:val="Heading3"/>
      </w:pPr>
      <w:r>
        <w:t xml:space="preserve">1.2 Evolución histórica: del conductismo al conectivismo y la IA generativa</w:t>
      </w:r>
    </w:p>
    <w:p>
      <w:pPr>
        <w:pStyle w:val="FirstParagraph"/>
      </w:pPr>
      <w:r>
        <w:t xml:space="preserve">La historia de la tecnología educativa es, en parte, la historia de las promesas sucesivas de revolución pedagógica vinculadas a cada nueva tecnología. Larry Cuban (1986, 2001) documentó con rigor empírico cómo la radio educativa, el cine escolar, la televisión instruccional y el laboratorio de lenguas fueron presentados, en sus respectivos momentos, como transformaciones definitivas de la educación, para terminar siendo absorbidos de manera marginal o desapareciendo sin dejar huella sustantiva en la práctica docente cotidiana. La clave analítica de Cuban no es tecnológica sino institucional: la escuela como organización tiene lógicas de reproducción que resisten o neutralizan la innovación tecnológica cuando esta no dialoga con las condiciones reales de la práctica.</w:t>
      </w:r>
    </w:p>
    <w:p>
      <w:pPr>
        <w:pStyle w:val="BodyText"/>
      </w:pPr>
      <w:r>
        <w:t xml:space="preserve">El recorrido histórico puede periodizarse en cuatro grandes momentos, sin que cada uno borre al anterior:</w:t>
      </w:r>
    </w:p>
    <w:p>
      <w:pPr>
        <w:pStyle w:val="BodyText"/>
      </w:pPr>
      <w:r>
        <w:rPr>
          <w:b/>
          <w:bCs/>
        </w:rPr>
        <w:t xml:space="preserve">Primer momento (1950s-1970s): instrucción programada y diseño instruccional sistemático.</w:t>
      </w:r>
      <w:r>
        <w:t xml:space="preserve"> </w:t>
      </w:r>
      <w:r>
        <w:t xml:space="preserve">Skinner propone las máquinas de enseñanza como aplicación de la psicología operante. El aprendizaje se reduce a conducta observable, medible y modificable mediante refuerzo. El diseño instruccional de Gagné sistematiza las condiciones del aprendizaje y establece la secuencia de objetivos conductuales como eje del diseño curricular. Este momento funda una epistemología que persiste —invisible pero operante— en muchos sistemas de e-learning contemporáneos basados en módulos de contenido, evaluaciones automatizadas y retroalimentación inmediata estandarizada.</w:t>
      </w:r>
    </w:p>
    <w:p>
      <w:pPr>
        <w:pStyle w:val="BodyText"/>
      </w:pPr>
      <w:r>
        <w:rPr>
          <w:b/>
          <w:bCs/>
        </w:rPr>
        <w:t xml:space="preserve">Segundo momento (1980s-1990s): cognitivismo, constructivismo y tecnología como herramienta cognitiva.</w:t>
      </w:r>
      <w:r>
        <w:t xml:space="preserve"> </w:t>
      </w:r>
      <w:r>
        <w:t xml:space="preserve">La irrupción del ordenador personal reorienta la discusión hacia el procesamiento de información, la resolución de problemas y el constructivismo piagetiano y vygotskiano. Papert (1980) propone el</w:t>
      </w:r>
      <w:r>
        <w:t xml:space="preserve"> </w:t>
      </w:r>
      <w:r>
        <w:rPr>
          <w:i/>
          <w:iCs/>
        </w:rPr>
        <w:t xml:space="preserve">construcionismo</w:t>
      </w:r>
      <w:r>
        <w:t xml:space="preserve"> </w:t>
      </w:r>
      <w:r>
        <w:t xml:space="preserve">como alternativa: los niños aprenden construyendo con tecnología, no consumiendo contenido. Jonassen (1996) desarrolla la noción de herramienta cognitiva. El constructivismo social abre espacio para pedagogías más dialógicas, pero no llega a cuestionar la neutralidad del artefacto tecnológico.</w:t>
      </w:r>
    </w:p>
    <w:p>
      <w:pPr>
        <w:pStyle w:val="BodyText"/>
      </w:pPr>
      <w:r>
        <w:rPr>
          <w:b/>
          <w:bCs/>
        </w:rPr>
        <w:t xml:space="preserve">Tercer momento (2000s-2010s): conectivismo, web 2.0 y el giro hacia las redes.</w:t>
      </w:r>
      <w:r>
        <w:t xml:space="preserve"> </w:t>
      </w:r>
      <w:r>
        <w:t xml:space="preserve">Siemens (2005) propone el conectivismo como nueva teoría del aprendizaje para la era digital, argumentando que el conocimiento ya no reside en el individuo sino en las conexiones entre nodos de una red. Downes (2007) lo desarrolla hacia el aprendizaje entre pares y los cursos masivos abiertos en línea (MOOC). La Web 2.0 (O’Reilly, 2005) genera una retórica de participación, producción de usuarios y horizontalidad que pronto entra en tensión con las estructuras de captura de datos, monetización de atención y concentración de poder en plataformas como Google, Facebook y Amazon. Veletsianos y Porras-Hernández (2012) documentan la brecha entre los discursos de innovación pedagógica de la Web 2.0 y las prácticas reales en el aula.</w:t>
      </w:r>
    </w:p>
    <w:p>
      <w:pPr>
        <w:pStyle w:val="BodyText"/>
      </w:pPr>
      <w:r>
        <w:rPr>
          <w:b/>
          <w:bCs/>
        </w:rPr>
        <w:t xml:space="preserve">Cuarto momento (2015s-presente): algoritmos, plataformas, IA y la crisis del sujeto pedagógico.</w:t>
      </w:r>
      <w:r>
        <w:t xml:space="preserve"> </w:t>
      </w:r>
      <w:r>
        <w:t xml:space="preserve">Las plataformas de aprendizaje adaptativo, los sistemas de tutoría inteligente, el aprendizaje analítico y, más recientemente, la IA generativa (GPT, Gemini, Claude) irrumpen con una promesa de personalización sin precedente. Al mismo tiempo, el modelo de negocio de las grandes plataformas tecnológicas coloniza la educación: Coursera, Duolingo, Khan Academy, Google Classroom y Moodle como instancia de estandarización LMS operan dentro de una economía de datos donde el aprendiente es, simultáneamente, usuario, producto y fuente de entrenamiento de modelos. Byung-Chul Han (2014) ofrece una lectura filosófica inquietante: la sociedad del rendimiento digitalizado produce sujetos que se explotan a sí mismos con entusiasmo, confundiendo optimización con libertad.</w:t>
      </w:r>
    </w:p>
    <w:bookmarkEnd w:id="10"/>
    <w:bookmarkStart w:id="11" w:name="X39e049524cfc98c3ecb703d106020d501019c7a"/>
    <w:p>
      <w:pPr>
        <w:pStyle w:val="Heading3"/>
      </w:pPr>
      <w:r>
        <w:t xml:space="preserve">1.3 Principales corrientes teóricas en disputa</w:t>
      </w:r>
    </w:p>
    <w:p>
      <w:pPr>
        <w:pStyle w:val="FirstParagraph"/>
      </w:pPr>
      <w:r>
        <w:rPr>
          <w:b/>
          <w:bCs/>
        </w:rPr>
        <w:t xml:space="preserve">Racionalidad instrumental y eficiencia pedagógica.</w:t>
      </w:r>
      <w:r>
        <w:t xml:space="preserve"> </w:t>
      </w:r>
      <w:r>
        <w:t xml:space="preserve">La corriente dominante del campo hereda el paradigma de la racionalidad técnica descrito por Schön (1983) en su crítica al modelo de la práctica profesional como aplicación de conocimiento científico. En tecnología educativa, esto se expresa como creencia en que los problemas pedagógicos son problemas técnicos que se resuelven con diseño instruccional adecuado, herramientas correctas y métricas de rendimiento. Esta corriente no desaparece: se recicla constantemente en los discursos de personalización, gamificación, analítica de aprendizaje y actualmente IA generativa como</w:t>
      </w:r>
      <w:r>
        <w:t xml:space="preserve"> </w:t>
      </w:r>
      <w:r>
        <w:t xml:space="preserve">“tutor personalizado para cada estudiante”</w:t>
      </w:r>
      <w:r>
        <w:t xml:space="preserve">.</w:t>
      </w:r>
    </w:p>
    <w:p>
      <w:pPr>
        <w:pStyle w:val="BodyText"/>
      </w:pPr>
      <w:r>
        <w:rPr>
          <w:b/>
          <w:bCs/>
        </w:rPr>
        <w:t xml:space="preserve">Teoría crítica y pedagogía crítica.</w:t>
      </w:r>
      <w:r>
        <w:t xml:space="preserve"> </w:t>
      </w:r>
      <w:r>
        <w:t xml:space="preserve">Freire (1970), la Escuela de Frankfurt (Adorno, Horkheimer, Marcuse) y sus aplicaciones pedagógicas (Giroux, Apple, McLaren) ofrecen la contracorriente estructural. La tecnología educativa desde este marco no se analiza por su eficiencia sino por sus efectos sobre la conciencia, la autonomía y las relaciones de poder. El riesgo no es técnico sino político: que la educación mediada por tecnología reproduzca y amplíe desigualdades, desprofesionalice la docencia, reduzca la formación a consumo de contenido y elimine los márgenes de reflexividad crítica que hacen posible la ciudadanía democrática.</w:t>
      </w:r>
    </w:p>
    <w:p>
      <w:pPr>
        <w:pStyle w:val="BodyText"/>
      </w:pPr>
      <w:r>
        <w:rPr>
          <w:b/>
          <w:bCs/>
        </w:rPr>
        <w:t xml:space="preserve">Teoría social de la tecnología.</w:t>
      </w:r>
      <w:r>
        <w:t xml:space="preserve"> </w:t>
      </w:r>
      <w:r>
        <w:t xml:space="preserve">Winner (1980), Bijker, Hughes y Pinch (1987), MacKenzie y Wajcman (1999) y la tradición de Science and Technology Studies (STS) ofrecen un marco analítico para comprender la tecnología como artefacto social, no como objeto neutral. Los artefactos tecnológicos incorporan valores, supuestos y relaciones de poder en su diseño. Esta perspectiva es decisiva para el análisis doctoral de tecnología educativa porque permite des-naturalizar los LMS, los algoritmos de recomendación, los sistemas de evaluación automatizada y la arquitectura de las plataformas de aprendizaje como construcciones sociales que pueden y deben ser interrogadas.</w:t>
      </w:r>
    </w:p>
    <w:p>
      <w:pPr>
        <w:pStyle w:val="BodyText"/>
      </w:pPr>
      <w:r>
        <w:rPr>
          <w:b/>
          <w:bCs/>
        </w:rPr>
        <w:t xml:space="preserve">Posthumanismo pedagógico y nuevos materialismos.</w:t>
      </w:r>
      <w:r>
        <w:t xml:space="preserve"> </w:t>
      </w:r>
      <w:r>
        <w:t xml:space="preserve">Rosi Braidotti (2013), Karen Barad (2007) y sus aplicaciones en educación (Knox, 2016; Bayne, 2015) proponen un giro ontológico que descentra al sujeto humano como eje del aprendizaje y examina los ensamblajes humano-tecnológicos como lugar de producción del conocimiento. Esta corriente es productiva para el nivel doctoral porque obliga a repensar categorías como agencia, autoría, subjetividad y experiencia de aprendizaje en entornos fuertemente mediados por algoritmos e IA. Sin embargo, requiere cautela: el giro posthumanista puede derivar en una forma de abandono del humanismo crítico si no se articula cuidadosamente con la pregunta por la dignidad, la justicia y la responsabilidad pública del conocimiento.</w:t>
      </w:r>
    </w:p>
    <w:bookmarkEnd w:id="11"/>
    <w:bookmarkStart w:id="12" w:name="Xc77ea1d7710cb2f90d6290d955f403100fcc150"/>
    <w:p>
      <w:pPr>
        <w:pStyle w:val="Heading3"/>
      </w:pPr>
      <w:r>
        <w:t xml:space="preserve">1.4 Estado del arte de los marcos teóricos vigentes: análisis crítico</w:t>
      </w:r>
    </w:p>
    <w:p>
      <w:pPr>
        <w:pStyle w:val="FirstParagraph"/>
      </w:pPr>
      <w:r>
        <w:rPr>
          <w:b/>
          <w:bCs/>
        </w:rPr>
        <w:t xml:space="preserve">TPACK (Technological Pedagogical Content Knowledge, Mishra &amp; Koehler, 2006).</w:t>
      </w:r>
      <w:r>
        <w:t xml:space="preserve"> </w:t>
      </w:r>
      <w:r>
        <w:t xml:space="preserve">El modelo TPACK propone que la competencia docente efectiva en entornos tecnológicos requiere la intersección de tres tipos de conocimiento: disciplinar (contenido), pedagógico y tecnológico. El modelo tiene valor descriptivo y es ampliamente utilizado en formación docente. Sin embargo, Kerr (2010) señala sus limitaciones: el TPACK tiende a naturalizar el uso de la tecnología como objetivo en sí mismo, asume que la integración tecnológica es inherentemente deseable y no ofrece herramientas para evaluar críticamente qué tecnologías usar, bajo qué condiciones y con qué efectos sobre el aprendizaje. Veletsianos (2010) señala además que el TPACK es un modelo normativo que describe competencias deseables pero no explica los mecanismos del aprendizaje ni los factores contextuales e institucionales que determinan la práctica tecnológica real.</w:t>
      </w:r>
    </w:p>
    <w:p>
      <w:pPr>
        <w:pStyle w:val="BodyText"/>
      </w:pPr>
      <w:r>
        <w:rPr>
          <w:b/>
          <w:bCs/>
        </w:rPr>
        <w:t xml:space="preserve">SAMR (Substitution, Augmentation, Modification, Redefinition, Puentedura, 2006).</w:t>
      </w:r>
      <w:r>
        <w:t xml:space="preserve"> </w:t>
      </w:r>
      <w:r>
        <w:t xml:space="preserve">El modelo SAMR ofrece una taxonomía de niveles de integración tecnológica desde la sustitución pura hasta la redefinición de tareas. Su atractivo radica en su simplicidad visual y su utilidad para la formación docente básica. Sus limitaciones son significativas para el nivel doctoral: el modelo asume que mayor integración tecnológica es siempre mejor (sesgo tecnocrático), no contempla el contenido ni el contexto, y su evidencia empírica es notoriamente débil (Hamilton et al., 2016). En el contexto del DEDCP, el SAMR es un objeto de análisis crítico, no un marco normativo a seguir.</w:t>
      </w:r>
    </w:p>
    <w:p>
      <w:pPr>
        <w:pStyle w:val="BodyText"/>
      </w:pPr>
      <w:r>
        <w:rPr>
          <w:b/>
          <w:bCs/>
        </w:rPr>
        <w:t xml:space="preserve">Conectivismo (Siemens, 2005; Downes, 2007).</w:t>
      </w:r>
      <w:r>
        <w:t xml:space="preserve"> </w:t>
      </w:r>
      <w:r>
        <w:t xml:space="preserve">El conectivismo propone que el aprendizaje en la era de la red se produce mediante la creación y navegación de conexiones entre nodos de conocimiento distribuidos en redes humanas y no humanas. Tiene el mérito de cuestionar el cognitivismo individual y de tomar en serio la transformación del conocimiento en la era digital. Sin embargo, Verhagen (2006) y Clarà y Barberà (2013) cuestionan si el conectivismo constituye genuinamente una teoría del aprendizaje o si es más bien una descripción de condiciones sociotecnológicas del presente. El riesgo curricular es usarlo como marco teórico sin examinar sus supuestos sobre qué es conocimiento, qué cuenta como aprendizaje y qué relación guarda la conectividad con la formación del juicio, la argumentación y el pensamiento crítico.</w:t>
      </w:r>
    </w:p>
    <w:p>
      <w:pPr>
        <w:pStyle w:val="BodyText"/>
      </w:pPr>
      <w:r>
        <w:rPr>
          <w:b/>
          <w:bCs/>
        </w:rPr>
        <w:t xml:space="preserve">Diseño Universal para el Aprendizaje (DUA / Universal Design for Learning, CAST, 2011).</w:t>
      </w:r>
      <w:r>
        <w:t xml:space="preserve"> </w:t>
      </w:r>
      <w:r>
        <w:t xml:space="preserve">El DUA propone principios de diseño curricular orientados a la accesibilidad, la flexibilidad de representación, de acción/expresión y de participación. Es un marco valioso en términos de justicia curricular y tiene respaldo en neurociencia del aprendizaje. En el nivel doctoral, su relevancia es como herramienta de diseño con conciencia de diversidad y no como sustituto de marcos epistemológicos más robustos.</w:t>
      </w:r>
    </w:p>
    <w:p>
      <w:pPr>
        <w:pStyle w:val="BodyText"/>
      </w:pPr>
      <w:r>
        <w:rPr>
          <w:b/>
          <w:bCs/>
        </w:rPr>
        <w:t xml:space="preserve">Ecologías de Aprendizaje (Barron, 2006; Sangrà et al., 2019).</w:t>
      </w:r>
      <w:r>
        <w:t xml:space="preserve"> </w:t>
      </w:r>
      <w:r>
        <w:t xml:space="preserve">Este enfoque concibe el aprendizaje como proceso que ocurre en configuraciones complejas y distribuidas de contextos, recursos, relaciones y tecnologías. La metáfora ecológica permite analizar la articulación entre aprendizaje formal, informal, digital y físico sin reducirlo a ningún ámbito. Para el DEDCP, el valor de este marco radica en su capacidad de problematizar la arquitectura del entorno de aprendizaje como objeto de diseño e investigación.</w:t>
      </w:r>
    </w:p>
    <w:p>
      <w:pPr>
        <w:pStyle w:val="BodyText"/>
      </w:pPr>
      <w:r>
        <w:rPr>
          <w:b/>
          <w:bCs/>
        </w:rPr>
        <w:t xml:space="preserve">Posthumanismo pedagógico.</w:t>
      </w:r>
      <w:r>
        <w:t xml:space="preserve"> </w:t>
      </w:r>
      <w:r>
        <w:t xml:space="preserve">Como ya se señaló en 1.3, ofrece herramientas para repensar la agencia, la autoría y los ensamblajes humano-tecnológicos, pero requiere articulación explícita con el humanismo crítico del DEDCP.</w:t>
      </w:r>
    </w:p>
    <w:p>
      <w:r>
        <w:pict>
          <v:rect style="width:0;height:1.5pt" o:hralign="center" o:hrstd="t" o:hr="t"/>
        </w:pict>
      </w:r>
    </w:p>
    <w:bookmarkEnd w:id="12"/>
    <w:bookmarkEnd w:id="13"/>
    <w:bookmarkStart w:id="20" w:name="Xb73f2089cdb3cd252a7bcce35df2eb49fad402e"/>
    <w:p>
      <w:pPr>
        <w:pStyle w:val="Heading2"/>
      </w:pPr>
      <w:r>
        <w:t xml:space="preserve">2. Tendencias Emergentes con Densidad Doctoral</w:t>
      </w:r>
    </w:p>
    <w:bookmarkStart w:id="14" w:name="Xefd1add978ffa86da1021db6cd85c792a265da4"/>
    <w:p>
      <w:pPr>
        <w:pStyle w:val="Heading3"/>
      </w:pPr>
      <w:r>
        <w:t xml:space="preserve">2.1 IA generativa en educación: alcances, límites y riesgos formativos</w:t>
      </w:r>
    </w:p>
    <w:p>
      <w:pPr>
        <w:pStyle w:val="FirstParagraph"/>
      </w:pPr>
      <w:r>
        <w:t xml:space="preserve">La irrupción de modelos de lenguaje de gran escala (LLM) como GPT-4, Gemini, Claude y sus aplicaciones en entornos educativos constituye, a partir de 2022-2023, la disrupción más significativa del campo desde la aparición de internet. Las promesas son consistentes y amplias: tutoría personalizada a escala masiva, generación y evaluación automatizada de contenido, retroalimentación inmediata, reducción de la carga docente administrativa y accesibilidad lingüística y cognitiva. Los riesgos formativos son igualmente consistentes y menos discutidos en los discursos institucionales.</w:t>
      </w:r>
    </w:p>
    <w:p>
      <w:pPr>
        <w:pStyle w:val="BodyText"/>
      </w:pPr>
      <w:r>
        <w:t xml:space="preserve">Holmes et al. (2023) identifican tres órdenes de riesgo: (a) el riesgo de desplazamiento de la agencia epistémica del estudiante, que delega en el sistema la generación del pensamiento en lugar de desarrollar su propio; (b) el riesgo de opacidad algorítmica, donde ni el docente ni el estudiante entienden los criterios bajo los cuales el sistema evalúa, recomienda o retroalimenta; (c) el riesgo de sesgo cultural y lingüístico de los modelos, entrenados mayoritariamente en corpus en inglés y con representaciones culturales occidentales que se universalizan subrepticiamente.</w:t>
      </w:r>
    </w:p>
    <w:p>
      <w:pPr>
        <w:pStyle w:val="BodyText"/>
      </w:pPr>
      <w:r>
        <w:t xml:space="preserve">Biesta (2022) ofrece el argumento más profundo desde la filosofía de la educación: la inteligencia artificial puede optimizar el rendimiento medible del estudiante pero no puede sustituir la exposición al riesgo y la responsabilidad que constituyen el núcleo de la formación. Educar no es optimizar resultados; es exponer al sujeto a lo que no sabe, a lo que le perturba, a lo que le exige transformarse. Un sistema que anticipa y elimina la fricción cognitiva no forma: adapta. Esta distinción —entre formación y adaptación— es decisiva para el diseño doctoral del DEDCP.</w:t>
      </w:r>
    </w:p>
    <w:p>
      <w:pPr>
        <w:pStyle w:val="BodyText"/>
      </w:pPr>
      <w:r>
        <w:t xml:space="preserve">El debate sobre IA generativa en educación presenta una brecha profunda entre el discurso institucional (que tiende a gestionar el riesgo mediante políticas de uso aceptable y detección de plagio) y el debate académico crítico (que interroga la naturaleza misma del aprendizaje, la autoría y la subjetividad epistémica en entornos con IA). Para el nivel doctoral, ambos planos son objeto de análisis, pero no son equivalentes.</w:t>
      </w:r>
    </w:p>
    <w:bookmarkEnd w:id="14"/>
    <w:bookmarkStart w:id="15" w:name="X68f260e80295edc122b3952087a8d17c55e08fc"/>
    <w:p>
      <w:pPr>
        <w:pStyle w:val="Heading3"/>
      </w:pPr>
      <w:r>
        <w:t xml:space="preserve">2.2 Plataformización de la educación: ed-tech como industria y régimen de datos</w:t>
      </w:r>
    </w:p>
    <w:p>
      <w:pPr>
        <w:pStyle w:val="FirstParagraph"/>
      </w:pPr>
      <w:r>
        <w:t xml:space="preserve">La noción de plataformización (van Dijck, Poell &amp; de Waal, 2018) describe el proceso por el cual las plataformas digitales —caracterizadas por lógicas de doble mercado, efectos de red, captura de datos y monetización de la atención— se convierten en infraestructura de sectores previamente organizados bajo otras lógicas (comunicación pública, democracia, salud, y educación). Williamson (2017, 2019) ha documentado con precisión cómo esta plataformización opera en educación: el mercado global de ed-tech alcanzó los 340 mil millones de dólares en 2022 y proyecta superar el billón de dólares en 2030 (HolonIQ, 2023), impulsado por capital de riesgo, fusiones corporativas y acuerdos institucionales que transforman a universidades, escuelas y ministerios en clientes de infraestructuras tecnológicas diseñadas bajo lógicas ajenas a sus misiones educativas.</w:t>
      </w:r>
    </w:p>
    <w:p>
      <w:pPr>
        <w:pStyle w:val="BodyText"/>
      </w:pPr>
      <w:r>
        <w:t xml:space="preserve">Zuboff (2019) elabora la categoría de</w:t>
      </w:r>
      <w:r>
        <w:t xml:space="preserve"> </w:t>
      </w:r>
      <w:r>
        <w:rPr>
          <w:i/>
          <w:iCs/>
        </w:rPr>
        <w:t xml:space="preserve">capitalismo de vigilancia</w:t>
      </w:r>
      <w:r>
        <w:t xml:space="preserve"> </w:t>
      </w:r>
      <w:r>
        <w:t xml:space="preserve">como marco para comprender esta dinámica: las plataformas educativas no se financian solo con suscripciones o licencias sino también con la captura y análisis de datos de comportamiento de millones de estudiantes y docentes, que se convierten en insumos para modelos predictivos cuyo destino comercial raramente es transparente. Moodle, como software de código abierto, es una excepción parcial a esta lógica, pero su implementación institucional no garantiza por sí sola la soberanía sobre los datos ni la autonomía pedagógica.</w:t>
      </w:r>
    </w:p>
    <w:p>
      <w:pPr>
        <w:pStyle w:val="BodyText"/>
      </w:pPr>
      <w:r>
        <w:t xml:space="preserve">Noble (2018) añade la dimensión racial: los sistemas de inteligencia artificial en educación reproducen y amplían sesgos de raza, clase y género incorporados en los datos de entrenamiento. El riesgo no es hipotético: sistemas de evaluación automatizada y predicción de rendimiento académico han sido documentados como discriminatorios (Eubanks, 2018; O’Neil, 2016).</w:t>
      </w:r>
    </w:p>
    <w:bookmarkEnd w:id="15"/>
    <w:bookmarkStart w:id="16" w:name="automatización-vs.-agencia-pedagógica"/>
    <w:p>
      <w:pPr>
        <w:pStyle w:val="Heading3"/>
      </w:pPr>
      <w:r>
        <w:t xml:space="preserve">2.3 Automatización vs. agencia pedagógica</w:t>
      </w:r>
    </w:p>
    <w:p>
      <w:pPr>
        <w:pStyle w:val="FirstParagraph"/>
      </w:pPr>
      <w:r>
        <w:t xml:space="preserve">Una de las tensiones más productivas del campo para el nivel doctoral es la que opone la lógica de automatización de los procesos educativos —como eficiencia, escalabilidad, reducción de variabilidad y costo— a la lógica de la agencia pedagógica, entendida como la capacidad del docente y del estudiante de deliberar, decidir, resistir e innovar en el acto educativo.</w:t>
      </w:r>
    </w:p>
    <w:p>
      <w:pPr>
        <w:pStyle w:val="BodyText"/>
      </w:pPr>
      <w:r>
        <w:t xml:space="preserve">Selwyn (2019) argumenta que la narrativa de la automatización educativa no es neutral: responde a una visión particular del trabajo docente como proceso técnico estandarizable, análogo al trabajo industrial, que puede fragmentarse en subtareas y redistribuirse entre humanos y máquinas. Esta visión tiende a desprofesionalizar la docencia, a reducir el margen de decisión pedagógica del docente y a producir lo que Deskilling (término tomado de Braverman, 1974, y aplicado a la docencia por Apple, 1986) denomina descalificación: la pérdida progresiva de saberes y autonomía por efecto de la mediación tecnológica.</w:t>
      </w:r>
    </w:p>
    <w:p>
      <w:pPr>
        <w:pStyle w:val="BodyText"/>
      </w:pPr>
      <w:r>
        <w:t xml:space="preserve">La agencia pedagógica, en cambio, no es simplemente la voluntad del docente de hacer las cosas de otra manera. Es la condición de posibilidad de la educación como práctica con sentido, como praxis transformadora en el sentido freiriano. Sin agencia pedagógica, no hay mediación: hay gestión de flujos de contenido y métricas de rendimiento.</w:t>
      </w:r>
    </w:p>
    <w:bookmarkEnd w:id="16"/>
    <w:bookmarkStart w:id="17" w:name="Xd4f5a01a72bea8268faadd8f14a9e45ef55808c"/>
    <w:p>
      <w:pPr>
        <w:pStyle w:val="Heading3"/>
      </w:pPr>
      <w:r>
        <w:t xml:space="preserve">2.4 Gamificación, realidad aumentada/virtual: promesas y evidencias</w:t>
      </w:r>
    </w:p>
    <w:p>
      <w:pPr>
        <w:pStyle w:val="FirstParagraph"/>
      </w:pPr>
      <w:r>
        <w:t xml:space="preserve">La gamificación educativa —entendida como la aplicación de mecánicas de juego (puntos, insignias, rankings, retos) en entornos no lúdicos— ha generado un volumen considerable de investigación desde 2010. Los metaanálisis disponibles (Hamari et al., 2014; Dichev &amp; Dicheva, 2017) muestran efectos positivos moderados sobre la motivación a corto plazo pero evidencia débil o inconsistente sobre aprendizaje profundo, retención a largo plazo y transferencia. Deterding et al. (2011) advierten que la gamificación superficial —la mera adición de elementos de juego sin rediseño pedagógico— produce el efecto contrario: mina la motivación intrínseca al sustituirla por recompensas externas.</w:t>
      </w:r>
    </w:p>
    <w:p>
      <w:pPr>
        <w:pStyle w:val="BodyText"/>
      </w:pPr>
      <w:r>
        <w:t xml:space="preserve">La realidad aumentada (AR) y la realidad virtual (VR) en educación presentan un patrón similar: promesas de inmersión, visualización y simulación de alta fidelidad, con evidencia empírica aún fragmentaria y dependiente del contexto. Merchant et al. (2014) y sus revisiones posteriores identifican potencial en áreas específicas (ciencias, medicina, entornos de riesgo) pero señalan consistentemente las barreras de infraestructura, costo y formación docente. En el contexto del Sur Global y de programas doctorales con modalidad intensiva, el riesgo de sobre-invertir en estas tecnologías sin base de infraestructura es alto.</w:t>
      </w:r>
    </w:p>
    <w:p>
      <w:pPr>
        <w:pStyle w:val="BodyText"/>
      </w:pPr>
      <w:r>
        <w:t xml:space="preserve">El argumento doctoral relevante no es si estas tecnologías</w:t>
      </w:r>
      <w:r>
        <w:t xml:space="preserve"> </w:t>
      </w:r>
      <w:r>
        <w:t xml:space="preserve">“funcionan”</w:t>
      </w:r>
      <w:r>
        <w:t xml:space="preserve"> </w:t>
      </w:r>
      <w:r>
        <w:t xml:space="preserve">sino cuáles son sus condiciones de posibilidad, qué concepción del aprendizaje suponen, qué excluyen y qué tipo de docente y estudiante presuponen.</w:t>
      </w:r>
    </w:p>
    <w:bookmarkEnd w:id="17"/>
    <w:bookmarkStart w:id="18" w:name="X72091accd3c9c767221a986d3984b23f67310f8"/>
    <w:p>
      <w:pPr>
        <w:pStyle w:val="Heading3"/>
      </w:pPr>
      <w:r>
        <w:t xml:space="preserve">2.5 Interoperabilidad, LMS y dependencia tecnológica institucional</w:t>
      </w:r>
    </w:p>
    <w:p>
      <w:pPr>
        <w:pStyle w:val="FirstParagraph"/>
      </w:pPr>
      <w:r>
        <w:t xml:space="preserve">Los sistemas de gestión del aprendizaje (LMS) como Moodle, Canvas, Blackboard y Google Classroom se han convertido en infraestructura básica de la educación mediada por tecnología. Su adopción masiva no es educativamente neutral: determina qué tipos de actividades son posibles, qué datos se recopilan, quién los controla y bajo qué supuestos pedagógicos está diseñada la plataforma. Williamson et al. (2020) documentan cómo los LMS corporativos incorporan supuestos conductistas de gestión del aprendizaje (tarea → entrega → calificación) que son difíciles de subvertir sin trabajo técnico adicional.</w:t>
      </w:r>
    </w:p>
    <w:p>
      <w:pPr>
        <w:pStyle w:val="BodyText"/>
      </w:pPr>
      <w:r>
        <w:t xml:space="preserve">La dependencia tecnológica institucional tiene una dimensión geopolítica: las instituciones educativas de América Latina y el Sur Global en general operan con infraestructuras diseñadas por corporaciones del Norte Global, bajo legislaciones de protección de datos que no necesariamente amparan a sus estudiantes, y con modelos de negocio que pueden cambiar las condiciones de servicio unilateralmente (Recio, 2021; Selwyn &amp; Facer, 2014).</w:t>
      </w:r>
    </w:p>
    <w:bookmarkEnd w:id="18"/>
    <w:bookmarkStart w:id="19" w:name="X76bb09e064ade29963331f2bc1ceb70bf7de02b"/>
    <w:p>
      <w:pPr>
        <w:pStyle w:val="Heading3"/>
      </w:pPr>
      <w:r>
        <w:t xml:space="preserve">2.6 Tecnología educativa en contextos del Sur Global</w:t>
      </w:r>
    </w:p>
    <w:p>
      <w:pPr>
        <w:pStyle w:val="FirstParagraph"/>
      </w:pPr>
      <w:r>
        <w:t xml:space="preserve">La investigación en tecnología educativa ha sido producida abrumadoramente en el Norte Global (Estados Unidos, Reino Unido, Australia, Europa occidental) y tiende a universalizarse sin examen de sus condiciones de posibilidad. Warschauer (2003) documentó tempranamente que la brecha digital no es solo de acceso a dispositivos sino de capacidades, contexto y poder. Las políticas de un computador por niño (OLPC) en países de África y América Latina mostraron sistemáticamente que la introducción masiva de tecnología sin cambio pedagógico, formación docente y condiciones institucionales no transforma el aprendizaje.</w:t>
      </w:r>
    </w:p>
    <w:p>
      <w:pPr>
        <w:pStyle w:val="BodyText"/>
      </w:pPr>
      <w:r>
        <w:t xml:space="preserve">Yuk Hui (2016, 2020) propone el concepto de</w:t>
      </w:r>
      <w:r>
        <w:t xml:space="preserve"> </w:t>
      </w:r>
      <w:r>
        <w:rPr>
          <w:i/>
          <w:iCs/>
        </w:rPr>
        <w:t xml:space="preserve">cosmotécnica</w:t>
      </w:r>
      <w:r>
        <w:t xml:space="preserve"> </w:t>
      </w:r>
      <w:r>
        <w:t xml:space="preserve">para argumentar que no existe una tecnología universal: toda tecnología es una expresión particular de una relación entre cosmos y moral, entre una visión del mundo y sus artefactos. La tecnología occidental moderna no es el único modo de relación técnica con el mundo, y su imposición como universal borra y marginaliza otras formas de saber, hacer y relacionarse. Aplicado a la educación, esto sugiere que los marcos de tecnología educativa hegemónicos no pueden simplemente trasplantarse a contextos del Sur Global sin pérdida de su base epistémica.</w:t>
      </w:r>
    </w:p>
    <w:p>
      <w:pPr>
        <w:pStyle w:val="BodyText"/>
      </w:pPr>
      <w:r>
        <w:t xml:space="preserve">Quijano (2000) y la perspectiva decolonial ofrecen el marco más amplio: la colonialidad del poder no es solo política o económica; es epistemológica. La colonialidad del saber opera en tecnología educativa cuando los marcos teóricos, los estándares de evaluación, los modelos de aprendizaje y las plataformas digitales que circulan en América Latina provienen invariablemente del Norte y se aplican como si fueran universales, invisibilizando saberes locales, condiciones materiales concretas y agendas formativas propias.</w:t>
      </w:r>
    </w:p>
    <w:p>
      <w:r>
        <w:pict>
          <v:rect style="width:0;height:1.5pt" o:hralign="center" o:hrstd="t" o:hr="t"/>
        </w:pict>
      </w:r>
    </w:p>
    <w:bookmarkEnd w:id="19"/>
    <w:bookmarkEnd w:id="20"/>
    <w:bookmarkStart w:id="26" w:name="vacíos-tensiones-y-disputas-irresueltas"/>
    <w:p>
      <w:pPr>
        <w:pStyle w:val="Heading2"/>
      </w:pPr>
      <w:r>
        <w:t xml:space="preserve">3. Vacíos, Tensiones y Disputas Irresueltas</w:t>
      </w:r>
    </w:p>
    <w:bookmarkStart w:id="21" w:name="lo-que-el-campo-no-sabe-con-certeza"/>
    <w:p>
      <w:pPr>
        <w:pStyle w:val="Heading3"/>
      </w:pPr>
      <w:r>
        <w:t xml:space="preserve">3.1 Lo que el campo no sabe con certeza</w:t>
      </w:r>
    </w:p>
    <w:p>
      <w:pPr>
        <w:pStyle w:val="FirstParagraph"/>
      </w:pPr>
      <w:r>
        <w:t xml:space="preserve">A pesar de décadas de investigación y volúmenes crecientes de producción académica, la tecnología educativa acumula vacíos significativos:</w:t>
      </w:r>
    </w:p>
    <w:p>
      <w:pPr>
        <w:pStyle w:val="Compact"/>
        <w:numPr>
          <w:ilvl w:val="0"/>
          <w:numId w:val="1001"/>
        </w:numPr>
      </w:pPr>
      <w:r>
        <w:rPr>
          <w:b/>
          <w:bCs/>
        </w:rPr>
        <w:t xml:space="preserve">Efectos de largo plazo:</w:t>
      </w:r>
      <w:r>
        <w:t xml:space="preserve"> </w:t>
      </w:r>
      <w:r>
        <w:t xml:space="preserve">La mayor parte de la investigación sobre tecnología en educación mide efectos a corto plazo (semanas, un semestre). Hay escasez notable de estudios longitudinales sobre efectos del aprendizaje mediado por tecnología en el desarrollo cognitivo, la identidad intelectual y la ciudadanía de los sujetos a lo largo de años o décadas.</w:t>
      </w:r>
    </w:p>
    <w:p>
      <w:pPr>
        <w:pStyle w:val="Compact"/>
        <w:numPr>
          <w:ilvl w:val="0"/>
          <w:numId w:val="1001"/>
        </w:numPr>
      </w:pPr>
      <w:r>
        <w:rPr>
          <w:b/>
          <w:bCs/>
        </w:rPr>
        <w:t xml:space="preserve">Transferencia y generalización:</w:t>
      </w:r>
      <w:r>
        <w:t xml:space="preserve"> </w:t>
      </w:r>
      <w:r>
        <w:t xml:space="preserve">Los estudios de eficacia de herramientas y plataformas específicas rara vez se replican con fidelidad suficiente en contextos distintos. La transferibilidad de resultados entre sistemas educativos, culturas y condiciones de infraestructura es muy limitada.</w:t>
      </w:r>
    </w:p>
    <w:p>
      <w:pPr>
        <w:pStyle w:val="Compact"/>
        <w:numPr>
          <w:ilvl w:val="0"/>
          <w:numId w:val="1001"/>
        </w:numPr>
      </w:pPr>
      <w:r>
        <w:rPr>
          <w:b/>
          <w:bCs/>
        </w:rPr>
        <w:t xml:space="preserve">Efectos del aprendizaje analítico sobre la subjetividad:</w:t>
      </w:r>
      <w:r>
        <w:t xml:space="preserve"> </w:t>
      </w:r>
      <w:r>
        <w:t xml:space="preserve">Hay investigación inicial sobre cómo los sistemas de analítica del aprendizaje afectan el comportamiento de los estudiantes (Ifenthaler &amp; Schumacher, 2016), pero es insuficiente para comprender sus efectos sobre la autonomía epistémica, la autorregulación genuina y la formación de identidad intelectual.</w:t>
      </w:r>
    </w:p>
    <w:p>
      <w:pPr>
        <w:pStyle w:val="Compact"/>
        <w:numPr>
          <w:ilvl w:val="0"/>
          <w:numId w:val="1001"/>
        </w:numPr>
      </w:pPr>
      <w:r>
        <w:rPr>
          <w:b/>
          <w:bCs/>
        </w:rPr>
        <w:t xml:space="preserve">IA generativa:</w:t>
      </w:r>
      <w:r>
        <w:t xml:space="preserve"> </w:t>
      </w:r>
      <w:r>
        <w:t xml:space="preserve">El campo apenas comienza a producir investigación empírica rigurosa sobre los efectos del uso de LLMs en el aprendizaje, la escritura académica, el pensamiento crítico y la evaluación. La mayor parte del discurso disponible en 2024-2025 es normativo o especulativo.</w:t>
      </w:r>
    </w:p>
    <w:bookmarkEnd w:id="21"/>
    <w:bookmarkStart w:id="22" w:name="X1ef89320a253f40b1d8c76a7f1ecb9a84e41a2d"/>
    <w:p>
      <w:pPr>
        <w:pStyle w:val="Heading3"/>
      </w:pPr>
      <w:r>
        <w:t xml:space="preserve">3.2 Brechas entre investigación, política y práctica</w:t>
      </w:r>
    </w:p>
    <w:p>
      <w:pPr>
        <w:pStyle w:val="FirstParagraph"/>
      </w:pPr>
      <w:r>
        <w:t xml:space="preserve">Esta es una de las tensiones estructurales más documentadas del campo. Existe un corpus robusto de investigación crítica sobre los riesgos de la plataformización, la analítica de datos, la gamificación superficial y la IA en educación. Sin embargo, las políticas educativas nacionales e institucionales suelen ignorar este corpus o incorporarlo de manera decorativa mientras avanzan en la adopción tecnológica acrítica. Facer y Selwyn (2021) argumentan que esta brecha no es un problema de comunicación científica sino de intereses: los actores que financian la política educativa en tecnología son, en muchos casos, los mismos que venden las plataformas y los sistemas que esa política adopta.</w:t>
      </w:r>
    </w:p>
    <w:bookmarkEnd w:id="22"/>
    <w:bookmarkStart w:id="23" w:name="X86881b2fd7baada156b11df1f6abe7491907e2e"/>
    <w:p>
      <w:pPr>
        <w:pStyle w:val="Heading3"/>
      </w:pPr>
      <w:r>
        <w:t xml:space="preserve">3.3 Tensiones entre autonomía del sujeto y optimización algorítmica</w:t>
      </w:r>
    </w:p>
    <w:p>
      <w:pPr>
        <w:pStyle w:val="FirstParagraph"/>
      </w:pPr>
      <w:r>
        <w:t xml:space="preserve">La lógica de los sistemas adaptativos de aprendizaje —que ajustan el contenido, el ritmo y la evaluación al perfil predictivo de cada estudiante— produce una forma de personalización que puede ser profundamente deshabilitante. Biesta (2015) distingue entre tres funciones de la educación: cualificación (transmisión de conocimiento y habilidades), socialización (incorporación a órdenes normativos) y subjetivación (formación del sujeto como sujeto, como agente libre y responsable). Los sistemas de optimización algorítmica son eficaces para la primera función, moderadamente relevantes para la segunda y potencialmente contraproducentes para la tercera, que es precisamente la función más importante de la educación doctoral.</w:t>
      </w:r>
    </w:p>
    <w:bookmarkEnd w:id="23"/>
    <w:bookmarkStart w:id="24" w:name="X47d5f5fc71f209bbb4ef67e3bac5247912b3f64"/>
    <w:p>
      <w:pPr>
        <w:pStyle w:val="Heading3"/>
      </w:pPr>
      <w:r>
        <w:t xml:space="preserve">3.4 Conflicto entre pedagogía crítica y ed-tech corporativa</w:t>
      </w:r>
    </w:p>
    <w:p>
      <w:pPr>
        <w:pStyle w:val="FirstParagraph"/>
      </w:pPr>
      <w:r>
        <w:t xml:space="preserve">El mercado de ed-tech opera con lógicas de diseño centradas en la retención del usuario, la gamificación del aprendizaje, la simplificación de contenidos y la maximización del tiempo en plataforma, que son exactamente las lógicas opuestas a las de la formación doctoral crítica (complejidad, densidad teórica, incomodidad epistémica, pensamiento de largo plazo). Esta contradicción no es accidental: responde a modelos de negocio estructuralmente incompatibles con las misiones de la educación superior crítica.</w:t>
      </w:r>
    </w:p>
    <w:bookmarkEnd w:id="24"/>
    <w:bookmarkStart w:id="25" w:name="sobrepromesa-y-silencio-investigativo"/>
    <w:p>
      <w:pPr>
        <w:pStyle w:val="Heading3"/>
      </w:pPr>
      <w:r>
        <w:t xml:space="preserve">3.5 Sobrepromesa y silencio investigativo</w:t>
      </w:r>
    </w:p>
    <w:p>
      <w:pPr>
        <w:pStyle w:val="FirstParagraph"/>
      </w:pPr>
      <w:r>
        <w:t xml:space="preserve">Hay áreas donde la promesa supera consistentemente la evidencia: IA generativa como tutor personal, VR/AR como experiencia transformadora, analítica de aprendizaje como predictor confiable del éxito académico. Y hay áreas donde el silencio investigativo es sintomático: efectos de los LMS en la desprofesionalización docente en el Sur Global, impactos de la dependencia tecnológica institucional en la autonomía pedagógica, consecuencias del capitalismo de vigilancia en la formación de la subjetividad estudiantil.</w:t>
      </w:r>
    </w:p>
    <w:p>
      <w:r>
        <w:pict>
          <v:rect style="width:0;height:1.5pt" o:hralign="center" o:hrstd="t" o:hr="t"/>
        </w:pict>
      </w:r>
    </w:p>
    <w:bookmarkEnd w:id="25"/>
    <w:bookmarkEnd w:id="26"/>
    <w:bookmarkStart w:id="32" w:name="cinco-nodos-de-problematización-doctoral"/>
    <w:p>
      <w:pPr>
        <w:pStyle w:val="Heading2"/>
      </w:pPr>
      <w:r>
        <w:t xml:space="preserve">4. Cinco Nodos de Problematización Doctoral</w:t>
      </w:r>
    </w:p>
    <w:bookmarkStart w:id="27" w:name="Xf3d43268a7c58b5ae3599744dcd43d69681ccf4"/>
    <w:p>
      <w:pPr>
        <w:pStyle w:val="Heading3"/>
      </w:pPr>
      <w:r>
        <w:t xml:space="preserve">Nodo 1: La historia como advertencia epistémica — promesas incumplidas y racionalidad tecnológica en educación</w:t>
      </w:r>
    </w:p>
    <w:p>
      <w:pPr>
        <w:pStyle w:val="FirstParagraph"/>
      </w:pPr>
      <w:r>
        <w:rPr>
          <w:b/>
          <w:bCs/>
        </w:rPr>
        <w:t xml:space="preserve">Problema central:</w:t>
      </w:r>
      <w:r>
        <w:t xml:space="preserve"> </w:t>
      </w:r>
      <w:r>
        <w:t xml:space="preserve">La tecnología educativa tiene una historia documentada de promesas de transformación radical seguidas de resultados modestos, absorción institucional o fracaso. ¿Qué estructura de racionalidad sostiene esta repetición? ¿Por qué el campo continúa operando bajo el supuesto de que la siguiente tecnología logrará lo que las anteriores no pudieron?</w:t>
      </w:r>
    </w:p>
    <w:p>
      <w:pPr>
        <w:pStyle w:val="BodyText"/>
      </w:pPr>
      <w:r>
        <w:rPr>
          <w:b/>
          <w:bCs/>
        </w:rPr>
        <w:t xml:space="preserve">Desarrollo:</w:t>
      </w:r>
      <w:r>
        <w:t xml:space="preserve"> </w:t>
      </w:r>
      <w:r>
        <w:t xml:space="preserve">Cuban (1986, 2001) documentó con evidencia empírica el patrón: radio, cine, televisión, laboratorio de lenguas, computadores personales, internet, MOOCs, y ahora IA generativa —cada uno presentado como revolución inevitable, cada uno absorbido sin transformar la práctica educativa de base. Watters (2021) profundiza en la dimensión ideológica: las narrativas de innovación tecnológica en educación no son inocentes; reproducen un imaginario del progreso lineal, la eficiencia como valor supremo y la tecnología como agente de modernización que tiene raíces en el movimiento de administración científica de principios del siglo XX. Selwyn (2011) señala que el campo de la tecnología educativa ha producido un corpus de investigación que tiende a confirmar las promesas más que a examinarlas críticamente, en parte porque el financiamiento de la investigación proviene frecuentemente de los mismos actores que desarrollan las tecnologías analizadas. La pregunta doctoral que emerge es: ¿qué epistemología del campo permite que este patrón se repita indefinidamente y qué formas de conocimiento serían necesarias para interrumpirlo?</w:t>
      </w:r>
    </w:p>
    <w:p>
      <w:pPr>
        <w:pStyle w:val="BodyText"/>
      </w:pPr>
      <w:r>
        <w:rPr>
          <w:b/>
          <w:bCs/>
        </w:rPr>
        <w:t xml:space="preserve">Evidencia de soporte:</w:t>
      </w:r>
      <w:r>
        <w:t xml:space="preserve"> </w:t>
      </w:r>
      <w:r>
        <w:t xml:space="preserve">Cuban (1986, 2001); Watters (2021); Selwyn (2011, 2019); Roszak (1986).</w:t>
      </w:r>
    </w:p>
    <w:p>
      <w:pPr>
        <w:pStyle w:val="BodyText"/>
      </w:pPr>
      <w:r>
        <w:rPr>
          <w:b/>
          <w:bCs/>
        </w:rPr>
        <w:t xml:space="preserve">Línea DEDCP dominante:</w:t>
      </w:r>
      <w:r>
        <w:t xml:space="preserve"> </w:t>
      </w:r>
      <w:r>
        <w:t xml:space="preserve">Tecnológica e Instrumental (con articulaciones hacia Filosófica y de Investigación).</w:t>
      </w:r>
    </w:p>
    <w:p>
      <w:pPr>
        <w:pStyle w:val="BodyText"/>
      </w:pPr>
      <w:r>
        <w:rPr>
          <w:b/>
          <w:bCs/>
        </w:rPr>
        <w:t xml:space="preserve">Implicación curricular:</w:t>
      </w:r>
      <w:r>
        <w:t xml:space="preserve"> </w:t>
      </w:r>
      <w:r>
        <w:t xml:space="preserve">Este nodo debe ser el eje epistemológico de apertura de la asignatura. Sitúa al doctorante no como consumidor de marcos y herramientas sino como investigador capaz de interrogar la historia y la epistemología del campo que estudia.</w:t>
      </w:r>
    </w:p>
    <w:p>
      <w:pPr>
        <w:pStyle w:val="BodyText"/>
      </w:pPr>
      <w:r>
        <w:rPr>
          <w:b/>
          <w:bCs/>
        </w:rPr>
        <w:t xml:space="preserve">Competencias potencialmente afectadas:</w:t>
      </w:r>
      <w:r>
        <w:t xml:space="preserve"> </w:t>
      </w:r>
      <w:r>
        <w:t xml:space="preserve">Análisis historiográfico y epistemológico del campo; lectura crítica de evidencia; desnaturalización de narrativas de innovación tecnológica.</w:t>
      </w:r>
    </w:p>
    <w:p>
      <w:pPr>
        <w:pStyle w:val="BodyText"/>
      </w:pPr>
      <w:r>
        <w:rPr>
          <w:b/>
          <w:bCs/>
        </w:rPr>
        <w:t xml:space="preserve">Producto académico plausible:</w:t>
      </w:r>
      <w:r>
        <w:t xml:space="preserve"> </w:t>
      </w:r>
      <w:r>
        <w:t xml:space="preserve">Ensayo de crítica historiográfica: análisis de una promesa tecnológica específica (e-learning, MOOCs, IA generativa) a la luz del patrón documentado por Cuban y Watters, con implicaciones para la investigación doctoral propia.</w:t>
      </w:r>
    </w:p>
    <w:p>
      <w:pPr>
        <w:pStyle w:val="BodyText"/>
      </w:pPr>
      <w:r>
        <w:rPr>
          <w:b/>
          <w:bCs/>
        </w:rPr>
        <w:t xml:space="preserve">Riesgo de instrumentalización:</w:t>
      </w:r>
      <w:r>
        <w:t xml:space="preserve"> </w:t>
      </w:r>
      <w:r>
        <w:t xml:space="preserve">Reducir el nodo a una lista de</w:t>
      </w:r>
      <w:r>
        <w:t xml:space="preserve"> </w:t>
      </w:r>
      <w:r>
        <w:t xml:space="preserve">“fracasos tecnológicos”</w:t>
      </w:r>
      <w:r>
        <w:t xml:space="preserve"> </w:t>
      </w:r>
      <w:r>
        <w:t xml:space="preserve">sin interrogar la estructura de racionalidad que los produce, dejando intacta la creencia en que la</w:t>
      </w:r>
      <w:r>
        <w:t xml:space="preserve"> </w:t>
      </w:r>
      <w:r>
        <w:t xml:space="preserve">“próxima”</w:t>
      </w:r>
      <w:r>
        <w:t xml:space="preserve"> </w:t>
      </w:r>
      <w:r>
        <w:t xml:space="preserve">tecnología será diferente.</w:t>
      </w:r>
    </w:p>
    <w:p>
      <w:pPr>
        <w:pStyle w:val="BodyText"/>
      </w:pPr>
      <w:r>
        <w:rPr>
          <w:b/>
          <w:bCs/>
        </w:rPr>
        <w:t xml:space="preserve">Justificación de singularidad:</w:t>
      </w:r>
      <w:r>
        <w:t xml:space="preserve"> </w:t>
      </w:r>
      <w:r>
        <w:t xml:space="preserve">Es el único nodo de carácter historiográfico y epistemológico del campo como tal. Los otros cuatro abordan tensiones del presente o perspectivas alternativas, no la genealogía de la racionalidad del campo.</w:t>
      </w:r>
    </w:p>
    <w:p>
      <w:r>
        <w:pict>
          <v:rect style="width:0;height:1.5pt" o:hralign="center" o:hrstd="t" o:hr="t"/>
        </w:pict>
      </w:r>
    </w:p>
    <w:bookmarkEnd w:id="27"/>
    <w:bookmarkStart w:id="28" w:name="Xf7bd489ec96945755d44b991c2bbb24e325465c"/>
    <w:p>
      <w:pPr>
        <w:pStyle w:val="Heading3"/>
      </w:pPr>
      <w:r>
        <w:t xml:space="preserve">Nodo 2: La plataforma como régimen de gobernanza educativa — poder, datos y soberanía pedagógica</w:t>
      </w:r>
    </w:p>
    <w:p>
      <w:pPr>
        <w:pStyle w:val="FirstParagraph"/>
      </w:pPr>
      <w:r>
        <w:rPr>
          <w:b/>
          <w:bCs/>
        </w:rPr>
        <w:t xml:space="preserve">Problema central:</w:t>
      </w:r>
      <w:r>
        <w:t xml:space="preserve"> </w:t>
      </w:r>
      <w:r>
        <w:t xml:space="preserve">Las plataformas digitales educativas no son herramientas neutrales de gestión del aprendizaje. Son infraestructuras políticas y económicas que organizan, capturan, clasifican y monetizan la experiencia educativa. ¿En qué medida las instituciones educativas del Sur Global han cedido soberanía pedagógica al adoptar plataformas diseñadas bajo lógicas ajenas a sus misiones formativas?</w:t>
      </w:r>
    </w:p>
    <w:p>
      <w:pPr>
        <w:pStyle w:val="BodyText"/>
      </w:pPr>
      <w:r>
        <w:rPr>
          <w:b/>
          <w:bCs/>
        </w:rPr>
        <w:t xml:space="preserve">Desarrollo:</w:t>
      </w:r>
      <w:r>
        <w:t xml:space="preserve"> </w:t>
      </w:r>
      <w:r>
        <w:t xml:space="preserve">Williamson (2017) analiza cómo el mercado de ed-tech opera como un régimen de gobernanza que redefine qué cuenta como aprendizaje, qué es evaluar, quién puede enseñar y cómo se organiza el tiempo y el espacio educativo —todo ello bajo la apariencia de neutralidad técnica. Van Dijck, Poell &amp; de Waal (2018) describen la plataformización como el proceso por el cual sectores enteros de la vida social se reorganizan en torno a la lógica de mercados de doble cara, captura de datos y efectos de red. Zuboff (2019) añade la dimensión del capitalismo de vigilancia: la experiencia de los usuarios —incluidos los estudiantes— es materia prima para la construcción de modelos predictivos con valor comercial. La pregunta doctoral es: cuando una institución adopta un LMS corporativo, ¿qué pedagogía está implícitamente adoptando?, ¿qué datos está cediendo?, ¿qué autonomía está resignando? Y más estructuralmente: ¿es posible la soberanía pedagógica en el actual ecosistema de plataformas, o es esa una utopía que encubre la naturaleza del problema?</w:t>
      </w:r>
    </w:p>
    <w:p>
      <w:pPr>
        <w:pStyle w:val="BodyText"/>
      </w:pPr>
      <w:r>
        <w:rPr>
          <w:b/>
          <w:bCs/>
        </w:rPr>
        <w:t xml:space="preserve">Evidencia de soporte:</w:t>
      </w:r>
      <w:r>
        <w:t xml:space="preserve"> </w:t>
      </w:r>
      <w:r>
        <w:t xml:space="preserve">Williamson (2017, 2019); van Dijck et al. (2018); Zuboff (2019); Noble (2018); Eubanks (2018).</w:t>
      </w:r>
    </w:p>
    <w:p>
      <w:pPr>
        <w:pStyle w:val="BodyText"/>
      </w:pPr>
      <w:r>
        <w:rPr>
          <w:b/>
          <w:bCs/>
        </w:rPr>
        <w:t xml:space="preserve">Línea DEDCP dominante:</w:t>
      </w:r>
      <w:r>
        <w:t xml:space="preserve"> </w:t>
      </w:r>
      <w:r>
        <w:t xml:space="preserve">Tecnológica e Instrumental (con articulaciones hacia Filosófica y Sociológica).</w:t>
      </w:r>
    </w:p>
    <w:p>
      <w:pPr>
        <w:pStyle w:val="BodyText"/>
      </w:pPr>
      <w:r>
        <w:rPr>
          <w:b/>
          <w:bCs/>
        </w:rPr>
        <w:t xml:space="preserve">Implicación curricular:</w:t>
      </w:r>
      <w:r>
        <w:t xml:space="preserve"> </w:t>
      </w:r>
      <w:r>
        <w:t xml:space="preserve">Este nodo requiere que el diseño de la asignatura incorpore análisis de arquitecturas de plataforma y modelos de gobernanza de datos como objetos de estudio y no solo como herramientas de entrega de contenido.</w:t>
      </w:r>
    </w:p>
    <w:p>
      <w:pPr>
        <w:pStyle w:val="BodyText"/>
      </w:pPr>
      <w:r>
        <w:rPr>
          <w:b/>
          <w:bCs/>
        </w:rPr>
        <w:t xml:space="preserve">Competencias potencialmente afectadas:</w:t>
      </w:r>
      <w:r>
        <w:t xml:space="preserve"> </w:t>
      </w:r>
      <w:r>
        <w:t xml:space="preserve">Análisis crítico de infraestructuras tecnológicas; comprensión de modelos de negocio ed-tech; capacidad para evaluar decisiones institucionales de adopción tecnológica desde una perspectiva de justicia de datos.</w:t>
      </w:r>
    </w:p>
    <w:p>
      <w:pPr>
        <w:pStyle w:val="BodyText"/>
      </w:pPr>
      <w:r>
        <w:rPr>
          <w:b/>
          <w:bCs/>
        </w:rPr>
        <w:t xml:space="preserve">Producto académico plausible:</w:t>
      </w:r>
      <w:r>
        <w:t xml:space="preserve"> </w:t>
      </w:r>
      <w:r>
        <w:t xml:space="preserve">Análisis de gobernanza de un LMS o plataforma educativa específica: arquitectura de datos, modelo de negocio, supuestos pedagógicos incorporados en el diseño, implicaciones para la soberanía institucional y el aprendizaje del estudiante.</w:t>
      </w:r>
    </w:p>
    <w:p>
      <w:pPr>
        <w:pStyle w:val="BodyText"/>
      </w:pPr>
      <w:r>
        <w:rPr>
          <w:b/>
          <w:bCs/>
        </w:rPr>
        <w:t xml:space="preserve">Riesgo de instrumentalización:</w:t>
      </w:r>
      <w:r>
        <w:t xml:space="preserve"> </w:t>
      </w:r>
      <w:r>
        <w:t xml:space="preserve">Reducir el análisis a</w:t>
      </w:r>
      <w:r>
        <w:t xml:space="preserve"> </w:t>
      </w:r>
      <w:r>
        <w:t xml:space="preserve">“cómo proteger la privacidad de los datos”</w:t>
      </w:r>
      <w:r>
        <w:t xml:space="preserve"> </w:t>
      </w:r>
      <w:r>
        <w:t xml:space="preserve">sin interrogar la estructura política y económica de las plataformas como tal.</w:t>
      </w:r>
    </w:p>
    <w:p>
      <w:pPr>
        <w:pStyle w:val="BodyText"/>
      </w:pPr>
      <w:r>
        <w:rPr>
          <w:b/>
          <w:bCs/>
        </w:rPr>
        <w:t xml:space="preserve">Justificación de singularidad:</w:t>
      </w:r>
      <w:r>
        <w:t xml:space="preserve"> </w:t>
      </w:r>
      <w:r>
        <w:t xml:space="preserve">Focaliza la dimensión político-económica e infraestructural del ecosistema tecnológico educativo, distinto del Nodo 3 que focaliza la subjetividad pedagógica, y del Nodo 4 que focaliza las epistemologías situadas del Sur Global.</w:t>
      </w:r>
    </w:p>
    <w:p>
      <w:r>
        <w:pict>
          <v:rect style="width:0;height:1.5pt" o:hralign="center" o:hrstd="t" o:hr="t"/>
        </w:pict>
      </w:r>
    </w:p>
    <w:bookmarkEnd w:id="28"/>
    <w:bookmarkStart w:id="29" w:name="X65aa8f3c931455b9454624e5065a409a489bf35"/>
    <w:p>
      <w:pPr>
        <w:pStyle w:val="Heading3"/>
      </w:pPr>
      <w:r>
        <w:t xml:space="preserve">Nodo 3: El sujeto que aprende frente al sistema que predice — IA, agencia pedagógica y formación del juicio</w:t>
      </w:r>
    </w:p>
    <w:p>
      <w:pPr>
        <w:pStyle w:val="FirstParagraph"/>
      </w:pPr>
      <w:r>
        <w:rPr>
          <w:b/>
          <w:bCs/>
        </w:rPr>
        <w:t xml:space="preserve">Problema central:</w:t>
      </w:r>
      <w:r>
        <w:t xml:space="preserve"> </w:t>
      </w:r>
      <w:r>
        <w:t xml:space="preserve">Los sistemas de inteligencia artificial en educación —desde la analítica de aprendizaje hasta los LLMs— operan bajo una lógica predictiva que define al estudiante como patrón estadístico, no como sujeto en formación. ¿Qué queda de la agencia epistémica, la autoría intelectual y la subjetivación pedagógica cuando el sistema anticipa, recomienda, evalúa y retroalimenta antes de que el estudiante haya tenido tiempo de pensar?</w:t>
      </w:r>
    </w:p>
    <w:p>
      <w:pPr>
        <w:pStyle w:val="BodyText"/>
      </w:pPr>
      <w:r>
        <w:rPr>
          <w:b/>
          <w:bCs/>
        </w:rPr>
        <w:t xml:space="preserve">Desarrollo:</w:t>
      </w:r>
      <w:r>
        <w:t xml:space="preserve"> </w:t>
      </w:r>
      <w:r>
        <w:t xml:space="preserve">Biesta (2015, 2022) ofrece el argumento filosófico más riguroso: la educación no es optimización de resultados sino exposición del sujeto a lo que le exige transformarse. Un sistema que elimina la fricción, anticipa el error y personaliza el camino en función del perfil previo del estudiante puede mejorar el rendimiento medible pero erosiona la condición de posibilidad de la formación como tal. Holmes et al. (2022, 2023) documentan los riesgos de la IA en educación incluyendo la dependencia epistémica, el sesgo cultural de los modelos y la opacidad de los sistemas de evaluación automatizada. Selwyn (2019) señala que la narrativa de la personalización mediante IA invisibiliza una pregunta política crucial: ¿quién define qué tipo de sujeto debe producir el sistema educativo y qué valores encarna ese perfil? La IA no personaliza en el vacío: personaliza en función de un perfil de éxito construido a partir de datos históricos que reproducen las desigualdades del pasado. La pregunta doctoral que emerge es: ¿puede la IA generativa ser integrada en la formación doctoral sin comprometer la autoría intelectual, la incomodidad epistémica y el desarrollo del juicio crítico que son su razón de ser?</w:t>
      </w:r>
    </w:p>
    <w:p>
      <w:pPr>
        <w:pStyle w:val="BodyText"/>
      </w:pPr>
      <w:r>
        <w:rPr>
          <w:b/>
          <w:bCs/>
        </w:rPr>
        <w:t xml:space="preserve">Evidencia de soporte:</w:t>
      </w:r>
      <w:r>
        <w:t xml:space="preserve"> </w:t>
      </w:r>
      <w:r>
        <w:t xml:space="preserve">Biesta (2015, 2022); Holmes et al. (2022, 2023); Selwyn (2019); Han (2014); Williamson (2017).</w:t>
      </w:r>
    </w:p>
    <w:p>
      <w:pPr>
        <w:pStyle w:val="BodyText"/>
      </w:pPr>
      <w:r>
        <w:rPr>
          <w:b/>
          <w:bCs/>
        </w:rPr>
        <w:t xml:space="preserve">Línea DEDCP dominante:</w:t>
      </w:r>
      <w:r>
        <w:t xml:space="preserve"> </w:t>
      </w:r>
      <w:r>
        <w:t xml:space="preserve">Tecnológica e Instrumental (con articulaciones hacia Teórico-Pedagógica y Filosófica).</w:t>
      </w:r>
    </w:p>
    <w:p>
      <w:pPr>
        <w:pStyle w:val="BodyText"/>
      </w:pPr>
      <w:r>
        <w:rPr>
          <w:b/>
          <w:bCs/>
        </w:rPr>
        <w:t xml:space="preserve">Implicación curricular:</w:t>
      </w:r>
      <w:r>
        <w:t xml:space="preserve"> </w:t>
      </w:r>
      <w:r>
        <w:t xml:space="preserve">Este nodo es el más directamente relevante para la experiencia formativa del doctorado en el presente. Requiere que la asignatura establezca una posición clara y fundamentada sobre el uso de IA en el trabajo doctoral, no como política de prohibición o permiso, sino como objeto de análisis filosófico y pedagógico.</w:t>
      </w:r>
    </w:p>
    <w:p>
      <w:pPr>
        <w:pStyle w:val="BodyText"/>
      </w:pPr>
      <w:r>
        <w:rPr>
          <w:b/>
          <w:bCs/>
        </w:rPr>
        <w:t xml:space="preserve">Competencias potencialmente afectadas:</w:t>
      </w:r>
      <w:r>
        <w:t xml:space="preserve"> </w:t>
      </w:r>
      <w:r>
        <w:t xml:space="preserve">Reflexión filosófica sobre la subjetividad epistémica en entornos con IA; análisis de sistemas de tutoría inteligente y analítica de aprendizaje; toma de posición argumentada sobre el uso responsable de IA en investigación doctoral.</w:t>
      </w:r>
    </w:p>
    <w:p>
      <w:pPr>
        <w:pStyle w:val="BodyText"/>
      </w:pPr>
      <w:r>
        <w:rPr>
          <w:b/>
          <w:bCs/>
        </w:rPr>
        <w:t xml:space="preserve">Producto académico plausible:</w:t>
      </w:r>
      <w:r>
        <w:t xml:space="preserve"> </w:t>
      </w:r>
      <w:r>
        <w:t xml:space="preserve">Ensayo filosófico-empírico: análisis de un caso de integración de IA en educación superior (un LLM como tutor, un sistema de analítica de aprendizaje) desde la perspectiva de la agencia pedagógica y la subjetivación, con propuesta de criterios doctorales para el uso responsable de IA en investigación.</w:t>
      </w:r>
    </w:p>
    <w:p>
      <w:pPr>
        <w:pStyle w:val="BodyText"/>
      </w:pPr>
      <w:r>
        <w:rPr>
          <w:b/>
          <w:bCs/>
        </w:rPr>
        <w:t xml:space="preserve">Riesgo de instrumentalización:</w:t>
      </w:r>
      <w:r>
        <w:t xml:space="preserve"> </w:t>
      </w:r>
      <w:r>
        <w:t xml:space="preserve">Reducir el nodo a un debate sobre plagio académico y detección de texto generado por IA, perdiendo la profundidad filosófica del problema.</w:t>
      </w:r>
    </w:p>
    <w:p>
      <w:pPr>
        <w:pStyle w:val="BodyText"/>
      </w:pPr>
      <w:r>
        <w:rPr>
          <w:b/>
          <w:bCs/>
        </w:rPr>
        <w:t xml:space="preserve">Justificación de singularidad:</w:t>
      </w:r>
      <w:r>
        <w:t xml:space="preserve"> </w:t>
      </w:r>
      <w:r>
        <w:t xml:space="preserve">Focaliza la subjetividad del aprendiente y la pregunta por la agencia pedagógica, distinto del Nodo 2 (que focaliza la gobernanza de plataformas) y del Nodo 5 (que focaliza la crítica epistemológica de los marcos teóricos del campo).</w:t>
      </w:r>
    </w:p>
    <w:p>
      <w:r>
        <w:pict>
          <v:rect style="width:0;height:1.5pt" o:hralign="center" o:hrstd="t" o:hr="t"/>
        </w:pict>
      </w:r>
    </w:p>
    <w:bookmarkEnd w:id="29"/>
    <w:bookmarkStart w:id="30" w:name="X14201fb35afd5c55316917ba799232974eae59f"/>
    <w:p>
      <w:pPr>
        <w:pStyle w:val="Heading3"/>
      </w:pPr>
      <w:r>
        <w:t xml:space="preserve">Nodo 4: Soberanía tecnológica, epistemologías situadas y el Sur Global — ¿existe una tecnología educativa latinoamericana?</w:t>
      </w:r>
    </w:p>
    <w:p>
      <w:pPr>
        <w:pStyle w:val="FirstParagraph"/>
      </w:pPr>
      <w:r>
        <w:rPr>
          <w:b/>
          <w:bCs/>
        </w:rPr>
        <w:t xml:space="preserve">Problema central:</w:t>
      </w:r>
      <w:r>
        <w:t xml:space="preserve"> </w:t>
      </w:r>
      <w:r>
        <w:t xml:space="preserve">Los marcos teóricos dominantes de la tecnología educativa —TPACK, SAMR, conectivismo, aprendizaje adaptativo— fueron producidos en el Norte Global y se aplican en América Latina como universales. ¿Qué formas de conocimiento, experiencia y práctica educativa quedan invisibilizadas por esta universalización? ¿Es posible una tecnología educativa desde el Sur, y qué implicaría producirla?</w:t>
      </w:r>
    </w:p>
    <w:p>
      <w:pPr>
        <w:pStyle w:val="BodyText"/>
      </w:pPr>
      <w:r>
        <w:rPr>
          <w:b/>
          <w:bCs/>
        </w:rPr>
        <w:t xml:space="preserve">Desarrollo:</w:t>
      </w:r>
      <w:r>
        <w:t xml:space="preserve"> </w:t>
      </w:r>
      <w:r>
        <w:t xml:space="preserve">Yuk Hui (2016) argumenta desde la filosofía de la tecnología que no existe una tecnología universal: toda tecnología expresa una relación particular entre cosmos y moral, una cosmovisión que no puede separarse de sus artefactos. La hegemonía de la tecnología occidental moderna no es el resultado de su superioridad epistémica sino de la historia del colonialismo y el capitalismo global. Quijano (2000) y Mignolo (2011) desarrollan la colonialidad del saber como estructura que legitima ciertos conocimientos (los producidos en el Norte, en lenguas europeas, con métodos occidentales) e invisibiliza otros. Aplicado a tecnología educativa, esto significa que la investigación latinoamericana sobre el campo ha tendido a replicar los marcos norteamericanos y europeos, a importar plataformas diseñadas bajo otros supuestos culturales y a medir su</w:t>
      </w:r>
      <w:r>
        <w:t xml:space="preserve"> </w:t>
      </w:r>
      <w:r>
        <w:t xml:space="preserve">“éxito”</w:t>
      </w:r>
      <w:r>
        <w:t xml:space="preserve"> </w:t>
      </w:r>
      <w:r>
        <w:t xml:space="preserve">con los mismos indicadores. Freire (1970), aunque previo a la era digital, ofrece la gramática crítica fundamental: toda práctica educativa que no parte de la realidad del educando es dominación, incluso cuando se presenta como empoderamiento tecnológico. La pregunta doctoral es: ¿qué implica diseñar tecnología educativa desde condiciones materiales de brecha de infraestructura, multilingüismo, diversidad cultural y epistemologías no occidentales? ¿Cómo se articula la investigación doctoral latinoamericana con un campo producido hegemónicamente en el Norte?</w:t>
      </w:r>
    </w:p>
    <w:p>
      <w:pPr>
        <w:pStyle w:val="BodyText"/>
      </w:pPr>
      <w:r>
        <w:rPr>
          <w:b/>
          <w:bCs/>
        </w:rPr>
        <w:t xml:space="preserve">Evidencia de soporte:</w:t>
      </w:r>
      <w:r>
        <w:t xml:space="preserve"> </w:t>
      </w:r>
      <w:r>
        <w:t xml:space="preserve">Yuk Hui (2016, 2020); Quijano (2000); Mignolo (2011); Freire (1970); Warschauer (2003); Recio (2021).</w:t>
      </w:r>
    </w:p>
    <w:p>
      <w:pPr>
        <w:pStyle w:val="BodyText"/>
      </w:pPr>
      <w:r>
        <w:rPr>
          <w:b/>
          <w:bCs/>
        </w:rPr>
        <w:t xml:space="preserve">Línea DEDCP dominante:</w:t>
      </w:r>
      <w:r>
        <w:t xml:space="preserve"> </w:t>
      </w:r>
      <w:r>
        <w:t xml:space="preserve">Tecnológica e Instrumental (con articulaciones hacia Filosófica, Sociológica y de Investigación).</w:t>
      </w:r>
    </w:p>
    <w:p>
      <w:pPr>
        <w:pStyle w:val="BodyText"/>
      </w:pPr>
      <w:r>
        <w:rPr>
          <w:b/>
          <w:bCs/>
        </w:rPr>
        <w:t xml:space="preserve">Implicación curricular:</w:t>
      </w:r>
      <w:r>
        <w:t xml:space="preserve"> </w:t>
      </w:r>
      <w:r>
        <w:t xml:space="preserve">Este nodo tiene implicaciones directas para el posicionamiento epistemológico de los doctorantes como investigadores latinoamericanos dentro de un campo internacional. La asignatura debe incluir lecturas producidas en el Sur Global y espacio para que los doctorantes articulen sus problemas de investigación con sus contextos situados.</w:t>
      </w:r>
    </w:p>
    <w:p>
      <w:pPr>
        <w:pStyle w:val="BodyText"/>
      </w:pPr>
      <w:r>
        <w:rPr>
          <w:b/>
          <w:bCs/>
        </w:rPr>
        <w:t xml:space="preserve">Competencias potencialmente afectadas:</w:t>
      </w:r>
      <w:r>
        <w:t xml:space="preserve"> </w:t>
      </w:r>
      <w:r>
        <w:t xml:space="preserve">Pensamiento decolonial aplicado a tecnología educativa; análisis de condiciones materiales e infraestructurales del contexto propio; producción de conocimiento situado con rigor metodológico.</w:t>
      </w:r>
    </w:p>
    <w:p>
      <w:pPr>
        <w:pStyle w:val="BodyText"/>
      </w:pPr>
      <w:r>
        <w:rPr>
          <w:b/>
          <w:bCs/>
        </w:rPr>
        <w:t xml:space="preserve">Producto académico plausible:</w:t>
      </w:r>
      <w:r>
        <w:t xml:space="preserve"> </w:t>
      </w:r>
      <w:r>
        <w:t xml:space="preserve">Análisis comparativo o genealógico: evaluación crítica de un marco de tecnología educativa hegemónico (TPACK, SAMR o conectivismo) en función de su aplicabilidad y sus limitaciones en un contexto educativo latinoamericano específico, con propuesta de ajustes o marcos alternativos situados.</w:t>
      </w:r>
    </w:p>
    <w:p>
      <w:pPr>
        <w:pStyle w:val="BodyText"/>
      </w:pPr>
      <w:r>
        <w:rPr>
          <w:b/>
          <w:bCs/>
        </w:rPr>
        <w:t xml:space="preserve">Riesgo de instrumentalización:</w:t>
      </w:r>
      <w:r>
        <w:t xml:space="preserve"> </w:t>
      </w:r>
      <w:r>
        <w:t xml:space="preserve">Reducir el nodo a una crítica genérica del</w:t>
      </w:r>
      <w:r>
        <w:t xml:space="preserve"> </w:t>
      </w:r>
      <w:r>
        <w:t xml:space="preserve">“imperialismo tecnológico”</w:t>
      </w:r>
      <w:r>
        <w:t xml:space="preserve"> </w:t>
      </w:r>
      <w:r>
        <w:t xml:space="preserve">sin producir análisis concreto ni alternativas epistemológicas sustantivas.</w:t>
      </w:r>
    </w:p>
    <w:p>
      <w:pPr>
        <w:pStyle w:val="BodyText"/>
      </w:pPr>
      <w:r>
        <w:rPr>
          <w:b/>
          <w:bCs/>
        </w:rPr>
        <w:t xml:space="preserve">Justificación de singularidad:</w:t>
      </w:r>
      <w:r>
        <w:t xml:space="preserve"> </w:t>
      </w:r>
      <w:r>
        <w:t xml:space="preserve">Es el único nodo que introduce la dimensión geopolítica y decolonial como eje epistemológico del campo, articulando la perspectiva del Sur Global con las tensiones teóricas de los otros nodos.</w:t>
      </w:r>
    </w:p>
    <w:p>
      <w:r>
        <w:pict>
          <v:rect style="width:0;height:1.5pt" o:hralign="center" o:hrstd="t" o:hr="t"/>
        </w:pict>
      </w:r>
    </w:p>
    <w:bookmarkEnd w:id="30"/>
    <w:bookmarkStart w:id="31" w:name="Xddb18896a4cdf45f393c32c260f4c2c6c135e08"/>
    <w:p>
      <w:pPr>
        <w:pStyle w:val="Heading3"/>
      </w:pPr>
      <w:r>
        <w:t xml:space="preserve">Nodo 5: Crítica epistemológica de los marcos dominantes — TPACK, SAMR y conectivismo como objetos de análisis doctoral</w:t>
      </w:r>
    </w:p>
    <w:p>
      <w:pPr>
        <w:pStyle w:val="FirstParagraph"/>
      </w:pPr>
      <w:r>
        <w:rPr>
          <w:b/>
          <w:bCs/>
        </w:rPr>
        <w:t xml:space="preserve">Problema central:</w:t>
      </w:r>
      <w:r>
        <w:t xml:space="preserve"> </w:t>
      </w:r>
      <w:r>
        <w:t xml:space="preserve">TPACK, SAMR y conectivismo son los marcos teóricos más citados y enseñados en cursos de tecnología educativa a nivel mundial. Sin embargo, su base epistemológica es débil, su evidencia empírica es fragmentaria y su función en el campo es frecuentemente más normativa que explicativa. ¿Qué tipo de conocimiento producen realmente estos marcos, qué dejan fuera y qué efectos tiene su hegemonía en la formación docente y en la investigación del campo?</w:t>
      </w:r>
    </w:p>
    <w:p>
      <w:pPr>
        <w:pStyle w:val="BodyText"/>
      </w:pPr>
      <w:r>
        <w:rPr>
          <w:b/>
          <w:bCs/>
        </w:rPr>
        <w:t xml:space="preserve">Desarrollo:</w:t>
      </w:r>
      <w:r>
        <w:t xml:space="preserve"> </w:t>
      </w:r>
      <w:r>
        <w:t xml:space="preserve">Kerr (2010) realiza una crítica sistemática del TPACK: el modelo asume que la integración tecnológica es inherentemente valiosa, no ofrece criterios para evaluar cuándo no usar tecnología, y naturaliza la presencia de la tecnología en el aula como condición de competencia docente. Hamilton et al. (2016) publican una crítica empírica del SAMR: a pesar de su amplio uso en formación docente, el modelo carece de base empírica suficiente, su taxonomía jerárquica no tiene respaldo en investigación sobre aprendizaje y su uso en talleres de desarrollo profesional tiende a producir tecnocentrismo más que reflexión pedagógica. Veletsianos (2010, 2016) examina con rigor el conectivismo: si bien captura algo real sobre el aprendizaje en entornos de red, no satisface los criterios mínimos de una teoría del aprendizaje (no explica mecanismos, no genera predicciones verificables, no se aplica con consistencia a contextos distintos a los de redes digitales de adultos altamente conectados). Selwyn (2011) añade el argumento más político: estos marcos son instrumentos de política educativa que sirven para legitimar la adopción tecnológica en las escuelas bajo el supuesto de que la tecnología, bien integrada, mejora la enseñanza y el aprendizaje, sin examinar las condiciones que hacen posible o imposible esa integración ni los intereses que la promueven. La pregunta doctoral que emerge es: ¿qué epistemología del campo haría posible ir más allá de estos marcos para producir teoría de la tecnología educativa con mayor rigor, contextualización y poder explicativo?</w:t>
      </w:r>
    </w:p>
    <w:p>
      <w:pPr>
        <w:pStyle w:val="BodyText"/>
      </w:pPr>
      <w:r>
        <w:rPr>
          <w:b/>
          <w:bCs/>
        </w:rPr>
        <w:t xml:space="preserve">Evidencia de soporte:</w:t>
      </w:r>
      <w:r>
        <w:t xml:space="preserve"> </w:t>
      </w:r>
      <w:r>
        <w:t xml:space="preserve">Kerr (2010); Hamilton et al. (2016); Veletsianos (2010, 2016); Selwyn (2011); Clarà &amp; Barberà (2013); Verhagen (2006).</w:t>
      </w:r>
    </w:p>
    <w:p>
      <w:pPr>
        <w:pStyle w:val="BodyText"/>
      </w:pPr>
      <w:r>
        <w:rPr>
          <w:b/>
          <w:bCs/>
        </w:rPr>
        <w:t xml:space="preserve">Línea DEDCP dominante:</w:t>
      </w:r>
      <w:r>
        <w:t xml:space="preserve"> </w:t>
      </w:r>
      <w:r>
        <w:t xml:space="preserve">Tecnológica e Instrumental (con articulaciones hacia Teórico-Pedagógica y de Investigación).</w:t>
      </w:r>
    </w:p>
    <w:p>
      <w:pPr>
        <w:pStyle w:val="BodyText"/>
      </w:pPr>
      <w:r>
        <w:rPr>
          <w:b/>
          <w:bCs/>
        </w:rPr>
        <w:t xml:space="preserve">Implicación curricular:</w:t>
      </w:r>
      <w:r>
        <w:t xml:space="preserve"> </w:t>
      </w:r>
      <w:r>
        <w:t xml:space="preserve">Este nodo es estructuralmente importante para el nivel doctoral porque posiciona al doctorante como crítico del campo que estudia, no como receptor de sus marcos dominantes. La asignatura debe incluir lecturas críticas de los marcos, no solo sus formulaciones originales.</w:t>
      </w:r>
    </w:p>
    <w:p>
      <w:pPr>
        <w:pStyle w:val="BodyText"/>
      </w:pPr>
      <w:r>
        <w:rPr>
          <w:b/>
          <w:bCs/>
        </w:rPr>
        <w:t xml:space="preserve">Competencias potencialmente afectadas:</w:t>
      </w:r>
      <w:r>
        <w:t xml:space="preserve"> </w:t>
      </w:r>
      <w:r>
        <w:t xml:space="preserve">Crítica epistemológica de marcos teóricos; análisis de la función política de los modelos en la política educativa; capacidad de producir marco teórico propio para investigación doctoral en el campo.</w:t>
      </w:r>
    </w:p>
    <w:p>
      <w:pPr>
        <w:pStyle w:val="BodyText"/>
      </w:pPr>
      <w:r>
        <w:rPr>
          <w:b/>
          <w:bCs/>
        </w:rPr>
        <w:t xml:space="preserve">Producto académico plausible:</w:t>
      </w:r>
      <w:r>
        <w:t xml:space="preserve"> </w:t>
      </w:r>
      <w:r>
        <w:t xml:space="preserve">Revisión crítica de literatura: análisis epistemológico comparado de dos marcos teóricos del campo (por ejemplo TPACK y conectivismo), identificando sus supuestos, su evidencia de soporte, sus limitaciones explicativas y su función en el ecosistema de política educativa y mercado ed-tech.</w:t>
      </w:r>
    </w:p>
    <w:p>
      <w:pPr>
        <w:pStyle w:val="BodyText"/>
      </w:pPr>
      <w:r>
        <w:rPr>
          <w:b/>
          <w:bCs/>
        </w:rPr>
        <w:t xml:space="preserve">Riesgo de instrumentalización:</w:t>
      </w:r>
      <w:r>
        <w:t xml:space="preserve"> </w:t>
      </w:r>
      <w:r>
        <w:t xml:space="preserve">Reducir el nodo a una valoración negativa de los marcos sin producir alternativa epistemológica ni implicaciones para la investigación doctoral propia.</w:t>
      </w:r>
    </w:p>
    <w:p>
      <w:pPr>
        <w:pStyle w:val="BodyText"/>
      </w:pPr>
      <w:r>
        <w:rPr>
          <w:b/>
          <w:bCs/>
        </w:rPr>
        <w:t xml:space="preserve">Justificación de singularidad:</w:t>
      </w:r>
      <w:r>
        <w:t xml:space="preserve"> </w:t>
      </w:r>
      <w:r>
        <w:t xml:space="preserve">Focaliza la crítica epistemológica interna al campo teórico, distinto del Nodo 1 (que es historiográfico), el Nodo 2 (que es político-económico), el Nodo 3 (que es filosófico-subjetivo) y el Nodo 4 (que es geopolítico-decolonial).</w:t>
      </w:r>
    </w:p>
    <w:p>
      <w:r>
        <w:pict>
          <v:rect style="width:0;height:1.5pt" o:hralign="center" o:hrstd="t" o:hr="t"/>
        </w:pict>
      </w:r>
    </w:p>
    <w:bookmarkEnd w:id="31"/>
    <w:bookmarkEnd w:id="32"/>
    <w:bookmarkStart w:id="37" w:name="X67e3d73a42949714ff2b4adedd5c1a0edd726eb"/>
    <w:p>
      <w:pPr>
        <w:pStyle w:val="Heading2"/>
      </w:pPr>
      <w:r>
        <w:t xml:space="preserve">5. Implicaciones para el Diseño Curricular Doctoral</w:t>
      </w:r>
    </w:p>
    <w:bookmarkStart w:id="33" w:name="Xe2933ba75a12cdaec57eb5bacfe34b3efb4be43"/>
    <w:p>
      <w:pPr>
        <w:pStyle w:val="Heading3"/>
      </w:pPr>
      <w:r>
        <w:t xml:space="preserve">5.1 Competencias que necesita un doctorante para operar críticamente en este campo</w:t>
      </w:r>
    </w:p>
    <w:p>
      <w:pPr>
        <w:pStyle w:val="FirstParagraph"/>
      </w:pPr>
      <w:r>
        <w:t xml:space="preserve">El</w:t>
      </w:r>
      <w:r>
        <w:t xml:space="preserve"> </w:t>
      </w:r>
      <w:r>
        <w:rPr>
          <w:rStyle w:val="VerbatimChar"/>
        </w:rPr>
        <w:t xml:space="preserve">doctoral-competency-designer</w:t>
      </w:r>
      <w:r>
        <w:t xml:space="preserve"> </w:t>
      </w:r>
      <w:r>
        <w:t xml:space="preserve">recibirá este informe para la definición precisa de competencias. Las siguientes orientaciones se ofrecen como insumo no vinculante:</w:t>
      </w:r>
    </w:p>
    <w:p>
      <w:pPr>
        <w:pStyle w:val="Compact"/>
        <w:numPr>
          <w:ilvl w:val="0"/>
          <w:numId w:val="1002"/>
        </w:numPr>
      </w:pPr>
      <w:r>
        <w:rPr>
          <w:b/>
          <w:bCs/>
        </w:rPr>
        <w:t xml:space="preserve">Competencia historiográfica y epistemológica:</w:t>
      </w:r>
      <w:r>
        <w:t xml:space="preserve"> </w:t>
      </w:r>
      <w:r>
        <w:t xml:space="preserve">capacidad para rastrear la genealogía de las promesas tecnológicas en educación, identificar las estructuras de racionalidad que las sostienen y producir análisis crítico con base en evidencia histórica.</w:t>
      </w:r>
    </w:p>
    <w:p>
      <w:pPr>
        <w:pStyle w:val="Compact"/>
        <w:numPr>
          <w:ilvl w:val="0"/>
          <w:numId w:val="1002"/>
        </w:numPr>
      </w:pPr>
      <w:r>
        <w:rPr>
          <w:b/>
          <w:bCs/>
        </w:rPr>
        <w:t xml:space="preserve">Competencia en análisis sociotécnico:</w:t>
      </w:r>
      <w:r>
        <w:t xml:space="preserve"> </w:t>
      </w:r>
      <w:r>
        <w:t xml:space="preserve">capacidad para analizar artefactos, plataformas y sistemas tecnológicos como construcciones sociales atravesadas por relaciones de poder, intereses económicos y supuestos culturales, utilizando herramientas de la teoría social de la tecnología y los STS.</w:t>
      </w:r>
    </w:p>
    <w:p>
      <w:pPr>
        <w:pStyle w:val="Compact"/>
        <w:numPr>
          <w:ilvl w:val="0"/>
          <w:numId w:val="1002"/>
        </w:numPr>
      </w:pPr>
      <w:r>
        <w:rPr>
          <w:b/>
          <w:bCs/>
        </w:rPr>
        <w:t xml:space="preserve">Competencia en análisis político-económico de ed-tech:</w:t>
      </w:r>
      <w:r>
        <w:t xml:space="preserve"> </w:t>
      </w:r>
      <w:r>
        <w:t xml:space="preserve">capacidad para leer los modelos de negocio, las estructuras de gobernanza de datos y los efectos distributivos de las plataformas educativas en las instituciones, docentes y estudiantes.</w:t>
      </w:r>
    </w:p>
    <w:p>
      <w:pPr>
        <w:pStyle w:val="Compact"/>
        <w:numPr>
          <w:ilvl w:val="0"/>
          <w:numId w:val="1002"/>
        </w:numPr>
      </w:pPr>
      <w:r>
        <w:rPr>
          <w:b/>
          <w:bCs/>
        </w:rPr>
        <w:t xml:space="preserve">Competencia filosófica sobre subjetividad y agencia:</w:t>
      </w:r>
      <w:r>
        <w:t xml:space="preserve"> </w:t>
      </w:r>
      <w:r>
        <w:t xml:space="preserve">capacidad para articular la pregunta por la subjetivación y la agencia pedagógica con el análisis de sistemas de IA, analítica de aprendizaje y automatización educativa, utilizando marcos filosóficos de Biesta, Han y la teoría crítica.</w:t>
      </w:r>
    </w:p>
    <w:p>
      <w:pPr>
        <w:pStyle w:val="Compact"/>
        <w:numPr>
          <w:ilvl w:val="0"/>
          <w:numId w:val="1002"/>
        </w:numPr>
      </w:pPr>
      <w:r>
        <w:rPr>
          <w:b/>
          <w:bCs/>
        </w:rPr>
        <w:t xml:space="preserve">Competencia situada y decolonial:</w:t>
      </w:r>
      <w:r>
        <w:t xml:space="preserve"> </w:t>
      </w:r>
      <w:r>
        <w:t xml:space="preserve">capacidad para producir conocimiento sobre tecnología educativa desde su contexto latinoamericano específico, articulado con la teoría decolonial y las epistemologías del Sur, sin renunciar al rigor metodológico.</w:t>
      </w:r>
    </w:p>
    <w:p>
      <w:pPr>
        <w:pStyle w:val="Compact"/>
        <w:numPr>
          <w:ilvl w:val="0"/>
          <w:numId w:val="1002"/>
        </w:numPr>
      </w:pPr>
      <w:r>
        <w:rPr>
          <w:b/>
          <w:bCs/>
        </w:rPr>
        <w:t xml:space="preserve">Competencia de producción de conocimiento original:</w:t>
      </w:r>
      <w:r>
        <w:t xml:space="preserve"> </w:t>
      </w:r>
      <w:r>
        <w:t xml:space="preserve">capacidad para formular un problema de investigación en el campo, identificar vacíos en el corpus existente, seleccionar una metodología apropiada y producir análisis con densidad teórica y relevancia contextual.</w:t>
      </w:r>
    </w:p>
    <w:bookmarkEnd w:id="33"/>
    <w:bookmarkStart w:id="34" w:name="X30899f0311e0e6d4cad137247bbac28a247a19e"/>
    <w:p>
      <w:pPr>
        <w:pStyle w:val="Heading3"/>
      </w:pPr>
      <w:r>
        <w:t xml:space="preserve">5.2 Evidencias de aprendizaje epistémicamente válidas</w:t>
      </w:r>
    </w:p>
    <w:p>
      <w:pPr>
        <w:pStyle w:val="FirstParagraph"/>
      </w:pPr>
      <w:r>
        <w:t xml:space="preserve">Para un curso de nivel doctoral con este horizonte crítico, las evidencias válidas no pueden ser ensayos de síntesis de marcos teóricos ni análisis descriptivos de herramientas. Las evidencias deben demostrar:</w:t>
      </w:r>
      <w:r>
        <w:t xml:space="preserve"> </w:t>
      </w:r>
      <w:r>
        <w:t xml:space="preserve">- producción de argumento original a partir de tensión teórica identificada;</w:t>
      </w:r>
      <w:r>
        <w:t xml:space="preserve"> </w:t>
      </w:r>
      <w:r>
        <w:t xml:space="preserve">- análisis crítico de fuentes con distinción explícita entre tipos de evidencia;</w:t>
      </w:r>
      <w:r>
        <w:t xml:space="preserve"> </w:t>
      </w:r>
      <w:r>
        <w:t xml:space="preserve">- posicionamiento epistemológico fundamentado, no meramente declarado;</w:t>
      </w:r>
      <w:r>
        <w:t xml:space="preserve"> </w:t>
      </w:r>
      <w:r>
        <w:t xml:space="preserve">- conexión entre análisis del campo y problema de investigación doctoral propio;</w:t>
      </w:r>
      <w:r>
        <w:t xml:space="preserve"> </w:t>
      </w:r>
      <w:r>
        <w:t xml:space="preserve">- capacidad de problematizar, no solo de describir.</w:t>
      </w:r>
    </w:p>
    <w:bookmarkEnd w:id="34"/>
    <w:bookmarkStart w:id="35" w:name="Xac714e0a47cf85b0aa4b67fdacc19083844c98b"/>
    <w:p>
      <w:pPr>
        <w:pStyle w:val="Heading3"/>
      </w:pPr>
      <w:r>
        <w:t xml:space="preserve">5.3 Marcos teóricos imprescindibles vs. opcionales</w:t>
      </w:r>
    </w:p>
    <w:p>
      <w:pPr>
        <w:pStyle w:val="FirstParagraph"/>
      </w:pPr>
      <w:r>
        <w:rPr>
          <w:b/>
          <w:bCs/>
        </w:rPr>
        <w:t xml:space="preserve">Imprescindibles para el nivel doctoral:</w:t>
      </w:r>
      <w:r>
        <w:t xml:space="preserve"> </w:t>
      </w:r>
      <w:r>
        <w:t xml:space="preserve">- Selwyn (2011, 2019): crítica del campo desde adentro</w:t>
      </w:r>
      <w:r>
        <w:t xml:space="preserve"> </w:t>
      </w:r>
      <w:r>
        <w:t xml:space="preserve">- Biesta (2015, 2022): filosofía de la educación y subjetivación</w:t>
      </w:r>
      <w:r>
        <w:t xml:space="preserve"> </w:t>
      </w:r>
      <w:r>
        <w:t xml:space="preserve">- Williamson (2017, 2019): plataformización y gobernanza</w:t>
      </w:r>
      <w:r>
        <w:t xml:space="preserve"> </w:t>
      </w:r>
      <w:r>
        <w:t xml:space="preserve">- Zuboff (2019): capitalismo de vigilancia</w:t>
      </w:r>
      <w:r>
        <w:t xml:space="preserve"> </w:t>
      </w:r>
      <w:r>
        <w:t xml:space="preserve">- Cuban (1986, 2001): historia crítica de la tecnología educativa</w:t>
      </w:r>
      <w:r>
        <w:t xml:space="preserve"> </w:t>
      </w:r>
      <w:r>
        <w:t xml:space="preserve">- Quijano (2000) / Yuk Hui (2016): epistemologías alternativas y decolonialidad</w:t>
      </w:r>
    </w:p>
    <w:p>
      <w:pPr>
        <w:pStyle w:val="BodyText"/>
      </w:pPr>
      <w:r>
        <w:rPr>
          <w:b/>
          <w:bCs/>
        </w:rPr>
        <w:t xml:space="preserve">Opcionales según foco de investigación de cada doctorante:</w:t>
      </w:r>
      <w:r>
        <w:t xml:space="preserve"> </w:t>
      </w:r>
      <w:r>
        <w:t xml:space="preserve">- Mishra &amp; Koehler (2006) / Hamilton et al. (2016): TPACK y su crítica</w:t>
      </w:r>
      <w:r>
        <w:t xml:space="preserve"> </w:t>
      </w:r>
      <w:r>
        <w:t xml:space="preserve">- Siemens (2005) / Clarà &amp; Barberà (2013): conectivismo y sus límites</w:t>
      </w:r>
      <w:r>
        <w:t xml:space="preserve"> </w:t>
      </w:r>
      <w:r>
        <w:t xml:space="preserve">- Holmes et al. (2022, 2023): IA en educación</w:t>
      </w:r>
      <w:r>
        <w:t xml:space="preserve"> </w:t>
      </w:r>
      <w:r>
        <w:t xml:space="preserve">- Barad (2007) / Bayne (2015): posthumanismo pedagógico</w:t>
      </w:r>
    </w:p>
    <w:p>
      <w:pPr>
        <w:pStyle w:val="BodyText"/>
      </w:pPr>
      <w:r>
        <w:rPr>
          <w:b/>
          <w:bCs/>
        </w:rPr>
        <w:t xml:space="preserve">Marcos que deben ser analizados críticamente y no solo aplicados:</w:t>
      </w:r>
      <w:r>
        <w:t xml:space="preserve"> </w:t>
      </w:r>
      <w:r>
        <w:t xml:space="preserve">- SAMR (Puentedura)</w:t>
      </w:r>
      <w:r>
        <w:t xml:space="preserve"> </w:t>
      </w:r>
      <w:r>
        <w:t xml:space="preserve">- TPACK (Mishra &amp; Koehler)</w:t>
      </w:r>
      <w:r>
        <w:t xml:space="preserve"> </w:t>
      </w:r>
      <w:r>
        <w:t xml:space="preserve">- Conectivismo (Siemens)</w:t>
      </w:r>
    </w:p>
    <w:bookmarkEnd w:id="35"/>
    <w:bookmarkStart w:id="36" w:name="Xf1a0cf22737dc163534f015f1b408d2a748398f"/>
    <w:p>
      <w:pPr>
        <w:pStyle w:val="Heading3"/>
      </w:pPr>
      <w:r>
        <w:t xml:space="preserve">5.4 Riesgos curriculares si la asignatura se diseña sin problematización suficiente</w:t>
      </w:r>
    </w:p>
    <w:p>
      <w:pPr>
        <w:pStyle w:val="Compact"/>
        <w:numPr>
          <w:ilvl w:val="0"/>
          <w:numId w:val="1003"/>
        </w:numPr>
      </w:pPr>
      <w:r>
        <w:rPr>
          <w:b/>
          <w:bCs/>
        </w:rPr>
        <w:t xml:space="preserve">Riesgo de tecnologismo:</w:t>
      </w:r>
      <w:r>
        <w:t xml:space="preserve"> </w:t>
      </w:r>
      <w:r>
        <w:t xml:space="preserve">la asignatura se convierte en un recorrido descriptivo de herramientas y plataformas con barniz teórico superficial, sin interrogar su base epistemológica.</w:t>
      </w:r>
    </w:p>
    <w:p>
      <w:pPr>
        <w:pStyle w:val="Compact"/>
        <w:numPr>
          <w:ilvl w:val="0"/>
          <w:numId w:val="1003"/>
        </w:numPr>
      </w:pPr>
      <w:r>
        <w:rPr>
          <w:b/>
          <w:bCs/>
        </w:rPr>
        <w:t xml:space="preserve">Riesgo de neutralidad tecnológica:</w:t>
      </w:r>
      <w:r>
        <w:t xml:space="preserve"> </w:t>
      </w:r>
      <w:r>
        <w:t xml:space="preserve">se tratan los marcos dominantes (TPACK, SAMR, conectivismo) como teorías establecidas en lugar de objetos de análisis crítico.</w:t>
      </w:r>
    </w:p>
    <w:p>
      <w:pPr>
        <w:pStyle w:val="Compact"/>
        <w:numPr>
          <w:ilvl w:val="0"/>
          <w:numId w:val="1003"/>
        </w:numPr>
      </w:pPr>
      <w:r>
        <w:rPr>
          <w:b/>
          <w:bCs/>
        </w:rPr>
        <w:t xml:space="preserve">Riesgo de descontextualización:</w:t>
      </w:r>
      <w:r>
        <w:t xml:space="preserve"> </w:t>
      </w:r>
      <w:r>
        <w:t xml:space="preserve">se diseña la asignatura como si los doctorantes fueran a operar en contextos del Norte Global, ignorando las condiciones materiales, políticas y epistemológicas del Sur.</w:t>
      </w:r>
    </w:p>
    <w:p>
      <w:pPr>
        <w:pStyle w:val="Compact"/>
        <w:numPr>
          <w:ilvl w:val="0"/>
          <w:numId w:val="1003"/>
        </w:numPr>
      </w:pPr>
      <w:r>
        <w:rPr>
          <w:b/>
          <w:bCs/>
        </w:rPr>
        <w:t xml:space="preserve">Riesgo de analfabetismo político-económico:</w:t>
      </w:r>
      <w:r>
        <w:t xml:space="preserve"> </w:t>
      </w:r>
      <w:r>
        <w:t xml:space="preserve">no se equipa al doctorante para analizar la dimensión de poder, mercado e intereses del ecosistema ed-tech que inevitablemente encontrará en su práctica investigativa y profesional.</w:t>
      </w:r>
    </w:p>
    <w:p>
      <w:pPr>
        <w:pStyle w:val="Compact"/>
        <w:numPr>
          <w:ilvl w:val="0"/>
          <w:numId w:val="1003"/>
        </w:numPr>
      </w:pPr>
      <w:r>
        <w:rPr>
          <w:b/>
          <w:bCs/>
        </w:rPr>
        <w:t xml:space="preserve">Riesgo de confusión entre información y formación:</w:t>
      </w:r>
      <w:r>
        <w:t xml:space="preserve"> </w:t>
      </w:r>
      <w:r>
        <w:t xml:space="preserve">una asignatura sobre tecnología educativa diseñada sin densidad filosófica forma consumidores de tecnología, no investigadores capaces de producir conocimiento sobre ella.</w:t>
      </w:r>
    </w:p>
    <w:p>
      <w:r>
        <w:pict>
          <v:rect style="width:0;height:1.5pt" o:hralign="center" o:hrstd="t" o:hr="t"/>
        </w:pict>
      </w:r>
    </w:p>
    <w:bookmarkEnd w:id="36"/>
    <w:bookmarkEnd w:id="37"/>
    <w:bookmarkStart w:id="43" w:name="bibliografía-orientadora-curada"/>
    <w:p>
      <w:pPr>
        <w:pStyle w:val="Heading2"/>
      </w:pPr>
      <w:r>
        <w:t xml:space="preserve">6. Bibliografía Orientadora Curada</w:t>
      </w:r>
    </w:p>
    <w:p>
      <w:pPr>
        <w:pStyle w:val="FirstParagraph"/>
      </w:pPr>
      <w:r>
        <w:t xml:space="preserve">Las referencias se organizan por función dentro del horizonte doctoral de la asignatura. Se indica brevemente la relevancia de cada entrada.</w:t>
      </w:r>
    </w:p>
    <w:bookmarkStart w:id="38" w:name="X9df62891de51d4aab5486775f7d15cc49998cba"/>
    <w:p>
      <w:pPr>
        <w:pStyle w:val="Heading3"/>
      </w:pPr>
      <w:r>
        <w:t xml:space="preserve">6.1 Crítica histórica y epistemológica del campo</w:t>
      </w:r>
    </w:p>
    <w:p>
      <w:pPr>
        <w:pStyle w:val="FirstParagraph"/>
      </w:pPr>
      <w:r>
        <w:rPr>
          <w:b/>
          <w:bCs/>
        </w:rPr>
        <w:t xml:space="preserve">Cuban, L. (1986).</w:t>
      </w:r>
      <w:r>
        <w:rPr>
          <w:b/>
          <w:bCs/>
        </w:rPr>
        <w:t xml:space="preserve"> </w:t>
      </w:r>
      <w:r>
        <w:rPr>
          <w:b/>
          <w:bCs/>
          <w:i/>
          <w:iCs/>
        </w:rPr>
        <w:t xml:space="preserve">Teachers and machines: The classroom use of technology since 1920</w:t>
      </w:r>
      <w:r>
        <w:rPr>
          <w:b/>
          <w:bCs/>
        </w:rPr>
        <w:t xml:space="preserve">. Teachers College Press.</w:t>
      </w:r>
      <w:r>
        <w:t xml:space="preserve"> </w:t>
      </w:r>
      <w:r>
        <w:t xml:space="preserve">Obra fundacional de la crítica historiográfica de la tecnología educativa. Documenta el patrón de adopción-resistencia-abandono de las tecnologías en la escuela estadounidense desde la radio hasta el ordenador. Imprescindible para el Nodo 1.</w:t>
      </w:r>
    </w:p>
    <w:p>
      <w:pPr>
        <w:pStyle w:val="BodyText"/>
      </w:pPr>
      <w:r>
        <w:rPr>
          <w:b/>
          <w:bCs/>
        </w:rPr>
        <w:t xml:space="preserve">Cuban, L. (2001).</w:t>
      </w:r>
      <w:r>
        <w:rPr>
          <w:b/>
          <w:bCs/>
        </w:rPr>
        <w:t xml:space="preserve"> </w:t>
      </w:r>
      <w:r>
        <w:rPr>
          <w:b/>
          <w:bCs/>
          <w:i/>
          <w:iCs/>
        </w:rPr>
        <w:t xml:space="preserve">Oversold and underused: Computers in the classroom</w:t>
      </w:r>
      <w:r>
        <w:rPr>
          <w:b/>
          <w:bCs/>
        </w:rPr>
        <w:t xml:space="preserve">. Harvard University Press.</w:t>
      </w:r>
      <w:r>
        <w:t xml:space="preserve"> </w:t>
      </w:r>
      <w:r>
        <w:t xml:space="preserve">Actualización del argumento con evidencia sobre ordenadores en la educación de los años 1990. Muestra que la adopción tecnológica masiva no transformó la práctica docente de base.</w:t>
      </w:r>
    </w:p>
    <w:p>
      <w:pPr>
        <w:pStyle w:val="BodyText"/>
      </w:pPr>
      <w:r>
        <w:rPr>
          <w:b/>
          <w:bCs/>
        </w:rPr>
        <w:t xml:space="preserve">Watters, A. (2021).</w:t>
      </w:r>
      <w:r>
        <w:rPr>
          <w:b/>
          <w:bCs/>
        </w:rPr>
        <w:t xml:space="preserve"> </w:t>
      </w:r>
      <w:r>
        <w:rPr>
          <w:b/>
          <w:bCs/>
          <w:i/>
          <w:iCs/>
        </w:rPr>
        <w:t xml:space="preserve">Teaching machines: The history of personalized learning</w:t>
      </w:r>
      <w:r>
        <w:rPr>
          <w:b/>
          <w:bCs/>
        </w:rPr>
        <w:t xml:space="preserve">. MIT Press.</w:t>
      </w:r>
      <w:r>
        <w:t xml:space="preserve"> </w:t>
      </w:r>
      <w:r>
        <w:t xml:space="preserve">Genealogía crítica de la instrucción programada, las máquinas de Skinner y su continuidad en los sistemas adaptativos contemporáneos. Conecta la historia con el presente de manera rigurosa y políticamente incisiva. Esencial para el Nodo 1.</w:t>
      </w:r>
    </w:p>
    <w:p>
      <w:pPr>
        <w:pStyle w:val="BodyText"/>
      </w:pPr>
      <w:r>
        <w:rPr>
          <w:b/>
          <w:bCs/>
        </w:rPr>
        <w:t xml:space="preserve">Selwyn, N. (2011).</w:t>
      </w:r>
      <w:r>
        <w:rPr>
          <w:b/>
          <w:bCs/>
        </w:rPr>
        <w:t xml:space="preserve"> </w:t>
      </w:r>
      <w:r>
        <w:rPr>
          <w:b/>
          <w:bCs/>
          <w:i/>
          <w:iCs/>
        </w:rPr>
        <w:t xml:space="preserve">Education and technology: Key issues and debates</w:t>
      </w:r>
      <w:r>
        <w:rPr>
          <w:b/>
          <w:bCs/>
        </w:rPr>
        <w:t xml:space="preserve">. Continuum.</w:t>
      </w:r>
      <w:r>
        <w:t xml:space="preserve"> </w:t>
      </w:r>
      <w:r>
        <w:t xml:space="preserve">Introducción sistemática a los debates fundamentales del campo desde una perspectiva crítica. Excelente punto de entrada para el examen de las tensiones entre tecnología, poder e ideología en educación.</w:t>
      </w:r>
    </w:p>
    <w:p>
      <w:pPr>
        <w:pStyle w:val="BodyText"/>
      </w:pPr>
      <w:r>
        <w:rPr>
          <w:b/>
          <w:bCs/>
        </w:rPr>
        <w:t xml:space="preserve">Selwyn, N. (2019).</w:t>
      </w:r>
      <w:r>
        <w:rPr>
          <w:b/>
          <w:bCs/>
        </w:rPr>
        <w:t xml:space="preserve"> </w:t>
      </w:r>
      <w:r>
        <w:rPr>
          <w:b/>
          <w:bCs/>
          <w:i/>
          <w:iCs/>
        </w:rPr>
        <w:t xml:space="preserve">Should robots replace teachers? AI and the future of education</w:t>
      </w:r>
      <w:r>
        <w:rPr>
          <w:b/>
          <w:bCs/>
        </w:rPr>
        <w:t xml:space="preserve">. Polity Press.</w:t>
      </w:r>
      <w:r>
        <w:t xml:space="preserve"> </w:t>
      </w:r>
      <w:r>
        <w:t xml:space="preserve">Análisis crítico de la IA en educación, la automatización de la enseñanza y sus implicaciones para la agencia docente y la justicia educativa. Relevante para los Nodos 1, 2 y 3.</w:t>
      </w:r>
    </w:p>
    <w:p>
      <w:pPr>
        <w:pStyle w:val="BodyText"/>
      </w:pPr>
      <w:r>
        <w:rPr>
          <w:b/>
          <w:bCs/>
        </w:rPr>
        <w:t xml:space="preserve">Roszak, T. (1986).</w:t>
      </w:r>
      <w:r>
        <w:rPr>
          <w:b/>
          <w:bCs/>
        </w:rPr>
        <w:t xml:space="preserve"> </w:t>
      </w:r>
      <w:r>
        <w:rPr>
          <w:b/>
          <w:bCs/>
          <w:i/>
          <w:iCs/>
        </w:rPr>
        <w:t xml:space="preserve">The cult of information: The folklore of computers and the true art of thinking</w:t>
      </w:r>
      <w:r>
        <w:rPr>
          <w:b/>
          <w:bCs/>
        </w:rPr>
        <w:t xml:space="preserve">. Pantheon Books.</w:t>
      </w:r>
      <w:r>
        <w:t xml:space="preserve"> </w:t>
      </w:r>
      <w:r>
        <w:t xml:space="preserve">Crítica temprana y visionaria de la ideología de la información. Aunque anterior a internet, su análisis de la idolatría de la información y la reducción del pensamiento a procesamiento sigue siendo pertinente. Relevante para el Nodo 1 y el marco filosófico general.</w:t>
      </w:r>
    </w:p>
    <w:bookmarkEnd w:id="38"/>
    <w:bookmarkStart w:id="39" w:name="X9c0cdd4767b9e145ebf286321ebf73f4ea89984"/>
    <w:p>
      <w:pPr>
        <w:pStyle w:val="Heading3"/>
      </w:pPr>
      <w:r>
        <w:t xml:space="preserve">6.2 Plataformización, capitalismo de vigilancia y poder</w:t>
      </w:r>
    </w:p>
    <w:p>
      <w:pPr>
        <w:pStyle w:val="FirstParagraph"/>
      </w:pPr>
      <w:r>
        <w:rPr>
          <w:b/>
          <w:bCs/>
        </w:rPr>
        <w:t xml:space="preserve">Williamson, B. (2017).</w:t>
      </w:r>
      <w:r>
        <w:rPr>
          <w:b/>
          <w:bCs/>
        </w:rPr>
        <w:t xml:space="preserve"> </w:t>
      </w:r>
      <w:r>
        <w:rPr>
          <w:b/>
          <w:bCs/>
          <w:i/>
          <w:iCs/>
        </w:rPr>
        <w:t xml:space="preserve">Big data in education: The digital future of learning, policy and practice</w:t>
      </w:r>
      <w:r>
        <w:rPr>
          <w:b/>
          <w:bCs/>
        </w:rPr>
        <w:t xml:space="preserve">. SAGE.</w:t>
      </w:r>
      <w:r>
        <w:t xml:space="preserve"> </w:t>
      </w:r>
      <w:r>
        <w:t xml:space="preserve">Análisis de cómo los datos masivos reconfiguran las prácticas y políticas educativas. Introduce el concepto de infraestructura de conocimiento y su relación con el poder. Clave para el Nodo 2.</w:t>
      </w:r>
    </w:p>
    <w:p>
      <w:pPr>
        <w:pStyle w:val="BodyText"/>
      </w:pPr>
      <w:r>
        <w:rPr>
          <w:b/>
          <w:bCs/>
        </w:rPr>
        <w:t xml:space="preserve">van Dijck, J., Poell, T. &amp; de Waal, M. (2018).</w:t>
      </w:r>
      <w:r>
        <w:rPr>
          <w:b/>
          <w:bCs/>
        </w:rPr>
        <w:t xml:space="preserve"> </w:t>
      </w:r>
      <w:r>
        <w:rPr>
          <w:b/>
          <w:bCs/>
          <w:i/>
          <w:iCs/>
        </w:rPr>
        <w:t xml:space="preserve">The platform society: Public values versus market forces</w:t>
      </w:r>
      <w:r>
        <w:rPr>
          <w:b/>
          <w:bCs/>
        </w:rPr>
        <w:t xml:space="preserve">. Oxford University Press.</w:t>
      </w:r>
      <w:r>
        <w:t xml:space="preserve"> </w:t>
      </w:r>
      <w:r>
        <w:t xml:space="preserve">Marco teórico para comprender la plataformización como proceso de transformación de sectores sociales enteros. Aplicable a la educación con potencia analítica. Esencial para el Nodo 2.</w:t>
      </w:r>
    </w:p>
    <w:p>
      <w:pPr>
        <w:pStyle w:val="BodyText"/>
      </w:pPr>
      <w:r>
        <w:rPr>
          <w:b/>
          <w:bCs/>
        </w:rPr>
        <w:t xml:space="preserve">Zuboff, S. (2019).</w:t>
      </w:r>
      <w:r>
        <w:rPr>
          <w:b/>
          <w:bCs/>
        </w:rPr>
        <w:t xml:space="preserve"> </w:t>
      </w:r>
      <w:r>
        <w:rPr>
          <w:b/>
          <w:bCs/>
          <w:i/>
          <w:iCs/>
        </w:rPr>
        <w:t xml:space="preserve">The age of surveillance capitalism: The fight for a human future at the new frontier of power</w:t>
      </w:r>
      <w:r>
        <w:rPr>
          <w:b/>
          <w:bCs/>
        </w:rPr>
        <w:t xml:space="preserve">. PublicAffairs.</w:t>
      </w:r>
      <w:r>
        <w:t xml:space="preserve"> </w:t>
      </w:r>
      <w:r>
        <w:t xml:space="preserve">Obra de referencia para el análisis del capitalismo de vigilancia. Imprescindible para comprender los modelos de negocio de las plataformas educativas. Clave para el Nodo 2.</w:t>
      </w:r>
    </w:p>
    <w:p>
      <w:pPr>
        <w:pStyle w:val="BodyText"/>
      </w:pPr>
      <w:r>
        <w:rPr>
          <w:b/>
          <w:bCs/>
        </w:rPr>
        <w:t xml:space="preserve">Noble, S. U. (2018).</w:t>
      </w:r>
      <w:r>
        <w:rPr>
          <w:b/>
          <w:bCs/>
        </w:rPr>
        <w:t xml:space="preserve"> </w:t>
      </w:r>
      <w:r>
        <w:rPr>
          <w:b/>
          <w:bCs/>
          <w:i/>
          <w:iCs/>
        </w:rPr>
        <w:t xml:space="preserve">Algorithms of oppression: How search engines reinforce racism</w:t>
      </w:r>
      <w:r>
        <w:rPr>
          <w:b/>
          <w:bCs/>
        </w:rPr>
        <w:t xml:space="preserve">. New York University Press.</w:t>
      </w:r>
      <w:r>
        <w:t xml:space="preserve"> </w:t>
      </w:r>
      <w:r>
        <w:t xml:space="preserve">Análisis del sesgo racial y de género en los sistemas algorítmicos. Relevante para el análisis de sistemas de evaluación automatizada y recomendación en educación. Nodo 2 y 3.</w:t>
      </w:r>
    </w:p>
    <w:p>
      <w:pPr>
        <w:pStyle w:val="BodyText"/>
      </w:pPr>
      <w:r>
        <w:rPr>
          <w:b/>
          <w:bCs/>
        </w:rPr>
        <w:t xml:space="preserve">Eubanks, V. (2018).</w:t>
      </w:r>
      <w:r>
        <w:rPr>
          <w:b/>
          <w:bCs/>
        </w:rPr>
        <w:t xml:space="preserve"> </w:t>
      </w:r>
      <w:r>
        <w:rPr>
          <w:b/>
          <w:bCs/>
          <w:i/>
          <w:iCs/>
        </w:rPr>
        <w:t xml:space="preserve">Automating inequality: How high-tech tools profile, police, and punish the poor</w:t>
      </w:r>
      <w:r>
        <w:rPr>
          <w:b/>
          <w:bCs/>
        </w:rPr>
        <w:t xml:space="preserve">. St. Martin’s Press.</w:t>
      </w:r>
      <w:r>
        <w:t xml:space="preserve"> </w:t>
      </w:r>
      <w:r>
        <w:t xml:space="preserve">Documenta cómo los sistemas automatizados de decisión reproducen y amplían desigualdades estructurales. Relevante para el análisis crítico de sistemas predictivos en educación. Nodo 2 y 3.</w:t>
      </w:r>
    </w:p>
    <w:bookmarkEnd w:id="39"/>
    <w:bookmarkStart w:id="40" w:name="Xca97f32bdd36e70f8cdea4d678aed42b27f89fd"/>
    <w:p>
      <w:pPr>
        <w:pStyle w:val="Heading3"/>
      </w:pPr>
      <w:r>
        <w:t xml:space="preserve">6.3 Filosofía de la educación, subjetividad y agencia</w:t>
      </w:r>
    </w:p>
    <w:p>
      <w:pPr>
        <w:pStyle w:val="FirstParagraph"/>
      </w:pPr>
      <w:r>
        <w:rPr>
          <w:b/>
          <w:bCs/>
        </w:rPr>
        <w:t xml:space="preserve">Biesta, G. (2015).</w:t>
      </w:r>
      <w:r>
        <w:rPr>
          <w:b/>
          <w:bCs/>
        </w:rPr>
        <w:t xml:space="preserve"> </w:t>
      </w:r>
      <w:r>
        <w:rPr>
          <w:b/>
          <w:bCs/>
          <w:i/>
          <w:iCs/>
        </w:rPr>
        <w:t xml:space="preserve">Beautiful risk of education</w:t>
      </w:r>
      <w:r>
        <w:rPr>
          <w:b/>
          <w:bCs/>
        </w:rPr>
        <w:t xml:space="preserve">. Paradigm Publishers.</w:t>
      </w:r>
      <w:r>
        <w:t xml:space="preserve"> </w:t>
      </w:r>
      <w:r>
        <w:t xml:space="preserve">Argumento filosófico sobre la educación como exposición al riesgo y la responsabilidad, en contraposición a la educación como optimización de resultados. Esencial para el Nodo 3.</w:t>
      </w:r>
    </w:p>
    <w:p>
      <w:pPr>
        <w:pStyle w:val="BodyText"/>
      </w:pPr>
      <w:r>
        <w:rPr>
          <w:b/>
          <w:bCs/>
        </w:rPr>
        <w:t xml:space="preserve">Biesta, G. (2022).</w:t>
      </w:r>
      <w:r>
        <w:rPr>
          <w:b/>
          <w:bCs/>
        </w:rPr>
        <w:t xml:space="preserve"> </w:t>
      </w:r>
      <w:r>
        <w:rPr>
          <w:b/>
          <w:bCs/>
          <w:i/>
          <w:iCs/>
        </w:rPr>
        <w:t xml:space="preserve">World-centred education: A view for the present</w:t>
      </w:r>
      <w:r>
        <w:rPr>
          <w:b/>
          <w:bCs/>
        </w:rPr>
        <w:t xml:space="preserve">. Routledge.</w:t>
      </w:r>
      <w:r>
        <w:t xml:space="preserve"> </w:t>
      </w:r>
      <w:r>
        <w:t xml:space="preserve">Desarrollo reciente del argumento sobre subjetivación y la educación centrada en el mundo (no en el estudiante ni en el docente). Relevante para el análisis del posthumanismo pedagógico y la IA. Nodo 3.</w:t>
      </w:r>
    </w:p>
    <w:p>
      <w:pPr>
        <w:pStyle w:val="BodyText"/>
      </w:pPr>
      <w:r>
        <w:rPr>
          <w:b/>
          <w:bCs/>
        </w:rPr>
        <w:t xml:space="preserve">Han, B.-C. (2014).</w:t>
      </w:r>
      <w:r>
        <w:rPr>
          <w:b/>
          <w:bCs/>
        </w:rPr>
        <w:t xml:space="preserve"> </w:t>
      </w:r>
      <w:r>
        <w:rPr>
          <w:b/>
          <w:bCs/>
          <w:i/>
          <w:iCs/>
        </w:rPr>
        <w:t xml:space="preserve">En el enjambre</w:t>
      </w:r>
      <w:r>
        <w:rPr>
          <w:b/>
          <w:bCs/>
        </w:rPr>
        <w:t xml:space="preserve"> </w:t>
      </w:r>
      <w:r>
        <w:rPr>
          <w:b/>
          <w:bCs/>
        </w:rPr>
        <w:t xml:space="preserve">(trad. esp.). Herder.</w:t>
      </w:r>
      <w:r>
        <w:t xml:space="preserve"> </w:t>
      </w:r>
      <w:r>
        <w:t xml:space="preserve">Ensayo filosófico sobre la sociedad digital, la cultura de la transparencia y la dilución de la subjetividad en los entornos de red. Herramienta conceptual para el análisis crítico de redes sociales y plataformas en educación. Nodo 3.</w:t>
      </w:r>
    </w:p>
    <w:p>
      <w:pPr>
        <w:pStyle w:val="BodyText"/>
      </w:pPr>
      <w:r>
        <w:rPr>
          <w:b/>
          <w:bCs/>
        </w:rPr>
        <w:t xml:space="preserve">Holmes, W., Bialik, M. &amp; Fadel, C. (2022).</w:t>
      </w:r>
      <w:r>
        <w:rPr>
          <w:b/>
          <w:bCs/>
        </w:rPr>
        <w:t xml:space="preserve"> </w:t>
      </w:r>
      <w:r>
        <w:rPr>
          <w:b/>
          <w:bCs/>
          <w:i/>
          <w:iCs/>
        </w:rPr>
        <w:t xml:space="preserve">Artificial intelligence in education: Promises and implications for teaching and learning</w:t>
      </w:r>
      <w:r>
        <w:rPr>
          <w:b/>
          <w:bCs/>
        </w:rPr>
        <w:t xml:space="preserve">. Center for Curriculum Redesign.</w:t>
      </w:r>
      <w:r>
        <w:t xml:space="preserve"> </w:t>
      </w:r>
      <w:r>
        <w:t xml:space="preserve">Síntesis equilibrada de las promesas y riesgos de la IA en educación. Útil como punto de partida para análisis crítico más profundo. Nodo 3.</w:t>
      </w:r>
    </w:p>
    <w:bookmarkEnd w:id="40"/>
    <w:bookmarkStart w:id="41" w:name="Xace138b45cdcde847a7cfe8e0d9b9391b8dfb21"/>
    <w:p>
      <w:pPr>
        <w:pStyle w:val="Heading3"/>
      </w:pPr>
      <w:r>
        <w:t xml:space="preserve">6.4 Marcos propositivos (para análisis crítico, no para aplicación acrítica)</w:t>
      </w:r>
    </w:p>
    <w:p>
      <w:pPr>
        <w:pStyle w:val="FirstParagraph"/>
      </w:pPr>
      <w:r>
        <w:rPr>
          <w:b/>
          <w:bCs/>
        </w:rPr>
        <w:t xml:space="preserve">Mishra, P. &amp; Koehler, M. J. (2006). Technological Pedagogical Content Knowledge: A framework for teacher knowledge.</w:t>
      </w:r>
      <w:r>
        <w:rPr>
          <w:b/>
          <w:bCs/>
        </w:rPr>
        <w:t xml:space="preserve"> </w:t>
      </w:r>
      <w:r>
        <w:rPr>
          <w:b/>
          <w:bCs/>
          <w:i/>
          <w:iCs/>
        </w:rPr>
        <w:t xml:space="preserve">Teachers College Record</w:t>
      </w:r>
      <w:r>
        <w:rPr>
          <w:b/>
          <w:bCs/>
        </w:rPr>
        <w:t xml:space="preserve">, 108(6), 1017-1054.</w:t>
      </w:r>
      <w:r>
        <w:t xml:space="preserve"> </w:t>
      </w:r>
      <w:r>
        <w:t xml:space="preserve">Artículo fundacional del modelo TPACK. Objeto de análisis crítico en el Nodo 5; relevante también para comprender la formación docente en entornos tecnológicos.</w:t>
      </w:r>
    </w:p>
    <w:p>
      <w:pPr>
        <w:pStyle w:val="BodyText"/>
      </w:pPr>
      <w:r>
        <w:rPr>
          <w:b/>
          <w:bCs/>
        </w:rPr>
        <w:t xml:space="preserve">Siemens, G. (2005). Connectivism: A learning theory for the digital age.</w:t>
      </w:r>
      <w:r>
        <w:rPr>
          <w:b/>
          <w:bCs/>
        </w:rPr>
        <w:t xml:space="preserve"> </w:t>
      </w:r>
      <w:r>
        <w:rPr>
          <w:b/>
          <w:bCs/>
          <w:i/>
          <w:iCs/>
        </w:rPr>
        <w:t xml:space="preserve">International Journal of Instructional Technology and Distance Learning</w:t>
      </w:r>
      <w:r>
        <w:rPr>
          <w:b/>
          <w:bCs/>
        </w:rPr>
        <w:t xml:space="preserve">, 2(1), 3-10.</w:t>
      </w:r>
      <w:r>
        <w:t xml:space="preserve"> </w:t>
      </w:r>
      <w:r>
        <w:t xml:space="preserve">Formulación original del conectivismo. Objeto de análisis crítico en el Nodo 5.</w:t>
      </w:r>
    </w:p>
    <w:p>
      <w:pPr>
        <w:pStyle w:val="BodyText"/>
      </w:pPr>
      <w:r>
        <w:rPr>
          <w:b/>
          <w:bCs/>
        </w:rPr>
        <w:t xml:space="preserve">Puentedura, R. (2006).</w:t>
      </w:r>
      <w:r>
        <w:rPr>
          <w:b/>
          <w:bCs/>
        </w:rPr>
        <w:t xml:space="preserve"> </w:t>
      </w:r>
      <w:r>
        <w:rPr>
          <w:b/>
          <w:bCs/>
          <w:i/>
          <w:iCs/>
        </w:rPr>
        <w:t xml:space="preserve">Transformation, technology, and education</w:t>
      </w:r>
      <w:r>
        <w:rPr>
          <w:b/>
          <w:bCs/>
        </w:rPr>
        <w:t xml:space="preserve">. Blog personal.</w:t>
      </w:r>
      <w:r>
        <w:t xml:space="preserve"> </w:t>
      </w:r>
      <w:r>
        <w:t xml:space="preserve">Formulación original del modelo SAMR. Objeto de análisis crítico en el Nodo 5. Nota: carece de publicación revisada por pares, lo cual es en sí mismo dato analítico.</w:t>
      </w:r>
    </w:p>
    <w:p>
      <w:pPr>
        <w:pStyle w:val="BodyText"/>
      </w:pPr>
      <w:r>
        <w:rPr>
          <w:b/>
          <w:bCs/>
        </w:rPr>
        <w:t xml:space="preserve">Hamilton, E. R., Rosenberg, J. M. &amp; Akcaoglu, M. (2016). The Substitution Augmentation Modification Redefinition (SAMR) Model: A Critical Review and Suggestions for its Use.</w:t>
      </w:r>
      <w:r>
        <w:rPr>
          <w:b/>
          <w:bCs/>
        </w:rPr>
        <w:t xml:space="preserve"> </w:t>
      </w:r>
      <w:r>
        <w:rPr>
          <w:b/>
          <w:bCs/>
          <w:i/>
          <w:iCs/>
        </w:rPr>
        <w:t xml:space="preserve">TechTrends</w:t>
      </w:r>
      <w:r>
        <w:rPr>
          <w:b/>
          <w:bCs/>
        </w:rPr>
        <w:t xml:space="preserve">, 60(5), 433-441.</w:t>
      </w:r>
      <w:r>
        <w:t xml:space="preserve"> </w:t>
      </w:r>
      <w:r>
        <w:t xml:space="preserve">Crítica empírica del SAMR. Esencial para el Nodo 5.</w:t>
      </w:r>
    </w:p>
    <w:bookmarkEnd w:id="41"/>
    <w:bookmarkStart w:id="42" w:name="X4a4268394c116a079084fd5646be72649c0f267"/>
    <w:p>
      <w:pPr>
        <w:pStyle w:val="Heading3"/>
      </w:pPr>
      <w:r>
        <w:t xml:space="preserve">6.5 Sur Global, decolonialidad y epistemologías alternativas</w:t>
      </w:r>
    </w:p>
    <w:p>
      <w:pPr>
        <w:pStyle w:val="FirstParagraph"/>
      </w:pPr>
      <w:r>
        <w:rPr>
          <w:b/>
          <w:bCs/>
        </w:rPr>
        <w:t xml:space="preserve">Quijano, A. (2000). Colonialidad del poder, eurocentrismo y América Latina. En E. Lander (comp.),</w:t>
      </w:r>
      <w:r>
        <w:rPr>
          <w:b/>
          <w:bCs/>
        </w:rPr>
        <w:t xml:space="preserve"> </w:t>
      </w:r>
      <w:r>
        <w:rPr>
          <w:b/>
          <w:bCs/>
          <w:i/>
          <w:iCs/>
        </w:rPr>
        <w:t xml:space="preserve">La colonialidad del saber: eurocentrismo y ciencias sociales</w:t>
      </w:r>
      <w:r>
        <w:rPr>
          <w:b/>
          <w:bCs/>
        </w:rPr>
        <w:t xml:space="preserve">. CLACSO.</w:t>
      </w:r>
      <w:r>
        <w:t xml:space="preserve"> </w:t>
      </w:r>
      <w:r>
        <w:t xml:space="preserve">Marco fundacional del pensamiento decolonial para el análisis de la colonialidad del conocimiento. Esencial para el Nodo 4.</w:t>
      </w:r>
    </w:p>
    <w:p>
      <w:pPr>
        <w:pStyle w:val="BodyText"/>
      </w:pPr>
      <w:r>
        <w:rPr>
          <w:b/>
          <w:bCs/>
        </w:rPr>
        <w:t xml:space="preserve">Yuk Hui (2016).</w:t>
      </w:r>
      <w:r>
        <w:rPr>
          <w:b/>
          <w:bCs/>
        </w:rPr>
        <w:t xml:space="preserve"> </w:t>
      </w:r>
      <w:r>
        <w:rPr>
          <w:b/>
          <w:bCs/>
          <w:i/>
          <w:iCs/>
        </w:rPr>
        <w:t xml:space="preserve">The question concerning technology in China: An essay in cosmotechnics</w:t>
      </w:r>
      <w:r>
        <w:rPr>
          <w:b/>
          <w:bCs/>
        </w:rPr>
        <w:t xml:space="preserve">. Urbanomic.</w:t>
      </w:r>
      <w:r>
        <w:t xml:space="preserve"> </w:t>
      </w:r>
      <w:r>
        <w:t xml:space="preserve">Filosofía de la tecnología que desafía la universalidad de la tecnología occidental. Herramienta conceptual para pensar tecnología educativa desde epistemologías no eurocéntricas. Clave para el Nodo 4.</w:t>
      </w:r>
    </w:p>
    <w:p>
      <w:pPr>
        <w:pStyle w:val="BodyText"/>
      </w:pPr>
      <w:r>
        <w:rPr>
          <w:b/>
          <w:bCs/>
        </w:rPr>
        <w:t xml:space="preserve">Warschauer, M. (2003).</w:t>
      </w:r>
      <w:r>
        <w:rPr>
          <w:b/>
          <w:bCs/>
        </w:rPr>
        <w:t xml:space="preserve"> </w:t>
      </w:r>
      <w:r>
        <w:rPr>
          <w:b/>
          <w:bCs/>
          <w:i/>
          <w:iCs/>
        </w:rPr>
        <w:t xml:space="preserve">Technology and social inclusion: Rethinking the digital divide</w:t>
      </w:r>
      <w:r>
        <w:rPr>
          <w:b/>
          <w:bCs/>
        </w:rPr>
        <w:t xml:space="preserve">. MIT Press.</w:t>
      </w:r>
      <w:r>
        <w:t xml:space="preserve"> </w:t>
      </w:r>
      <w:r>
        <w:t xml:space="preserve">Análisis empírico de la brecha digital más allá del acceso: condiciones de uso, contexto y poder. Relevante para el análisis de tecnología educativa en contextos de desigualdad. Nodo 4.</w:t>
      </w:r>
    </w:p>
    <w:p>
      <w:pPr>
        <w:pStyle w:val="BodyText"/>
      </w:pPr>
      <w:r>
        <w:rPr>
          <w:b/>
          <w:bCs/>
        </w:rPr>
        <w:t xml:space="preserve">Freire, P. (1970).</w:t>
      </w:r>
      <w:r>
        <w:rPr>
          <w:b/>
          <w:bCs/>
        </w:rPr>
        <w:t xml:space="preserve"> </w:t>
      </w:r>
      <w:r>
        <w:rPr>
          <w:b/>
          <w:bCs/>
          <w:i/>
          <w:iCs/>
        </w:rPr>
        <w:t xml:space="preserve">Pedagogía del oprimido</w:t>
      </w:r>
      <w:r>
        <w:rPr>
          <w:b/>
          <w:bCs/>
        </w:rPr>
        <w:t xml:space="preserve">. Siglo XXI.</w:t>
      </w:r>
      <w:r>
        <w:t xml:space="preserve"> </w:t>
      </w:r>
      <w:r>
        <w:t xml:space="preserve">Obra fundacional de la pedagogía crítica latinoamericana. Su crítica de la educación bancaria y su propuesta dialógica son el sustrato humanista crítico de todo el proyecto DEDCP y del Nodo 4 en particular.</w:t>
      </w:r>
    </w:p>
    <w:p>
      <w:r>
        <w:pict>
          <v:rect style="width:0;height:1.5pt" o:hralign="center" o:hrstd="t" o:hr="t"/>
        </w:pict>
      </w:r>
    </w:p>
    <w:bookmarkEnd w:id="42"/>
    <w:bookmarkEnd w:id="43"/>
    <w:bookmarkStart w:id="44" w:name="análisis-de-evidencia-y-líneas-dedcp"/>
    <w:p>
      <w:pPr>
        <w:pStyle w:val="Heading2"/>
      </w:pPr>
      <w:r>
        <w:t xml:space="preserve">7. Análisis de Evidencia y Líneas DEDCP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Hallazgo o tendencia</w:t>
            </w:r>
          </w:p>
        </w:tc>
        <w:tc>
          <w:tcPr/>
          <w:p>
            <w:pPr>
              <w:pStyle w:val="Compact"/>
            </w:pPr>
            <w:r>
              <w:t xml:space="preserve">Tipo de evidencia</w:t>
            </w:r>
          </w:p>
        </w:tc>
        <w:tc>
          <w:tcPr/>
          <w:p>
            <w:pPr>
              <w:pStyle w:val="Compact"/>
            </w:pPr>
            <w:r>
              <w:t xml:space="preserve">Fuentes clave</w:t>
            </w:r>
          </w:p>
        </w:tc>
        <w:tc>
          <w:tcPr/>
          <w:p>
            <w:pPr>
              <w:pStyle w:val="Compact"/>
            </w:pPr>
            <w:r>
              <w:t xml:space="preserve">Línea DEDCP</w:t>
            </w:r>
          </w:p>
        </w:tc>
        <w:tc>
          <w:tcPr/>
          <w:p>
            <w:pPr>
              <w:pStyle w:val="Compact"/>
            </w:pPr>
            <w:r>
              <w:t xml:space="preserve">Implicación curricular</w:t>
            </w:r>
          </w:p>
        </w:tc>
      </w:tr>
      <w:tr>
        <w:tc>
          <w:tcPr/>
          <w:p>
            <w:pPr>
              <w:pStyle w:val="Compact"/>
            </w:pPr>
            <w:r>
              <w:t xml:space="preserve">Patrón histórico de promesas incumplidas en tecnología educativa</w:t>
            </w:r>
          </w:p>
        </w:tc>
        <w:tc>
          <w:tcPr/>
          <w:p>
            <w:pPr>
              <w:pStyle w:val="Compact"/>
            </w:pPr>
            <w:r>
              <w:t xml:space="preserve">Empírica histórica + teórica</w:t>
            </w:r>
          </w:p>
        </w:tc>
        <w:tc>
          <w:tcPr/>
          <w:p>
            <w:pPr>
              <w:pStyle w:val="Compact"/>
            </w:pPr>
            <w:r>
              <w:t xml:space="preserve">Cuban (1986, 2001); Watters (2021)</w:t>
            </w:r>
          </w:p>
        </w:tc>
        <w:tc>
          <w:tcPr/>
          <w:p>
            <w:pPr>
              <w:pStyle w:val="Compact"/>
            </w:pPr>
            <w:r>
              <w:t xml:space="preserve">Tecnológica e Instrumental</w:t>
            </w:r>
          </w:p>
        </w:tc>
        <w:tc>
          <w:tcPr/>
          <w:p>
            <w:pPr>
              <w:pStyle w:val="Compact"/>
            </w:pPr>
            <w:r>
              <w:t xml:space="preserve">El campo debe enseñarse desde su historia crítica, no desde sus promesas</w:t>
            </w:r>
          </w:p>
        </w:tc>
      </w:tr>
      <w:tr>
        <w:tc>
          <w:tcPr/>
          <w:p>
            <w:pPr>
              <w:pStyle w:val="Compact"/>
            </w:pPr>
            <w:r>
              <w:t xml:space="preserve">Plataformización como régimen de gobernanza con captura de datos</w:t>
            </w:r>
          </w:p>
        </w:tc>
        <w:tc>
          <w:tcPr/>
          <w:p>
            <w:pPr>
              <w:pStyle w:val="Compact"/>
            </w:pPr>
            <w:r>
              <w:t xml:space="preserve">Teórica + análisis de mercado</w:t>
            </w:r>
          </w:p>
        </w:tc>
        <w:tc>
          <w:tcPr/>
          <w:p>
            <w:pPr>
              <w:pStyle w:val="Compact"/>
            </w:pPr>
            <w:r>
              <w:t xml:space="preserve">Williamson (2017); Zuboff (2019); van Dijck et al. (2018)</w:t>
            </w:r>
          </w:p>
        </w:tc>
        <w:tc>
          <w:tcPr/>
          <w:p>
            <w:pPr>
              <w:pStyle w:val="Compact"/>
            </w:pPr>
            <w:r>
              <w:t xml:space="preserve">Tecnológica; Filosófica</w:t>
            </w:r>
          </w:p>
        </w:tc>
        <w:tc>
          <w:tcPr/>
          <w:p>
            <w:pPr>
              <w:pStyle w:val="Compact"/>
            </w:pPr>
            <w:r>
              <w:t xml:space="preserve">Analizar plataformas como artefactos políticos, no solo pedagógicos</w:t>
            </w:r>
          </w:p>
        </w:tc>
      </w:tr>
      <w:tr>
        <w:tc>
          <w:tcPr/>
          <w:p>
            <w:pPr>
              <w:pStyle w:val="Compact"/>
            </w:pPr>
            <w:r>
              <w:t xml:space="preserve">IA generativa: riesgos para la agencia epistémica y la subjetivación</w:t>
            </w:r>
          </w:p>
        </w:tc>
        <w:tc>
          <w:tcPr/>
          <w:p>
            <w:pPr>
              <w:pStyle w:val="Compact"/>
            </w:pPr>
            <w:r>
              <w:t xml:space="preserve">Teórica + empírica emergente</w:t>
            </w:r>
          </w:p>
        </w:tc>
        <w:tc>
          <w:tcPr/>
          <w:p>
            <w:pPr>
              <w:pStyle w:val="Compact"/>
            </w:pPr>
            <w:r>
              <w:t xml:space="preserve">Biesta (2022); Holmes et al. (2023); Selwyn (2019)</w:t>
            </w:r>
          </w:p>
        </w:tc>
        <w:tc>
          <w:tcPr/>
          <w:p>
            <w:pPr>
              <w:pStyle w:val="Compact"/>
            </w:pPr>
            <w:r>
              <w:t xml:space="preserve">Tecnológica; Teórico-Pedagógica</w:t>
            </w:r>
          </w:p>
        </w:tc>
        <w:tc>
          <w:tcPr/>
          <w:p>
            <w:pPr>
              <w:pStyle w:val="Compact"/>
            </w:pPr>
            <w:r>
              <w:t xml:space="preserve">Definir posición institucional sobre IA en contexto doctoral</w:t>
            </w:r>
          </w:p>
        </w:tc>
      </w:tr>
      <w:tr>
        <w:tc>
          <w:tcPr/>
          <w:p>
            <w:pPr>
              <w:pStyle w:val="Compact"/>
            </w:pPr>
            <w:r>
              <w:t xml:space="preserve">Marcos TPACK/SAMR: uso extendido con base epistemológica débil</w:t>
            </w:r>
          </w:p>
        </w:tc>
        <w:tc>
          <w:tcPr/>
          <w:p>
            <w:pPr>
              <w:pStyle w:val="Compact"/>
            </w:pPr>
            <w:r>
              <w:t xml:space="preserve">Crítica de literatura + empírica</w:t>
            </w:r>
          </w:p>
        </w:tc>
        <w:tc>
          <w:tcPr/>
          <w:p>
            <w:pPr>
              <w:pStyle w:val="Compact"/>
            </w:pPr>
            <w:r>
              <w:t xml:space="preserve">Hamilton et al. (2016); Kerr (2010)</w:t>
            </w:r>
          </w:p>
        </w:tc>
        <w:tc>
          <w:tcPr/>
          <w:p>
            <w:pPr>
              <w:pStyle w:val="Compact"/>
            </w:pPr>
            <w:r>
              <w:t xml:space="preserve">Tecnológica; Investigación</w:t>
            </w:r>
          </w:p>
        </w:tc>
        <w:tc>
          <w:tcPr/>
          <w:p>
            <w:pPr>
              <w:pStyle w:val="Compact"/>
            </w:pPr>
            <w:r>
              <w:t xml:space="preserve">Tratar estos marcos como objetos de análisis crítico, no como fundamentos teóricos</w:t>
            </w:r>
          </w:p>
        </w:tc>
      </w:tr>
      <w:tr>
        <w:tc>
          <w:tcPr/>
          <w:p>
            <w:pPr>
              <w:pStyle w:val="Compact"/>
            </w:pPr>
            <w:r>
              <w:t xml:space="preserve">Hegemonía del Norte Global en la producción de conocimiento ed-tech</w:t>
            </w:r>
          </w:p>
        </w:tc>
        <w:tc>
          <w:tcPr/>
          <w:p>
            <w:pPr>
              <w:pStyle w:val="Compact"/>
            </w:pPr>
            <w:r>
              <w:t xml:space="preserve">Epistemológica + empírica</w:t>
            </w:r>
          </w:p>
        </w:tc>
        <w:tc>
          <w:tcPr/>
          <w:p>
            <w:pPr>
              <w:pStyle w:val="Compact"/>
            </w:pPr>
            <w:r>
              <w:t xml:space="preserve">Quijano (2000); Yuk Hui (2016); Warschauer (2003)</w:t>
            </w:r>
          </w:p>
        </w:tc>
        <w:tc>
          <w:tcPr/>
          <w:p>
            <w:pPr>
              <w:pStyle w:val="Compact"/>
            </w:pPr>
            <w:r>
              <w:t xml:space="preserve">Tecnológica; Filosófica</w:t>
            </w:r>
          </w:p>
        </w:tc>
        <w:tc>
          <w:tcPr/>
          <w:p>
            <w:pPr>
              <w:pStyle w:val="Compact"/>
            </w:pPr>
            <w:r>
              <w:t xml:space="preserve">Incorporar epistemologías del Sur y análisis de condiciones situadas</w:t>
            </w:r>
          </w:p>
        </w:tc>
      </w:tr>
      <w:tr>
        <w:tc>
          <w:tcPr/>
          <w:p>
            <w:pPr>
              <w:pStyle w:val="Compact"/>
            </w:pPr>
            <w:r>
              <w:t xml:space="preserve">Gamificación: efectos motivacionales a corto plazo, débil evidencia de aprendizaje profundo</w:t>
            </w:r>
          </w:p>
        </w:tc>
        <w:tc>
          <w:tcPr/>
          <w:p>
            <w:pPr>
              <w:pStyle w:val="Compact"/>
            </w:pPr>
            <w:r>
              <w:t xml:space="preserve">Empírica (metaanálisis)</w:t>
            </w:r>
          </w:p>
        </w:tc>
        <w:tc>
          <w:tcPr/>
          <w:p>
            <w:pPr>
              <w:pStyle w:val="Compact"/>
            </w:pPr>
            <w:r>
              <w:t xml:space="preserve">Hamari et al. (2014); Dichev &amp; Dicheva (2017)</w:t>
            </w:r>
          </w:p>
        </w:tc>
        <w:tc>
          <w:tcPr/>
          <w:p>
            <w:pPr>
              <w:pStyle w:val="Compact"/>
            </w:pPr>
            <w:r>
              <w:t xml:space="preserve">Tecnológica e Instrumental</w:t>
            </w:r>
          </w:p>
        </w:tc>
        <w:tc>
          <w:tcPr/>
          <w:p>
            <w:pPr>
              <w:pStyle w:val="Compact"/>
            </w:pPr>
            <w:r>
              <w:t xml:space="preserve">No diseñar la asignatura como validación de la gamificación</w:t>
            </w:r>
          </w:p>
        </w:tc>
      </w:tr>
      <w:tr>
        <w:tc>
          <w:tcPr/>
          <w:p>
            <w:pPr>
              <w:pStyle w:val="Compact"/>
            </w:pPr>
            <w:r>
              <w:t xml:space="preserve">Brecha digital más allá del acceso: condiciones materiales y poder</w:t>
            </w:r>
          </w:p>
        </w:tc>
        <w:tc>
          <w:tcPr/>
          <w:p>
            <w:pPr>
              <w:pStyle w:val="Compact"/>
            </w:pPr>
            <w:r>
              <w:t xml:space="preserve">Empírica + teórica</w:t>
            </w:r>
          </w:p>
        </w:tc>
        <w:tc>
          <w:tcPr/>
          <w:p>
            <w:pPr>
              <w:pStyle w:val="Compact"/>
            </w:pPr>
            <w:r>
              <w:t xml:space="preserve">Warschauer (2003); Noble (2018)</w:t>
            </w:r>
          </w:p>
        </w:tc>
        <w:tc>
          <w:tcPr/>
          <w:p>
            <w:pPr>
              <w:pStyle w:val="Compact"/>
            </w:pPr>
            <w:r>
              <w:t xml:space="preserve">Tecnológica; Sociológica</w:t>
            </w:r>
          </w:p>
        </w:tc>
        <w:tc>
          <w:tcPr/>
          <w:p>
            <w:pPr>
              <w:pStyle w:val="Compact"/>
            </w:pPr>
            <w:r>
              <w:t xml:space="preserve">Incorporar análisis de justicia distributiva en el diseño de tecnología educativa</w:t>
            </w:r>
          </w:p>
        </w:tc>
      </w:tr>
    </w:tbl>
    <w:p>
      <w:r>
        <w:pict>
          <v:rect style="width:0;height:1.5pt" o:hralign="center" o:hrstd="t" o:hr="t"/>
        </w:pict>
      </w:r>
    </w:p>
    <w:bookmarkEnd w:id="44"/>
    <w:bookmarkStart w:id="45" w:name="necesidades-emergentes"/>
    <w:p>
      <w:pPr>
        <w:pStyle w:val="Heading2"/>
      </w:pPr>
      <w:r>
        <w:t xml:space="preserve">8. Necesidades Emergentes</w:t>
      </w:r>
    </w:p>
    <w:p>
      <w:pPr>
        <w:pStyle w:val="FirstParagraph"/>
      </w:pPr>
      <w:r>
        <w:rPr>
          <w:b/>
          <w:bCs/>
        </w:rPr>
        <w:t xml:space="preserve">Necesidad 1: Marco crítico para la integración de IA generativa en la formación doctoral</w:t>
      </w:r>
      <w:r>
        <w:t xml:space="preserve"> </w:t>
      </w:r>
      <w:r>
        <w:t xml:space="preserve">-</w:t>
      </w:r>
      <w:r>
        <w:t xml:space="preserve"> </w:t>
      </w:r>
      <w:r>
        <w:rPr>
          <w:i/>
          <w:iCs/>
        </w:rPr>
        <w:t xml:space="preserve">Necesidad:</w:t>
      </w:r>
      <w:r>
        <w:t xml:space="preserve"> </w:t>
      </w:r>
      <w:r>
        <w:t xml:space="preserve">Los doctorantes necesitan herramientas conceptuales para analizar y tomar decisiones sobre el uso de IA generativa en su propia formación y en su práctica investigativa, no solo políticas de uso aceptable.</w:t>
      </w:r>
      <w:r>
        <w:t xml:space="preserve"> </w:t>
      </w:r>
      <w:r>
        <w:t xml:space="preserve">-</w:t>
      </w:r>
      <w:r>
        <w:t xml:space="preserve"> </w:t>
      </w:r>
      <w:r>
        <w:rPr>
          <w:i/>
          <w:iCs/>
        </w:rPr>
        <w:t xml:space="preserve">Evidencia:</w:t>
      </w:r>
      <w:r>
        <w:t xml:space="preserve"> </w:t>
      </w:r>
      <w:r>
        <w:t xml:space="preserve">Holmes et al. (2023); Biesta (2022); ausencia de marcos institucionales consolidados a nivel internacional.</w:t>
      </w:r>
      <w:r>
        <w:t xml:space="preserve"> </w:t>
      </w:r>
      <w:r>
        <w:t xml:space="preserve">-</w:t>
      </w:r>
      <w:r>
        <w:t xml:space="preserve"> </w:t>
      </w:r>
      <w:r>
        <w:rPr>
          <w:i/>
          <w:iCs/>
        </w:rPr>
        <w:t xml:space="preserve">Contexto:</w:t>
      </w:r>
      <w:r>
        <w:t xml:space="preserve"> </w:t>
      </w:r>
      <w:r>
        <w:t xml:space="preserve">Universal, con especial urgencia en programas doctorales que forman investigadores en el campo de la tecnología educativa.</w:t>
      </w:r>
      <w:r>
        <w:t xml:space="preserve"> </w:t>
      </w:r>
      <w:r>
        <w:t xml:space="preserve">-</w:t>
      </w:r>
      <w:r>
        <w:t xml:space="preserve"> </w:t>
      </w:r>
      <w:r>
        <w:rPr>
          <w:i/>
          <w:iCs/>
        </w:rPr>
        <w:t xml:space="preserve">Riesgo si se omite:</w:t>
      </w:r>
      <w:r>
        <w:t xml:space="preserve"> </w:t>
      </w:r>
      <w:r>
        <w:t xml:space="preserve">Los doctorantes operan con IA sin marco crítico, o la rechazan sin argumentos epistemológicos propios.</w:t>
      </w:r>
    </w:p>
    <w:p>
      <w:pPr>
        <w:pStyle w:val="BodyText"/>
      </w:pPr>
      <w:r>
        <w:rPr>
          <w:b/>
          <w:bCs/>
        </w:rPr>
        <w:t xml:space="preserve">Necesidad 2: Análisis de plataformas y soberanía tecnológica institucional desde el Sur Global</w:t>
      </w:r>
      <w:r>
        <w:t xml:space="preserve"> </w:t>
      </w:r>
      <w:r>
        <w:t xml:space="preserve">-</w:t>
      </w:r>
      <w:r>
        <w:t xml:space="preserve"> </w:t>
      </w:r>
      <w:r>
        <w:rPr>
          <w:i/>
          <w:iCs/>
        </w:rPr>
        <w:t xml:space="preserve">Necesidad:</w:t>
      </w:r>
      <w:r>
        <w:t xml:space="preserve"> </w:t>
      </w:r>
      <w:r>
        <w:t xml:space="preserve">Competencia para analizar las implicaciones pedagógicas, políticas y de datos de las plataformas educativas adoptadas en las instituciones latinoamericanas.</w:t>
      </w:r>
      <w:r>
        <w:t xml:space="preserve"> </w:t>
      </w:r>
      <w:r>
        <w:t xml:space="preserve">-</w:t>
      </w:r>
      <w:r>
        <w:t xml:space="preserve"> </w:t>
      </w:r>
      <w:r>
        <w:rPr>
          <w:i/>
          <w:iCs/>
        </w:rPr>
        <w:t xml:space="preserve">Evidencia:</w:t>
      </w:r>
      <w:r>
        <w:t xml:space="preserve"> </w:t>
      </w:r>
      <w:r>
        <w:t xml:space="preserve">Recio (2021); Williamson (2017); ausencia de investigación consolidada sobre soberanía tecnológica en educación superior latinoamericana.</w:t>
      </w:r>
      <w:r>
        <w:t xml:space="preserve"> </w:t>
      </w:r>
      <w:r>
        <w:t xml:space="preserve">-</w:t>
      </w:r>
      <w:r>
        <w:t xml:space="preserve"> </w:t>
      </w:r>
      <w:r>
        <w:rPr>
          <w:i/>
          <w:iCs/>
        </w:rPr>
        <w:t xml:space="preserve">Contexto:</w:t>
      </w:r>
      <w:r>
        <w:t xml:space="preserve"> </w:t>
      </w:r>
      <w:r>
        <w:t xml:space="preserve">América Latina, donde la dependencia de plataformas del Norte Global es estructural.</w:t>
      </w:r>
      <w:r>
        <w:t xml:space="preserve"> </w:t>
      </w:r>
      <w:r>
        <w:t xml:space="preserve">-</w:t>
      </w:r>
      <w:r>
        <w:t xml:space="preserve"> </w:t>
      </w:r>
      <w:r>
        <w:rPr>
          <w:i/>
          <w:iCs/>
        </w:rPr>
        <w:t xml:space="preserve">Riesgo si se omite:</w:t>
      </w:r>
      <w:r>
        <w:t xml:space="preserve"> </w:t>
      </w:r>
      <w:r>
        <w:t xml:space="preserve">Los doctorantes reproducen marcos de adopción tecnológica sin capacidad de cuestionarlos desde las condiciones de sus contextos propios.</w:t>
      </w:r>
    </w:p>
    <w:p>
      <w:pPr>
        <w:pStyle w:val="BodyText"/>
      </w:pPr>
      <w:r>
        <w:rPr>
          <w:b/>
          <w:bCs/>
        </w:rPr>
        <w:t xml:space="preserve">Necesidad 3: Articulación entre epistemologías decoloniales y producción de conocimiento en tecnología educativa</w:t>
      </w:r>
      <w:r>
        <w:t xml:space="preserve"> </w:t>
      </w:r>
      <w:r>
        <w:t xml:space="preserve">-</w:t>
      </w:r>
      <w:r>
        <w:t xml:space="preserve"> </w:t>
      </w:r>
      <w:r>
        <w:rPr>
          <w:i/>
          <w:iCs/>
        </w:rPr>
        <w:t xml:space="preserve">Necesidad:</w:t>
      </w:r>
      <w:r>
        <w:t xml:space="preserve"> </w:t>
      </w:r>
      <w:r>
        <w:t xml:space="preserve">Herramientas para producir investigación doctoral en el campo desde perspectivas latinoamericanas y decoloniales.</w:t>
      </w:r>
      <w:r>
        <w:t xml:space="preserve"> </w:t>
      </w:r>
      <w:r>
        <w:t xml:space="preserve">-</w:t>
      </w:r>
      <w:r>
        <w:t xml:space="preserve"> </w:t>
      </w:r>
      <w:r>
        <w:rPr>
          <w:i/>
          <w:iCs/>
        </w:rPr>
        <w:t xml:space="preserve">Evidencia:</w:t>
      </w:r>
      <w:r>
        <w:t xml:space="preserve"> </w:t>
      </w:r>
      <w:r>
        <w:t xml:space="preserve">Yuk Hui (2016); Quijano (2000); vacío documentado de investigación en tecnología educativa producida desde el Sur con marcos propios.</w:t>
      </w:r>
      <w:r>
        <w:t xml:space="preserve"> </w:t>
      </w:r>
      <w:r>
        <w:t xml:space="preserve">-</w:t>
      </w:r>
      <w:r>
        <w:t xml:space="preserve"> </w:t>
      </w:r>
      <w:r>
        <w:rPr>
          <w:i/>
          <w:iCs/>
        </w:rPr>
        <w:t xml:space="preserve">Contexto:</w:t>
      </w:r>
      <w:r>
        <w:t xml:space="preserve"> </w:t>
      </w:r>
      <w:r>
        <w:t xml:space="preserve">Programas doctorales en América Latina, con doctorantes que operan en contextos de diversidad cultural, lingüística e infraestructural.</w:t>
      </w:r>
      <w:r>
        <w:t xml:space="preserve"> </w:t>
      </w:r>
      <w:r>
        <w:t xml:space="preserve">-</w:t>
      </w:r>
      <w:r>
        <w:t xml:space="preserve"> </w:t>
      </w:r>
      <w:r>
        <w:rPr>
          <w:i/>
          <w:iCs/>
        </w:rPr>
        <w:t xml:space="preserve">Riesgo si se omite:</w:t>
      </w:r>
      <w:r>
        <w:t xml:space="preserve"> </w:t>
      </w:r>
      <w:r>
        <w:t xml:space="preserve">El doctorado forma investigadores que producen conocimiento en el campo desde marcos ajenos a su contexto, perpetuando la colonialidad del saber.</w:t>
      </w:r>
    </w:p>
    <w:p>
      <w:r>
        <w:pict>
          <v:rect style="width:0;height:1.5pt" o:hralign="center" o:hrstd="t" o:hr="t"/>
        </w:pict>
      </w:r>
    </w:p>
    <w:bookmarkEnd w:id="45"/>
    <w:bookmarkStart w:id="46" w:name="vacíos-formativos"/>
    <w:p>
      <w:pPr>
        <w:pStyle w:val="Heading2"/>
      </w:pPr>
      <w:r>
        <w:t xml:space="preserve">9. Vacíos Formativos</w:t>
      </w:r>
    </w:p>
    <w:p>
      <w:pPr>
        <w:pStyle w:val="FirstParagraph"/>
      </w:pPr>
      <w:r>
        <w:rPr>
          <w:b/>
          <w:bCs/>
        </w:rPr>
        <w:t xml:space="preserve">Vacío 1: Crítica epistemológica de los marcos dominantes</w:t>
      </w:r>
      <w:r>
        <w:t xml:space="preserve"> </w:t>
      </w:r>
      <w:r>
        <w:t xml:space="preserve">-</w:t>
      </w:r>
      <w:r>
        <w:t xml:space="preserve"> </w:t>
      </w:r>
      <w:r>
        <w:rPr>
          <w:i/>
          <w:iCs/>
        </w:rPr>
        <w:t xml:space="preserve">Dominio:</w:t>
      </w:r>
      <w:r>
        <w:t xml:space="preserve"> </w:t>
      </w:r>
      <w:r>
        <w:t xml:space="preserve">Epistemología y teoría del campo</w:t>
      </w:r>
      <w:r>
        <w:t xml:space="preserve"> </w:t>
      </w:r>
      <w:r>
        <w:t xml:space="preserve">-</w:t>
      </w:r>
      <w:r>
        <w:t xml:space="preserve"> </w:t>
      </w:r>
      <w:r>
        <w:rPr>
          <w:i/>
          <w:iCs/>
        </w:rPr>
        <w:t xml:space="preserve">Evidencia:</w:t>
      </w:r>
      <w:r>
        <w:t xml:space="preserve"> </w:t>
      </w:r>
      <w:r>
        <w:t xml:space="preserve">Los marcos TPACK, SAMR y conectivismo se enseñan en formación docente y maestría sin examen crítico; Kerr (2010), Hamilton et al. (2016), Clarà &amp; Barberà (2013).</w:t>
      </w:r>
      <w:r>
        <w:t xml:space="preserve"> </w:t>
      </w:r>
      <w:r>
        <w:t xml:space="preserve">-</w:t>
      </w:r>
      <w:r>
        <w:t xml:space="preserve"> </w:t>
      </w:r>
      <w:r>
        <w:rPr>
          <w:i/>
          <w:iCs/>
        </w:rPr>
        <w:t xml:space="preserve">Nivel afectado:</w:t>
      </w:r>
      <w:r>
        <w:t xml:space="preserve"> </w:t>
      </w:r>
      <w:r>
        <w:t xml:space="preserve">Doctorado en programas de educación con línea tecnológica</w:t>
      </w:r>
      <w:r>
        <w:t xml:space="preserve"> </w:t>
      </w:r>
      <w:r>
        <w:t xml:space="preserve">-</w:t>
      </w:r>
      <w:r>
        <w:t xml:space="preserve"> </w:t>
      </w:r>
      <w:r>
        <w:rPr>
          <w:i/>
          <w:iCs/>
        </w:rPr>
        <w:t xml:space="preserve">Desajuste:</w:t>
      </w:r>
      <w:r>
        <w:t xml:space="preserve"> </w:t>
      </w:r>
      <w:r>
        <w:t xml:space="preserve">La formación doctoral reproduce como fundamentos teóricos marcos con evidencia débil y función normativa</w:t>
      </w:r>
      <w:r>
        <w:t xml:space="preserve"> </w:t>
      </w:r>
      <w:r>
        <w:t xml:space="preserve">-</w:t>
      </w:r>
      <w:r>
        <w:t xml:space="preserve"> </w:t>
      </w:r>
      <w:r>
        <w:rPr>
          <w:i/>
          <w:iCs/>
        </w:rPr>
        <w:t xml:space="preserve">Consecuencia:</w:t>
      </w:r>
      <w:r>
        <w:t xml:space="preserve"> </w:t>
      </w:r>
      <w:r>
        <w:t xml:space="preserve">Los doctorantes investigan el campo sin capacidad de cuestionar sus propias herramientas conceptuales</w:t>
      </w:r>
    </w:p>
    <w:p>
      <w:pPr>
        <w:pStyle w:val="BodyText"/>
      </w:pPr>
      <w:r>
        <w:rPr>
          <w:b/>
          <w:bCs/>
        </w:rPr>
        <w:t xml:space="preserve">Vacío 2: Historia crítica de la tecnología educativa</w:t>
      </w:r>
      <w:r>
        <w:t xml:space="preserve"> </w:t>
      </w:r>
      <w:r>
        <w:t xml:space="preserve">-</w:t>
      </w:r>
      <w:r>
        <w:t xml:space="preserve"> </w:t>
      </w:r>
      <w:r>
        <w:rPr>
          <w:i/>
          <w:iCs/>
        </w:rPr>
        <w:t xml:space="preserve">Dominio:</w:t>
      </w:r>
      <w:r>
        <w:t xml:space="preserve"> </w:t>
      </w:r>
      <w:r>
        <w:t xml:space="preserve">Historia y filosofía del campo</w:t>
      </w:r>
      <w:r>
        <w:t xml:space="preserve"> </w:t>
      </w:r>
      <w:r>
        <w:t xml:space="preserve">-</w:t>
      </w:r>
      <w:r>
        <w:t xml:space="preserve"> </w:t>
      </w:r>
      <w:r>
        <w:rPr>
          <w:i/>
          <w:iCs/>
        </w:rPr>
        <w:t xml:space="preserve">Evidencia:</w:t>
      </w:r>
      <w:r>
        <w:t xml:space="preserve"> </w:t>
      </w:r>
      <w:r>
        <w:t xml:space="preserve">Cuban (1986, 2001); Watters (2021); ausencia de este corpus en la mayoría de los programas latinoamericanos</w:t>
      </w:r>
      <w:r>
        <w:t xml:space="preserve"> </w:t>
      </w:r>
      <w:r>
        <w:t xml:space="preserve">-</w:t>
      </w:r>
      <w:r>
        <w:t xml:space="preserve"> </w:t>
      </w:r>
      <w:r>
        <w:rPr>
          <w:i/>
          <w:iCs/>
        </w:rPr>
        <w:t xml:space="preserve">Nivel afectado:</w:t>
      </w:r>
      <w:r>
        <w:t xml:space="preserve"> </w:t>
      </w:r>
      <w:r>
        <w:t xml:space="preserve">Maestría y doctorado con componente de tecnología educativa</w:t>
      </w:r>
      <w:r>
        <w:t xml:space="preserve"> </w:t>
      </w:r>
      <w:r>
        <w:t xml:space="preserve">-</w:t>
      </w:r>
      <w:r>
        <w:t xml:space="preserve"> </w:t>
      </w:r>
      <w:r>
        <w:rPr>
          <w:i/>
          <w:iCs/>
        </w:rPr>
        <w:t xml:space="preserve">Desajuste:</w:t>
      </w:r>
      <w:r>
        <w:t xml:space="preserve"> </w:t>
      </w:r>
      <w:r>
        <w:t xml:space="preserve">Se enseña el presente del campo sin su historia, reproduciendo el presentismo tecnológico que es el problema central del campo</w:t>
      </w:r>
      <w:r>
        <w:t xml:space="preserve"> </w:t>
      </w:r>
      <w:r>
        <w:t xml:space="preserve">-</w:t>
      </w:r>
      <w:r>
        <w:t xml:space="preserve"> </w:t>
      </w:r>
      <w:r>
        <w:rPr>
          <w:i/>
          <w:iCs/>
        </w:rPr>
        <w:t xml:space="preserve">Consecuencia:</w:t>
      </w:r>
      <w:r>
        <w:t xml:space="preserve"> </w:t>
      </w:r>
      <w:r>
        <w:t xml:space="preserve">Los doctorantes no tienen herramientas para reconocer las promesas actuales como parte de un patrón histórico</w:t>
      </w:r>
    </w:p>
    <w:p>
      <w:pPr>
        <w:pStyle w:val="BodyText"/>
      </w:pPr>
      <w:r>
        <w:rPr>
          <w:b/>
          <w:bCs/>
        </w:rPr>
        <w:t xml:space="preserve">Vacío 3: Análisis político-económico del ecosistema ed-tech</w:t>
      </w:r>
      <w:r>
        <w:t xml:space="preserve"> </w:t>
      </w:r>
      <w:r>
        <w:t xml:space="preserve">-</w:t>
      </w:r>
      <w:r>
        <w:t xml:space="preserve"> </w:t>
      </w:r>
      <w:r>
        <w:rPr>
          <w:i/>
          <w:iCs/>
        </w:rPr>
        <w:t xml:space="preserve">Dominio:</w:t>
      </w:r>
      <w:r>
        <w:t xml:space="preserve"> </w:t>
      </w:r>
      <w:r>
        <w:t xml:space="preserve">Economía política de la educación digital</w:t>
      </w:r>
      <w:r>
        <w:t xml:space="preserve"> </w:t>
      </w:r>
      <w:r>
        <w:t xml:space="preserve">-</w:t>
      </w:r>
      <w:r>
        <w:t xml:space="preserve"> </w:t>
      </w:r>
      <w:r>
        <w:rPr>
          <w:i/>
          <w:iCs/>
        </w:rPr>
        <w:t xml:space="preserve">Evidencia:</w:t>
      </w:r>
      <w:r>
        <w:t xml:space="preserve"> </w:t>
      </w:r>
      <w:r>
        <w:t xml:space="preserve">Williamson (2017); Zuboff (2019); ausencia de este análisis en los currículos de formación docente y posgrado en tecnología educativa en América Latina</w:t>
      </w:r>
      <w:r>
        <w:t xml:space="preserve"> </w:t>
      </w:r>
      <w:r>
        <w:t xml:space="preserve">-</w:t>
      </w:r>
      <w:r>
        <w:t xml:space="preserve"> </w:t>
      </w:r>
      <w:r>
        <w:rPr>
          <w:i/>
          <w:iCs/>
        </w:rPr>
        <w:t xml:space="preserve">Nivel afectado:</w:t>
      </w:r>
      <w:r>
        <w:t xml:space="preserve"> </w:t>
      </w:r>
      <w:r>
        <w:t xml:space="preserve">Maestría y doctorado</w:t>
      </w:r>
      <w:r>
        <w:t xml:space="preserve"> </w:t>
      </w:r>
      <w:r>
        <w:t xml:space="preserve">-</w:t>
      </w:r>
      <w:r>
        <w:t xml:space="preserve"> </w:t>
      </w:r>
      <w:r>
        <w:rPr>
          <w:i/>
          <w:iCs/>
        </w:rPr>
        <w:t xml:space="preserve">Desajuste:</w:t>
      </w:r>
      <w:r>
        <w:t xml:space="preserve"> </w:t>
      </w:r>
      <w:r>
        <w:t xml:space="preserve">Se analiza la tecnología por sus efectos pedagógicos sin examinar sus condiciones económicas y políticas de producción y distribución</w:t>
      </w:r>
      <w:r>
        <w:t xml:space="preserve"> </w:t>
      </w:r>
      <w:r>
        <w:t xml:space="preserve">-</w:t>
      </w:r>
      <w:r>
        <w:t xml:space="preserve"> </w:t>
      </w:r>
      <w:r>
        <w:rPr>
          <w:i/>
          <w:iCs/>
        </w:rPr>
        <w:t xml:space="preserve">Consecuencia:</w:t>
      </w:r>
      <w:r>
        <w:t xml:space="preserve"> </w:t>
      </w:r>
      <w:r>
        <w:t xml:space="preserve">Los graduados no pueden evaluar críticamente las decisiones institucionales de adopción tecnológica ni actuar como voces críticas en política educativa</w:t>
      </w:r>
    </w:p>
    <w:p>
      <w:r>
        <w:pict>
          <v:rect style="width:0;height:1.5pt" o:hralign="center" o:hrstd="t" o:hr="t"/>
        </w:pict>
      </w:r>
    </w:p>
    <w:bookmarkEnd w:id="46"/>
    <w:bookmarkStart w:id="47" w:name="auditoría-crítica-del-corpus"/>
    <w:p>
      <w:pPr>
        <w:pStyle w:val="Heading2"/>
      </w:pPr>
      <w:r>
        <w:t xml:space="preserve">10. Auditoría Crítica del Corpus</w:t>
      </w:r>
    </w:p>
    <w:p>
      <w:pPr>
        <w:pStyle w:val="FirstParagraph"/>
      </w:pPr>
      <w:r>
        <w:t xml:space="preserve">El corpus disponible sobre tecnología educativa presenta los siguientes sesgos estructurales que el diseño curricular debe tener en cuenta:</w:t>
      </w:r>
    </w:p>
    <w:p>
      <w:pPr>
        <w:pStyle w:val="BodyText"/>
      </w:pPr>
      <w:r>
        <w:rPr>
          <w:b/>
          <w:bCs/>
        </w:rPr>
        <w:t xml:space="preserve">Sesgo geográfico:</w:t>
      </w:r>
      <w:r>
        <w:t xml:space="preserve"> </w:t>
      </w:r>
      <w:r>
        <w:t xml:space="preserve">La producción académica del campo se concentra abrumadoramente en Estados Unidos, Reino Unido y Australia. La investigación latinoamericana, africana y asiática (fuera de China) está subrepresentada en las revistas de mayor impacto y en los marcos teóricos que circulan globalmente. Este sesgo no es neutral: reproduce una epistemología particular como universal.</w:t>
      </w:r>
    </w:p>
    <w:p>
      <w:pPr>
        <w:pStyle w:val="BodyText"/>
      </w:pPr>
      <w:r>
        <w:rPr>
          <w:b/>
          <w:bCs/>
        </w:rPr>
        <w:t xml:space="preserve">Sesgo de financiamiento:</w:t>
      </w:r>
      <w:r>
        <w:t xml:space="preserve"> </w:t>
      </w:r>
      <w:r>
        <w:t xml:space="preserve">Una porción significativa de la investigación empírica en tecnología educativa es financiada directa o indirectamente por corporaciones de ed-tech (Google, Microsoft, Coursera, etc.) o por fundaciones con intereses en el sector (Gates, Chan-Zuckerberg Initiative). Este sesgo orienta las preguntas de investigación hacia la validación de productos y la optimización de métricas, no hacia el cuestionamiento de sus supuestos.</w:t>
      </w:r>
    </w:p>
    <w:p>
      <w:pPr>
        <w:pStyle w:val="BodyText"/>
      </w:pPr>
      <w:r>
        <w:rPr>
          <w:b/>
          <w:bCs/>
        </w:rPr>
        <w:t xml:space="preserve">Sesgo de novedad:</w:t>
      </w:r>
      <w:r>
        <w:t xml:space="preserve"> </w:t>
      </w:r>
      <w:r>
        <w:t xml:space="preserve">El campo tiende a sobre-representar las tecnologías más recientes y a subrepresentar la investigación longitudinal y comparativa. Esto produce un corpus que se actualiza constantemente pero acumula poco conocimiento acumulativo sobre efectos de largo plazo.</w:t>
      </w:r>
    </w:p>
    <w:p>
      <w:pPr>
        <w:pStyle w:val="BodyText"/>
      </w:pPr>
      <w:r>
        <w:rPr>
          <w:b/>
          <w:bCs/>
        </w:rPr>
        <w:t xml:space="preserve">Tecnoutopismo residual:</w:t>
      </w:r>
      <w:r>
        <w:t xml:space="preserve"> </w:t>
      </w:r>
      <w:r>
        <w:t xml:space="preserve">Incluso en el corpus crítico, hay una tendencia a concluir con propuestas de</w:t>
      </w:r>
      <w:r>
        <w:t xml:space="preserve"> </w:t>
      </w:r>
      <w:r>
        <w:t xml:space="preserve">“mejor integración”</w:t>
      </w:r>
      <w:r>
        <w:t xml:space="preserve"> </w:t>
      </w:r>
      <w:r>
        <w:t xml:space="preserve">o</w:t>
      </w:r>
      <w:r>
        <w:t xml:space="preserve"> </w:t>
      </w:r>
      <w:r>
        <w:t xml:space="preserve">“uso más reflexivo”</w:t>
      </w:r>
      <w:r>
        <w:t xml:space="preserve"> </w:t>
      </w:r>
      <w:r>
        <w:t xml:space="preserve">de las tecnologías que implican que el problema es de implementación y no de estructura. Esta tendencia debe ser nombrada y analizada en el diseño curricular.</w:t>
      </w:r>
    </w:p>
    <w:p>
      <w:pPr>
        <w:pStyle w:val="BodyText"/>
      </w:pPr>
      <w:r>
        <w:rPr>
          <w:b/>
          <w:bCs/>
        </w:rPr>
        <w:t xml:space="preserve">Reduccionismo instrumental:</w:t>
      </w:r>
      <w:r>
        <w:t xml:space="preserve"> </w:t>
      </w:r>
      <w:r>
        <w:t xml:space="preserve">El corpus de formación docente (TPACK, SAMR, desarrollo profesional) tiende a reducir la tecnología educativa a habilidades de integración, invisibilizando las dimensiones filosófica, política y epistemológica que son centrales para el nivel doctoral.</w:t>
      </w:r>
    </w:p>
    <w:p>
      <w:r>
        <w:pict>
          <v:rect style="width:0;height:1.5pt" o:hralign="center" o:hrstd="t" o:hr="t"/>
        </w:pict>
      </w:r>
    </w:p>
    <w:bookmarkEnd w:id="47"/>
    <w:bookmarkStart w:id="48" w:name="tabla-de-traducción-curricular"/>
    <w:p>
      <w:pPr>
        <w:pStyle w:val="Heading2"/>
      </w:pPr>
      <w:r>
        <w:t xml:space="preserve">11. Tabla de Traducción Curricular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Hallazgo crítico o tensión</w:t>
            </w:r>
          </w:p>
        </w:tc>
        <w:tc>
          <w:tcPr/>
          <w:p>
            <w:pPr>
              <w:pStyle w:val="Compact"/>
            </w:pPr>
            <w:r>
              <w:t xml:space="preserve">Implicación curricular</w:t>
            </w:r>
          </w:p>
        </w:tc>
        <w:tc>
          <w:tcPr/>
          <w:p>
            <w:pPr>
              <w:pStyle w:val="Compact"/>
            </w:pPr>
            <w:r>
              <w:t xml:space="preserve">Línea DEDCP dominante</w:t>
            </w:r>
          </w:p>
        </w:tc>
        <w:tc>
          <w:tcPr/>
          <w:p>
            <w:pPr>
              <w:pStyle w:val="Compact"/>
            </w:pPr>
            <w:r>
              <w:t xml:space="preserve">Tipo de evidencia</w:t>
            </w:r>
          </w:p>
        </w:tc>
        <w:tc>
          <w:tcPr/>
          <w:p>
            <w:pPr>
              <w:pStyle w:val="Compact"/>
            </w:pPr>
            <w:r>
              <w:t xml:space="preserve">Riesgo de ignorarlo</w:t>
            </w:r>
          </w:p>
        </w:tc>
      </w:tr>
      <w:tr>
        <w:tc>
          <w:tcPr/>
          <w:p>
            <w:pPr>
              <w:pStyle w:val="Compact"/>
            </w:pPr>
            <w:r>
              <w:t xml:space="preserve">Patrón histórico de promesas tecnológicas incumplidas</w:t>
            </w:r>
          </w:p>
        </w:tc>
        <w:tc>
          <w:tcPr/>
          <w:p>
            <w:pPr>
              <w:pStyle w:val="Compact"/>
            </w:pPr>
            <w:r>
              <w:t xml:space="preserve">Módulo de apertura con análisis historiográfico del campo</w:t>
            </w:r>
          </w:p>
        </w:tc>
        <w:tc>
          <w:tcPr/>
          <w:p>
            <w:pPr>
              <w:pStyle w:val="Compact"/>
            </w:pPr>
            <w:r>
              <w:t xml:space="preserve">Tecnológica e Instrumental</w:t>
            </w:r>
          </w:p>
        </w:tc>
        <w:tc>
          <w:tcPr/>
          <w:p>
            <w:pPr>
              <w:pStyle w:val="Compact"/>
            </w:pPr>
            <w:r>
              <w:t xml:space="preserve">Empírica histórica + teórica</w:t>
            </w:r>
          </w:p>
        </w:tc>
        <w:tc>
          <w:tcPr/>
          <w:p>
            <w:pPr>
              <w:pStyle w:val="Compact"/>
            </w:pPr>
            <w:r>
              <w:t xml:space="preserve">Doctorantes sin herramientas para contextualizar las promesas actuales de IA</w:t>
            </w:r>
          </w:p>
        </w:tc>
      </w:tr>
      <w:tr>
        <w:tc>
          <w:tcPr/>
          <w:p>
            <w:pPr>
              <w:pStyle w:val="Compact"/>
            </w:pPr>
            <w:r>
              <w:t xml:space="preserve">Plataformización como gobernanza de datos</w:t>
            </w:r>
          </w:p>
        </w:tc>
        <w:tc>
          <w:tcPr/>
          <w:p>
            <w:pPr>
              <w:pStyle w:val="Compact"/>
            </w:pPr>
            <w:r>
              <w:t xml:space="preserve">Análisis crítico de plataformas LMS y ed-tech como artefactos políticos</w:t>
            </w:r>
          </w:p>
        </w:tc>
        <w:tc>
          <w:tcPr/>
          <w:p>
            <w:pPr>
              <w:pStyle w:val="Compact"/>
            </w:pPr>
            <w:r>
              <w:t xml:space="preserve">Tecnológica; Filosófica</w:t>
            </w:r>
          </w:p>
        </w:tc>
        <w:tc>
          <w:tcPr/>
          <w:p>
            <w:pPr>
              <w:pStyle w:val="Compact"/>
            </w:pPr>
            <w:r>
              <w:t xml:space="preserve">Teórica + análisis de mercado</w:t>
            </w:r>
          </w:p>
        </w:tc>
        <w:tc>
          <w:tcPr/>
          <w:p>
            <w:pPr>
              <w:pStyle w:val="Compact"/>
            </w:pPr>
            <w:r>
              <w:t xml:space="preserve">Adopción institucional acrítica de plataformas con implicaciones políticas ignoradas</w:t>
            </w:r>
          </w:p>
        </w:tc>
      </w:tr>
      <w:tr>
        <w:tc>
          <w:tcPr/>
          <w:p>
            <w:pPr>
              <w:pStyle w:val="Compact"/>
            </w:pPr>
            <w:r>
              <w:t xml:space="preserve">Marcos TPACK/SAMR con base epistemológica débil</w:t>
            </w:r>
          </w:p>
        </w:tc>
        <w:tc>
          <w:tcPr/>
          <w:p>
            <w:pPr>
              <w:pStyle w:val="Compact"/>
            </w:pPr>
            <w:r>
              <w:t xml:space="preserve">Incluir lecturas críticas de los marcos junto a sus formulaciones originales</w:t>
            </w:r>
          </w:p>
        </w:tc>
        <w:tc>
          <w:tcPr/>
          <w:p>
            <w:pPr>
              <w:pStyle w:val="Compact"/>
            </w:pPr>
            <w:r>
              <w:t xml:space="preserve">Tecnológica; Investigación</w:t>
            </w:r>
          </w:p>
        </w:tc>
        <w:tc>
          <w:tcPr/>
          <w:p>
            <w:pPr>
              <w:pStyle w:val="Compact"/>
            </w:pPr>
            <w:r>
              <w:t xml:space="preserve">Crítica de literatura</w:t>
            </w:r>
          </w:p>
        </w:tc>
        <w:tc>
          <w:tcPr/>
          <w:p>
            <w:pPr>
              <w:pStyle w:val="Compact"/>
            </w:pPr>
            <w:r>
              <w:t xml:space="preserve">Formación de investigadores que reproducen marcos sin capacidad de cuestionarlos</w:t>
            </w:r>
          </w:p>
        </w:tc>
      </w:tr>
      <w:tr>
        <w:tc>
          <w:tcPr/>
          <w:p>
            <w:pPr>
              <w:pStyle w:val="Compact"/>
            </w:pPr>
            <w:r>
              <w:t xml:space="preserve">IA generativa: riesgos para la subjetivación y la agencia epistémica</w:t>
            </w:r>
          </w:p>
        </w:tc>
        <w:tc>
          <w:tcPr/>
          <w:p>
            <w:pPr>
              <w:pStyle w:val="Compact"/>
            </w:pPr>
            <w:r>
              <w:t xml:space="preserve">Posicionamiento filosófico sobre IA en el trabajo doctoral</w:t>
            </w:r>
          </w:p>
        </w:tc>
        <w:tc>
          <w:tcPr/>
          <w:p>
            <w:pPr>
              <w:pStyle w:val="Compact"/>
            </w:pPr>
            <w:r>
              <w:t xml:space="preserve">Tecnológica; Teórico-Pedagógica</w:t>
            </w:r>
          </w:p>
        </w:tc>
        <w:tc>
          <w:tcPr/>
          <w:p>
            <w:pPr>
              <w:pStyle w:val="Compact"/>
            </w:pPr>
            <w:r>
              <w:t xml:space="preserve">Teórica + empírica emergente</w:t>
            </w:r>
          </w:p>
        </w:tc>
        <w:tc>
          <w:tcPr/>
          <w:p>
            <w:pPr>
              <w:pStyle w:val="Compact"/>
            </w:pPr>
            <w:r>
              <w:t xml:space="preserve">Doctorantes sin marco crítico para operar con IA en su investigación</w:t>
            </w:r>
          </w:p>
        </w:tc>
      </w:tr>
      <w:tr>
        <w:tc>
          <w:tcPr/>
          <w:p>
            <w:pPr>
              <w:pStyle w:val="Compact"/>
            </w:pPr>
            <w:r>
              <w:t xml:space="preserve">Hegemonía del Norte Global en teoría ed-tech</w:t>
            </w:r>
          </w:p>
        </w:tc>
        <w:tc>
          <w:tcPr/>
          <w:p>
            <w:pPr>
              <w:pStyle w:val="Compact"/>
            </w:pPr>
            <w:r>
              <w:t xml:space="preserve">Incorporar autores del Sur Global y epistemologías decoloniales</w:t>
            </w:r>
          </w:p>
        </w:tc>
        <w:tc>
          <w:tcPr/>
          <w:p>
            <w:pPr>
              <w:pStyle w:val="Compact"/>
            </w:pPr>
            <w:r>
              <w:t xml:space="preserve">Tecnológica; Filosófica</w:t>
            </w:r>
          </w:p>
        </w:tc>
        <w:tc>
          <w:tcPr/>
          <w:p>
            <w:pPr>
              <w:pStyle w:val="Compact"/>
            </w:pPr>
            <w:r>
              <w:t xml:space="preserve">Epistemológica + empírica</w:t>
            </w:r>
          </w:p>
        </w:tc>
        <w:tc>
          <w:tcPr/>
          <w:p>
            <w:pPr>
              <w:pStyle w:val="Compact"/>
            </w:pPr>
            <w:r>
              <w:t xml:space="preserve">Reproducción de colonialidad del saber en investigación doctoral latinoamericana</w:t>
            </w:r>
          </w:p>
        </w:tc>
      </w:tr>
      <w:tr>
        <w:tc>
          <w:tcPr/>
          <w:p>
            <w:pPr>
              <w:pStyle w:val="Compact"/>
            </w:pPr>
            <w:r>
              <w:t xml:space="preserve">Brecha entre investigación crítica y política educativa</w:t>
            </w:r>
          </w:p>
        </w:tc>
        <w:tc>
          <w:tcPr/>
          <w:p>
            <w:pPr>
              <w:pStyle w:val="Compact"/>
            </w:pPr>
            <w:r>
              <w:t xml:space="preserve">Análisis de cómo los intereses económicos orientan la política ed-tech</w:t>
            </w:r>
          </w:p>
        </w:tc>
        <w:tc>
          <w:tcPr/>
          <w:p>
            <w:pPr>
              <w:pStyle w:val="Compact"/>
            </w:pPr>
            <w:r>
              <w:t xml:space="preserve">Tecnológica; Sociológica</w:t>
            </w:r>
          </w:p>
        </w:tc>
        <w:tc>
          <w:tcPr/>
          <w:p>
            <w:pPr>
              <w:pStyle w:val="Compact"/>
            </w:pPr>
            <w:r>
              <w:t xml:space="preserve">Empírica + teórica</w:t>
            </w:r>
          </w:p>
        </w:tc>
        <w:tc>
          <w:tcPr/>
          <w:p>
            <w:pPr>
              <w:pStyle w:val="Compact"/>
            </w:pPr>
            <w:r>
              <w:t xml:space="preserve">Doctorantes sin capacidad de actuar como voces críticas en política educativa</w:t>
            </w:r>
          </w:p>
        </w:tc>
      </w:tr>
      <w:tr>
        <w:tc>
          <w:tcPr/>
          <w:p>
            <w:pPr>
              <w:pStyle w:val="Compact"/>
            </w:pPr>
            <w:r>
              <w:t xml:space="preserve">Brechas de evidencia sobre efectos de largo plazo</w:t>
            </w:r>
          </w:p>
        </w:tc>
        <w:tc>
          <w:tcPr/>
          <w:p>
            <w:pPr>
              <w:pStyle w:val="Compact"/>
            </w:pPr>
            <w:r>
              <w:t xml:space="preserve">Módulo de metodología de investigación crítica en el campo</w:t>
            </w:r>
          </w:p>
        </w:tc>
        <w:tc>
          <w:tcPr/>
          <w:p>
            <w:pPr>
              <w:pStyle w:val="Compact"/>
            </w:pPr>
            <w:r>
              <w:t xml:space="preserve">Tecnológica; Investigación</w:t>
            </w:r>
          </w:p>
        </w:tc>
        <w:tc>
          <w:tcPr/>
          <w:p>
            <w:pPr>
              <w:pStyle w:val="Compact"/>
            </w:pPr>
            <w:r>
              <w:t xml:space="preserve">Ausencia de evidencia</w:t>
            </w:r>
          </w:p>
        </w:tc>
        <w:tc>
          <w:tcPr/>
          <w:p>
            <w:pPr>
              <w:pStyle w:val="Compact"/>
            </w:pPr>
            <w:r>
              <w:t xml:space="preserve">Doctorantes que sobreestiman la base empírica del campo</w:t>
            </w:r>
          </w:p>
        </w:tc>
      </w:tr>
    </w:tbl>
    <w:p>
      <w:r>
        <w:pict>
          <v:rect style="width:0;height:1.5pt" o:hralign="center" o:hrstd="t" o:hr="t"/>
        </w:pict>
      </w:r>
    </w:p>
    <w:bookmarkEnd w:id="48"/>
    <w:bookmarkStart w:id="49" w:name="limitaciones-del-análisis"/>
    <w:p>
      <w:pPr>
        <w:pStyle w:val="Heading2"/>
      </w:pPr>
      <w:r>
        <w:t xml:space="preserve">12. Limitaciones del Análisis</w:t>
      </w:r>
    </w:p>
    <w:p>
      <w:pPr>
        <w:pStyle w:val="FirstParagraph"/>
      </w:pPr>
      <w:r>
        <w:t xml:space="preserve">Este informe presenta las siguientes limitaciones que el</w:t>
      </w:r>
      <w:r>
        <w:t xml:space="preserve"> </w:t>
      </w:r>
      <w:r>
        <w:rPr>
          <w:rStyle w:val="VerbatimChar"/>
        </w:rPr>
        <w:t xml:space="preserve">doctoral-competency-designer</w:t>
      </w:r>
      <w:r>
        <w:t xml:space="preserve"> </w:t>
      </w:r>
      <w:r>
        <w:t xml:space="preserve">y los agentes posteriores deben tener en cuenta:</w:t>
      </w:r>
    </w:p>
    <w:p>
      <w:pPr>
        <w:pStyle w:val="BodyText"/>
      </w:pPr>
      <w:r>
        <w:rPr>
          <w:b/>
          <w:bCs/>
        </w:rPr>
        <w:t xml:space="preserve">Limitación 1 — Corpus sin actualización en tiempo real:</w:t>
      </w:r>
      <w:r>
        <w:t xml:space="preserve"> </w:t>
      </w:r>
      <w:r>
        <w:t xml:space="preserve">El análisis está basado en el corpus disponible hasta la fecha de producción (abril 2026). La investigación sobre IA generativa en educación se está produciendo a una velocidad excepcional. Las conclusiones sobre este tema deben tratarse como provisionales y revisables.</w:t>
      </w:r>
    </w:p>
    <w:p>
      <w:pPr>
        <w:pStyle w:val="BodyText"/>
      </w:pPr>
      <w:r>
        <w:rPr>
          <w:b/>
          <w:bCs/>
        </w:rPr>
        <w:t xml:space="preserve">Limitación 2 — Ausencia de perfil concreto de cohorte:</w:t>
      </w:r>
      <w:r>
        <w:t xml:space="preserve"> </w:t>
      </w:r>
      <w:r>
        <w:t xml:space="preserve">Sin información sobre los antecedentes formativos, contextos institucionales y problemas de investigación de los doctorantes específicos, las implicaciones curriculares son orientativas. El</w:t>
      </w:r>
      <w:r>
        <w:t xml:space="preserve"> </w:t>
      </w:r>
      <w:r>
        <w:rPr>
          <w:rStyle w:val="VerbatimChar"/>
        </w:rPr>
        <w:t xml:space="preserve">doctoral-competency-designer</w:t>
      </w:r>
      <w:r>
        <w:t xml:space="preserve"> </w:t>
      </w:r>
      <w:r>
        <w:t xml:space="preserve">deberá ajustarlas a la cohorte real.</w:t>
      </w:r>
    </w:p>
    <w:p>
      <w:pPr>
        <w:pStyle w:val="BodyText"/>
      </w:pPr>
      <w:r>
        <w:rPr>
          <w:b/>
          <w:bCs/>
        </w:rPr>
        <w:t xml:space="preserve">Limitación 3 — Sesgo del corpus crítico:</w:t>
      </w:r>
      <w:r>
        <w:t xml:space="preserve"> </w:t>
      </w:r>
      <w:r>
        <w:t xml:space="preserve">Este informe prioriza el corpus crítico sobre el corpus de adopción y optimización tecnológica, en coherencia con el ADN humanista crítico del DEDCP. Esto implica que el análisis de los beneficios documentados de tecnologías específicas (AR/VR en medicina, analítica de aprendizaje en retención estudiantil) es menos exhaustivo que el análisis de sus condiciones, límites y riesgos.</w:t>
      </w:r>
    </w:p>
    <w:p>
      <w:pPr>
        <w:pStyle w:val="BodyText"/>
      </w:pPr>
      <w:r>
        <w:rPr>
          <w:b/>
          <w:bCs/>
        </w:rPr>
        <w:t xml:space="preserve">Limitación 4 — Bibliografía latinoamericana:</w:t>
      </w:r>
      <w:r>
        <w:t xml:space="preserve"> </w:t>
      </w:r>
      <w:r>
        <w:t xml:space="preserve">La evidencia empírica sobre tecnología educativa producida en América Latina es escasa en comparación con el corpus del Norte Global. Se ha incorporado lo disponible de mayor relevancia (Freire, Quijano, Recio), pero hay un vacío real de investigación doctoral sobre tecnología educativa producida desde contextos latinoamericanos con marcos propios.</w:t>
      </w:r>
    </w:p>
    <w:p>
      <w:pPr>
        <w:pStyle w:val="BodyText"/>
      </w:pPr>
      <w:r>
        <w:rPr>
          <w:b/>
          <w:bCs/>
        </w:rPr>
        <w:t xml:space="preserve">Limitación 5 — Infraestructura institucional desconocida:</w:t>
      </w:r>
      <w:r>
        <w:t xml:space="preserve"> </w:t>
      </w:r>
      <w:r>
        <w:t xml:space="preserve">Sin conocer la infraestructura tecnológica de la institución donde se implementará el DEDCP, no es posible hacer recomendaciones específicas sobre herramientas, plataformas o modos de implementación. Los supuestos sobre modalidad intensiva y cinco módulos se asumen como dados.</w:t>
      </w:r>
    </w:p>
    <w:p>
      <w:r>
        <w:pict>
          <v:rect style="width:0;height:1.5pt" o:hralign="center" o:hrstd="t" o:hr="t"/>
        </w:pict>
      </w:r>
    </w:p>
    <w:bookmarkEnd w:id="49"/>
    <w:bookmarkStart w:id="50" w:name="Xc89d9d35edaf634ce2769a8df6ee5342682a138"/>
    <w:p>
      <w:pPr>
        <w:pStyle w:val="Heading2"/>
      </w:pPr>
      <w:r>
        <w:t xml:space="preserve">13. Preguntas Abiertas para el Siguiente Agente</w:t>
      </w:r>
    </w:p>
    <w:p>
      <w:pPr>
        <w:pStyle w:val="FirstParagraph"/>
      </w:pPr>
      <w:r>
        <w:t xml:space="preserve">Las siguientes preguntas se trasladan al</w:t>
      </w:r>
      <w:r>
        <w:t xml:space="preserve"> </w:t>
      </w:r>
      <w:r>
        <w:rPr>
          <w:rStyle w:val="VerbatimChar"/>
        </w:rPr>
        <w:t xml:space="preserve">doctoral-competency-designer</w:t>
      </w:r>
      <w:r>
        <w:t xml:space="preserve"> </w:t>
      </w:r>
      <w:r>
        <w:t xml:space="preserve">como insumo para la definición de la matriz de competencias de la asignatura:</w:t>
      </w:r>
    </w:p>
    <w:p>
      <w:pPr>
        <w:numPr>
          <w:ilvl w:val="0"/>
          <w:numId w:val="1004"/>
        </w:numPr>
      </w:pPr>
      <w:r>
        <w:rPr>
          <w:b/>
          <w:bCs/>
        </w:rPr>
        <w:t xml:space="preserve">¿Cuál debe ser el balance entre competencias de análisis crítico del campo y competencias de aplicación pedagógica informada?</w:t>
      </w:r>
      <w:r>
        <w:t xml:space="preserve"> </w:t>
      </w:r>
      <w:r>
        <w:t xml:space="preserve">Este informe prioriza el análisis crítico; sin embargo, el</w:t>
      </w:r>
      <w:r>
        <w:t xml:space="preserve"> </w:t>
      </w:r>
      <w:r>
        <w:rPr>
          <w:rStyle w:val="VerbatimChar"/>
        </w:rPr>
        <w:t xml:space="preserve">doctoral-competency-designer</w:t>
      </w:r>
      <w:r>
        <w:t xml:space="preserve"> </w:t>
      </w:r>
      <w:r>
        <w:t xml:space="preserve">debe determinar si la asignatura también requiere competencias de diseño curricular con tecnología, y en qué medida.</w:t>
      </w:r>
    </w:p>
    <w:p>
      <w:pPr>
        <w:numPr>
          <w:ilvl w:val="0"/>
          <w:numId w:val="1004"/>
        </w:numPr>
      </w:pPr>
      <w:r>
        <w:rPr>
          <w:b/>
          <w:bCs/>
        </w:rPr>
        <w:t xml:space="preserve">¿Cómo se articula la competencia en epistemologías del Sur con la competencia en investigación doctoral rigorosa?</w:t>
      </w:r>
      <w:r>
        <w:t xml:space="preserve"> </w:t>
      </w:r>
      <w:r>
        <w:t xml:space="preserve">La perspectiva decolonial (Nodo 4) puede entrar en tensión con ciertos estándares de evidencia occidental; el</w:t>
      </w:r>
      <w:r>
        <w:t xml:space="preserve"> </w:t>
      </w:r>
      <w:r>
        <w:rPr>
          <w:rStyle w:val="VerbatimChar"/>
        </w:rPr>
        <w:t xml:space="preserve">doctoral-competency-designer</w:t>
      </w:r>
      <w:r>
        <w:t xml:space="preserve"> </w:t>
      </w:r>
      <w:r>
        <w:t xml:space="preserve">debe resolver esta tensión de manera productiva.</w:t>
      </w:r>
    </w:p>
    <w:p>
      <w:pPr>
        <w:numPr>
          <w:ilvl w:val="0"/>
          <w:numId w:val="1004"/>
        </w:numPr>
      </w:pPr>
      <w:r>
        <w:rPr>
          <w:b/>
          <w:bCs/>
        </w:rPr>
        <w:t xml:space="preserve">¿Qué nivel de conocimiento técnico sobre sistemas de IA y plataformas se espera de los doctorantes?</w:t>
      </w:r>
      <w:r>
        <w:t xml:space="preserve"> </w:t>
      </w:r>
      <w:r>
        <w:t xml:space="preserve">¿La asignatura debe desarrollar competencia técnica de análisis de arquitecturas de sistemas, o basta con la competencia analítica sobre sus efectos y condiciones?</w:t>
      </w:r>
    </w:p>
    <w:p>
      <w:pPr>
        <w:numPr>
          <w:ilvl w:val="0"/>
          <w:numId w:val="1004"/>
        </w:numPr>
      </w:pPr>
      <w:r>
        <w:rPr>
          <w:b/>
          <w:bCs/>
        </w:rPr>
        <w:t xml:space="preserve">¿Los cinco nodos de problematización identificados corresponden a cinco módulos de la asignatura, o deben ser reagrupados?</w:t>
      </w:r>
      <w:r>
        <w:t xml:space="preserve"> </w:t>
      </w:r>
      <w:r>
        <w:t xml:space="preserve">Esta decisión pertenece al</w:t>
      </w:r>
      <w:r>
        <w:t xml:space="preserve"> </w:t>
      </w:r>
      <w:r>
        <w:rPr>
          <w:rStyle w:val="VerbatimChar"/>
        </w:rPr>
        <w:t xml:space="preserve">curriculum-modular-architect</w:t>
      </w:r>
      <w:r>
        <w:t xml:space="preserve">, pero el</w:t>
      </w:r>
      <w:r>
        <w:t xml:space="preserve"> </w:t>
      </w:r>
      <w:r>
        <w:rPr>
          <w:rStyle w:val="VerbatimChar"/>
        </w:rPr>
        <w:t xml:space="preserve">doctoral-competency-designer</w:t>
      </w:r>
      <w:r>
        <w:t xml:space="preserve"> </w:t>
      </w:r>
      <w:r>
        <w:t xml:space="preserve">puede comenzar a mapear la relación entre nodos y competencias con miras a facilitar ese diseño.</w:t>
      </w:r>
    </w:p>
    <w:p>
      <w:pPr>
        <w:numPr>
          <w:ilvl w:val="0"/>
          <w:numId w:val="1004"/>
        </w:numPr>
      </w:pPr>
      <w:r>
        <w:rPr>
          <w:b/>
          <w:bCs/>
        </w:rPr>
        <w:t xml:space="preserve">¿Qué competencias de esta asignatura deben articularse explícitamente con el problema de investigación doctoral de cada estudiante?</w:t>
      </w:r>
      <w:r>
        <w:t xml:space="preserve"> </w:t>
      </w:r>
      <w:r>
        <w:t xml:space="preserve">La asignatura ocurre en Semestre 2, cuando los doctorantes ya tienen avances del Seminario de Investigación I. ¿Cómo se prevé esa articulación en el perfil de competencias?</w:t>
      </w:r>
    </w:p>
    <w:p>
      <w:r>
        <w:pict>
          <v:rect style="width:0;height:1.5pt" o:hralign="center" o:hrstd="t" o:hr="t"/>
        </w:pict>
      </w:r>
    </w:p>
    <w:p>
      <w:pPr>
        <w:pStyle w:val="FirstParagraph"/>
      </w:pPr>
      <w:r>
        <w:rPr>
          <w:i/>
          <w:iCs/>
        </w:rPr>
        <w:t xml:space="preserve">Informe producido en cumplimiento del Protocolo de Metadata Curricular (sección 9, CLAUDE.md) y del flujo canónico del pipeline DEDCP (sección 6, CLAUDE.md). Fecha de producción: abril 2026.</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2026-04-13T18:05:08Z</dcterms:created>
  <dcterms:modified xsi:type="dcterms:W3CDTF">2026-04-13T18:05:08Z</dcterms:modified>
</cp:coreProperties>
</file>

<file path=docProps/custom.xml><?xml version="1.0" encoding="utf-8"?>
<Properties xmlns="http://schemas.openxmlformats.org/officeDocument/2006/custom-properties" xmlns:vt="http://schemas.openxmlformats.org/officeDocument/2006/docPropsVTypes"/>
</file>