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9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6"/>
        <w:gridCol w:w="5976"/>
        <w:tblGridChange w:id="0">
          <w:tblGrid>
            <w:gridCol w:w="5976"/>
            <w:gridCol w:w="597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SDLC (Software Development LifeCycle)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-Waterfall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-Agile (Pyramid metaphor)</w:t>
            </w:r>
          </w:p>
          <w:p w:rsidR="00000000" w:rsidDel="00000000" w:rsidP="00000000" w:rsidRDefault="00000000" w:rsidRPr="00000000">
            <w:pPr>
              <w:ind w:left="720" w:firstLine="72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-Iterative Delivery (Project in Chunks)</w:t>
            </w:r>
          </w:p>
          <w:p w:rsidR="00000000" w:rsidDel="00000000" w:rsidP="00000000" w:rsidRDefault="00000000" w:rsidRPr="00000000">
            <w:pPr>
              <w:ind w:left="720" w:firstLine="72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-Each iterations around 4 weeks</w:t>
            </w:r>
          </w:p>
          <w:p w:rsidR="00000000" w:rsidDel="00000000" w:rsidP="00000000" w:rsidRDefault="00000000" w:rsidRPr="00000000">
            <w:pPr>
              <w:ind w:left="720" w:firstLine="72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-Develop Flexibly </w:t>
            </w:r>
          </w:p>
          <w:p w:rsidR="00000000" w:rsidDel="00000000" w:rsidP="00000000" w:rsidRDefault="00000000" w:rsidRPr="00000000">
            <w:pPr>
              <w:ind w:left="720" w:firstLine="72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Example Agile Processes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(Project Managment)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-Timeboxed Iterations that are 4 weeks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-Uses a Product Backlog and Sprint Backlog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-Daily Meeting (Pigs and Chickens)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Each Sprint has a deliverable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Extreme Programming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EVOf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RUP Dx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Activity - Visual representation of an Android Application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View - Interface Widget (button, text, spinner etc)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Intent - Use intent to switch activities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Service - Background Task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090863" cy="3957936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863" cy="39579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UML Diagrams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Modifier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Public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Private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#     Protected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~     Package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N/A  Package Visibility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214688" cy="993631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688" cy="9936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The line between classes should have a 1-2 word description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 their relationship.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075497" cy="959639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497" cy="9596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Functions Format: Modifier FuncName(returnVar : Type)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+method(returnVariable, String)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Abstract Classes are shown as {Class} or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Class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752475" cy="1028700"/>
                  <wp:effectExtent b="0" l="0" r="0" t="0"/>
                  <wp:docPr id="2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implements interface (points towards interface)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895350" cy="1057275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Inheritance from Class (higher level class pointed to)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885825" cy="257175"/>
                  <wp:effectExtent b="0" l="0" r="0" t="0"/>
                  <wp:docPr id="3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Dependency (used for dependencies on outside packages)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857500" cy="495300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Aggregation - Wheel is part of Car, but wheel can outlive car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99398" cy="407912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398" cy="4079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Composition - If the company object dies, the department object dies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INVEST acronym  -- Mike Cohn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Independent - Stories should be able to be developed independent of each other.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Negotiable - Do not put implementation language in story.  Keep it general enough so you have design flexibility.  Don’t try to put all the details in the title.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Valuable - Has to provide business value to the customer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Estimable - Can’t be too big, too complex, or too unfamiliar to developers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 - Cannot span an iteration.  If too big break into smaller stories and use the bigger story as an epic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Testable - Have to be able to specify acceptance tests for the story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 Stories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: As a &lt;&gt;, I want to &lt;&gt; so that&lt;&gt;.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Acceptance Scenarios: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GIVEN &lt;actor doing something&gt;, WHEN &lt;actor does something&gt; THEN &lt;program does something&gt;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style of language is known as a Behavior Driven Development (BDD) format.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Done Done: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Cases Written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Acceptance Criteria Met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reviewed by another team member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-Know Information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-Maintain Connections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-Perform Services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-Make Decisions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How to Model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-Brainstorm - Domain Analysis / Noun Analysis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-Filter - Narrow Nouns down to things specifically relevant to customer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-Draw Model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-Domains are about ideas and associations, NO CODE!!!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Responsibility Driven Design (RDD)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-Single Responsibility Principle (SRP)  - Each class should have a single role/responsibility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Stereotypes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-Information Holder - knows things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-Service Provider - Does things for others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-Structurer - Organizes data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-Interfacer - adapt one system to another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-Coordinator - Decide things - Non Adaptive Logic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-Controller - Decide things - Adaptive Logic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Zenhub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- Features/Stories/Products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Milestones - Sprints/Iterations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Labels - filtering and organization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Estimation - Fibonacci Sequence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Robustness Diagrams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719138" cy="446361"/>
                  <wp:effectExtent b="0" l="0" r="0" t="0"/>
                  <wp:docPr id="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8" cy="4463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Boundary Class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UI or API class/External System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753717" cy="500063"/>
                  <wp:effectExtent b="0" l="0" r="0" t="0"/>
                  <wp:docPr id="1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17" cy="50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Entity Class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from Domain Model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74525" cy="538163"/>
                  <wp:effectExtent b="0" l="0" r="0" t="0"/>
                  <wp:docPr id="4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2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Controller Class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for business logic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Rules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-External Actors only talk to Boundary Classes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-Entities only talk to Controllers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-Controllers can talk to Boundary Classes and Entity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Classes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Software Architectures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Server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P2P (Peer to Peer)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Blackboard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Pipe &amp; Filter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MVC (Model View Controller)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N-tier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Layered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Styles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-Centralized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-Delegated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-Dispersed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Trust Boundaries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Pass copies of data instead of sharing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Check on timliness, relavance , and correctly formed data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Make objects read only to prevent modification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" w:top="144" w:left="144" w:right="14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06.png"/><Relationship Id="rId13" Type="http://schemas.openxmlformats.org/officeDocument/2006/relationships/image" Target="media/image16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09.png"/><Relationship Id="rId14" Type="http://schemas.openxmlformats.org/officeDocument/2006/relationships/image" Target="media/image21.png"/><Relationship Id="rId5" Type="http://schemas.openxmlformats.org/officeDocument/2006/relationships/image" Target="media/image15.png"/><Relationship Id="rId6" Type="http://schemas.openxmlformats.org/officeDocument/2006/relationships/image" Target="media/image02.png"/><Relationship Id="rId7" Type="http://schemas.openxmlformats.org/officeDocument/2006/relationships/image" Target="media/image20.png"/><Relationship Id="rId8" Type="http://schemas.openxmlformats.org/officeDocument/2006/relationships/image" Target="media/image05.png"/></Relationships>
</file>