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00"/>
        <w:gridCol w:w="6260"/>
      </w:tblGrid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drawing>
                <wp:inline distT="0" distB="0" distL="0" distR="0">
                  <wp:extent cx="180975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b/>
                <w:bCs/>
                <w:i w:val="false"/>
                <w:iCs w:val="false"/>
                <w:color w:val="01195B"/>
                <w:sz w:val="40"/>
                <w:szCs w:val="40"/>
                <w:caps w:val="false"/>
                <w:rFonts w:ascii="Arial" w:cs="Arial" w:eastAsia="Arial" w:hAnsi="Arial"/>
              </w:rPr>
              <w:t xml:space="preserve">John Doe</w:t>
            </w:r>
          </w:p>
          <w:p>
            <w:pPr>
              <w:spacing w:before="40" w:after="0"/>
            </w:pPr>
            <w:r>
              <w:rPr>
                <w:b w:val="false"/>
                <w:bCs w:val="false"/>
                <w:i w:val="false"/>
                <w:iCs w:val="false"/>
                <w:color w:val="555555"/>
                <w:sz w:val="26"/>
                <w:szCs w:val="26"/>
                <w:caps w:val="false"/>
                <w:rFonts w:ascii="Arial" w:cs="Arial" w:eastAsia="Arial" w:hAnsi="Arial"/>
              </w:rPr>
              <w:t xml:space="preserve">Senior Process Engineer — Brownfield Optimization</w:t>
            </w:r>
          </w:p>
        </w:tc>
      </w:tr>
    </w:tbl>
    <w:p>
      <w:pPr>
        <w:spacing w:before="0" w:after="140"/>
      </w:pPr>
      <w:r>
        <w:rPr>
          <w:b w:val="false"/>
          <w:bCs w:val="false"/>
          <w:i w:val="false"/>
          <w:iCs w:val="false"/>
          <w:color w:val="222222"/>
          <w:sz w:val="2"/>
          <w:szCs w:val="2"/>
          <w:caps w:val="false"/>
          <w:rFonts w:ascii="Arial" w:cs="Arial" w:eastAsia="Arial" w:hAnsi="Arial"/>
        </w:rPr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9E690B" w:sz="24"/>
              <w:bottom w:val="none" w:color="FFFFFF" w:sz="0"/>
              <w:right w:val="none" w:color="FFFFFF" w:sz="0"/>
            </w:tcBorders>
            <w:shd w:fill="F7F2E8" w:color="auto"/>
            <w:tcMar>
              <w:top w:type="dxa" w:w="140"/>
              <w:left w:type="dxa" w:w="220"/>
              <w:bottom w:type="dxa" w:w="140"/>
              <w:right w:type="dxa" w:w="200"/>
            </w:tcMar>
            <w:vAlign w:val="center"/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9E690B"/>
                <w:sz w:val="16"/>
                <w:szCs w:val="16"/>
                <w:caps w:val="false"/>
                <w:rFonts w:ascii="Arial" w:cs="Arial" w:eastAsia="Arial" w:hAnsi="Arial"/>
              </w:rPr>
              <w:t xml:space="preserve">PRESENTED BY</w:t>
            </w:r>
          </w:p>
          <w:p>
            <w:pPr>
              <w:spacing w:before="0" w:after="60"/>
            </w:pPr>
            <w:r>
              <w:rPr>
                <w:b/>
                <w:bCs/>
                <w:i w:val="false"/>
                <w:iCs w:val="false"/>
                <w:color w:val="01195B"/>
                <w:sz w:val="24"/>
                <w:szCs w:val="24"/>
                <w:caps w:val="false"/>
                <w:rFonts w:ascii="Arial" w:cs="Arial" w:eastAsia="Arial" w:hAnsi="Arial"/>
              </w:rPr>
              <w:t xml:space="preserve">Quentin Cloarec</w:t>
            </w:r>
            <w:r>
              <w:rPr>
                <w:b w:val="false"/>
                <w:bCs w:val="false"/>
                <w:i w:val="false"/>
                <w:iCs w:val="false"/>
                <w:color w:val="555555"/>
                <w:sz w:val="22"/>
                <w:szCs w:val="22"/>
                <w:caps w:val="false"/>
                <w:rFonts w:ascii="Arial" w:cs="Arial" w:eastAsia="Arial" w:hAnsi="Arial"/>
              </w:rPr>
              <w:t xml:space="preserve">   —   Founder &amp; CEO</w:t>
            </w:r>
          </w:p>
          <w:p>
            <w:pPr>
              <w:spacing w:before="0" w:after="0"/>
            </w:pPr>
            <w:hyperlink w:history="1" r:id="rId7ylijwxu4kjdqiyi_w6oh">
              <w:r>
                <w:rPr>
                  <w:b w:val="false"/>
                  <w:bCs w:val="false"/>
                  <w:i w:val="false"/>
                  <w:iCs w:val="false"/>
                  <w:u w:val="single" w:color="01195B"/>
                  <w:color w:val="01195B"/>
                  <w:sz w:val="20"/>
                  <w:szCs w:val="20"/>
                  <w:caps w:val="false"/>
                  <w:rFonts w:ascii="Arial" w:cs="Arial" w:eastAsia="Arial" w:hAnsi="Arial"/>
                </w:rPr>
                <w:t xml:space="preserve">quentin@trees-engineering.com</w:t>
              </w:r>
            </w:hyperlink>
            <w:r>
              <w:rPr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  <w:caps w:val="false"/>
                <w:rFonts w:ascii="Arial" w:cs="Arial" w:eastAsia="Arial" w:hAnsi="Arial"/>
              </w:rPr>
              <w:t xml:space="preserve">   |   </w:t>
            </w:r>
            <w:hyperlink w:history="1" r:id="rIdkx6viac1fye-mjmhz4oa7">
              <w:r>
                <w:rPr>
                  <w:b w:val="false"/>
                  <w:bCs w:val="false"/>
                  <w:i w:val="false"/>
                  <w:iCs w:val="false"/>
                  <w:u w:val="single" w:color="01195B"/>
                  <w:color w:val="01195B"/>
                  <w:sz w:val="20"/>
                  <w:szCs w:val="20"/>
                  <w:caps w:val="false"/>
                  <w:rFonts w:ascii="Arial" w:cs="Arial" w:eastAsia="Arial" w:hAnsi="Arial"/>
                </w:rPr>
                <w:t xml:space="preserve">LinkedIn</w:t>
              </w:r>
            </w:hyperlink>
            <w:r>
              <w:rPr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  <w:caps w:val="false"/>
                <w:rFonts w:ascii="Arial" w:cs="Arial" w:eastAsia="Arial" w:hAnsi="Arial"/>
              </w:rPr>
              <w:t xml:space="preserve">   |   </w:t>
            </w:r>
            <w:hyperlink w:history="1" r:id="rIdquyozk_nx7yrjycuf06c4">
              <w:r>
                <w:rPr>
                  <w:b/>
                  <w:bCs/>
                  <w:i w:val="false"/>
                  <w:iCs w:val="false"/>
                  <w:u w:val="single" w:color="9E690B"/>
                  <w:color w:val="9E690B"/>
                  <w:sz w:val="20"/>
                  <w:szCs w:val="20"/>
                  <w:caps w:val="false"/>
                  <w:rFonts w:ascii="Arial" w:cs="Arial" w:eastAsia="Arial" w:hAnsi="Arial"/>
                </w:rPr>
                <w:t xml:space="preserve">Book a call</w:t>
              </w:r>
            </w:hyperlink>
          </w:p>
        </w:tc>
      </w:tr>
    </w:tbl>
    <w:p>
      <w:pPr>
        <w:spacing w:before="0" w:after="200"/>
      </w:pPr>
      <w:r>
        <w:rPr>
          <w:b w:val="false"/>
          <w:bCs w:val="false"/>
          <w:i w:val="false"/>
          <w:iCs w:val="false"/>
          <w:color w:val="222222"/>
          <w:sz w:val="2"/>
          <w:szCs w:val="2"/>
          <w:caps w:val="false"/>
          <w:rFonts w:ascii="Arial" w:cs="Arial" w:eastAsia="Arial" w:hAnsi="Arial"/>
        </w:rPr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195B" w:color="auto"/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before="0" w:after="0"/>
            </w:pPr>
            <w:r>
              <w:rPr>
                <w:b/>
                <w:bCs/>
                <w:i w:val="false"/>
                <w:iCs w:val="false"/>
                <w:color w:val="FFFFFF"/>
                <w:sz w:val="24"/>
                <w:szCs w:val="24"/>
                <w:caps/>
                <w:rFonts w:ascii="Arial" w:cs="Arial" w:eastAsia="Arial" w:hAnsi="Arial"/>
              </w:rPr>
              <w:t xml:space="preserve">The mission</w:t>
            </w:r>
          </w:p>
        </w:tc>
      </w:tr>
    </w:tbl>
    <w:tbl>
      <w:tblPr>
        <w:tblW w:type="dxa" w:w="936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i w:val="false"/>
                <w:iCs w:val="false"/>
                <w:color w:val="01195B"/>
                <w:sz w:val="21"/>
                <w:szCs w:val="21"/>
                <w:caps w:val="false"/>
                <w:rFonts w:ascii="Arial" w:cs="Arial" w:eastAsia="Arial" w:hAnsi="Arial"/>
              </w:rPr>
              <w:t xml:space="preserve">Client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caps w:val="false"/>
                <w:rFonts w:ascii="Arial" w:cs="Arial" w:eastAsia="Arial" w:hAnsi="Arial"/>
              </w:rPr>
              <w:t xml:space="preserve">ENEOS Xplora Malaysia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color="auto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i w:val="false"/>
                <w:iCs w:val="false"/>
                <w:color w:val="01195B"/>
                <w:sz w:val="21"/>
                <w:szCs w:val="21"/>
                <w:caps w:val="false"/>
                <w:rFonts w:ascii="Arial" w:cs="Arial" w:eastAsia="Arial" w:hAnsi="Arial"/>
              </w:rPr>
              <w:t xml:space="preserve">Position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color="auto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caps w:val="false"/>
                <w:rFonts w:ascii="Arial" w:cs="Arial" w:eastAsia="Arial" w:hAnsi="Arial"/>
              </w:rPr>
              <w:t xml:space="preserve">Senior Process Engineer — Brownfield Optimization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i w:val="false"/>
                <w:iCs w:val="false"/>
                <w:color w:val="01195B"/>
                <w:sz w:val="21"/>
                <w:szCs w:val="21"/>
                <w:caps w:val="false"/>
                <w:rFonts w:ascii="Arial" w:cs="Arial" w:eastAsia="Arial" w:hAnsi="Arial"/>
              </w:rPr>
              <w:t xml:space="preserve">Mission ref.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caps w:val="false"/>
                <w:rFonts w:ascii="Arial" w:cs="Arial" w:eastAsia="Arial" w:hAnsi="Arial"/>
              </w:rPr>
              <w:t xml:space="preserve">TRE-2026-014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color="auto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i w:val="false"/>
                <w:iCs w:val="false"/>
                <w:color w:val="01195B"/>
                <w:sz w:val="21"/>
                <w:szCs w:val="21"/>
                <w:caps w:val="false"/>
                <w:rFonts w:ascii="Arial" w:cs="Arial" w:eastAsia="Arial" w:hAnsi="Arial"/>
              </w:rPr>
              <w:t xml:space="preserve">Contract type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color="auto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caps w:val="false"/>
                <w:rFonts w:ascii="Arial" w:cs="Arial" w:eastAsia="Arial" w:hAnsi="Arial"/>
              </w:rPr>
              <w:t xml:space="preserve">Contract, full-time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i w:val="false"/>
                <w:iCs w:val="false"/>
                <w:color w:val="01195B"/>
                <w:sz w:val="21"/>
                <w:szCs w:val="21"/>
                <w:caps w:val="false"/>
                <w:rFonts w:ascii="Arial" w:cs="Arial" w:eastAsia="Arial" w:hAnsi="Arial"/>
              </w:rPr>
              <w:t xml:space="preserve">Start date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caps w:val="false"/>
                <w:rFonts w:ascii="Arial" w:cs="Arial" w:eastAsia="Arial" w:hAnsi="Arial"/>
              </w:rPr>
              <w:t xml:space="preserve">01 June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color="auto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i w:val="false"/>
                <w:iCs w:val="false"/>
                <w:color w:val="01195B"/>
                <w:sz w:val="21"/>
                <w:szCs w:val="21"/>
                <w:caps w:val="false"/>
                <w:rFonts w:ascii="Arial" w:cs="Arial" w:eastAsia="Arial" w:hAnsi="Arial"/>
              </w:rPr>
              <w:t xml:space="preserve">Duration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color="auto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caps w:val="false"/>
                <w:rFonts w:ascii="Arial" w:cs="Arial" w:eastAsia="Arial" w:hAnsi="Arial"/>
              </w:rPr>
              <w:t xml:space="preserve">12 months, renewable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i w:val="false"/>
                <w:iCs w:val="false"/>
                <w:color w:val="01195B"/>
                <w:sz w:val="21"/>
                <w:szCs w:val="21"/>
                <w:caps w:val="false"/>
                <w:rFonts w:ascii="Arial" w:cs="Arial" w:eastAsia="Arial" w:hAnsi="Arial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caps w:val="false"/>
                <w:rFonts w:ascii="Arial" w:cs="Arial" w:eastAsia="Arial" w:hAnsi="Arial"/>
              </w:rPr>
              <w:t xml:space="preserve">Kuala Lumpur HQ + offshore rotations (Layang field, offshore Sarawak)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color="auto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i w:val="false"/>
                <w:iCs w:val="false"/>
                <w:color w:val="01195B"/>
                <w:sz w:val="21"/>
                <w:szCs w:val="21"/>
                <w:caps w:val="false"/>
                <w:rFonts w:ascii="Arial" w:cs="Arial" w:eastAsia="Arial" w:hAnsi="Arial"/>
              </w:rPr>
              <w:t xml:space="preserve">Day rate / package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color="auto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caps w:val="false"/>
                <w:rFonts w:ascii="Arial" w:cs="Arial" w:eastAsia="Arial" w:hAnsi="Arial"/>
              </w:rPr>
              <w:t xml:space="preserve">MYR 1,800 / day</w:t>
            </w:r>
          </w:p>
        </w:tc>
      </w:tr>
    </w:tbl>
    <w:p>
      <w:pPr>
        <w:spacing w:before="0" w:after="120"/>
      </w:pPr>
      <w:r>
        <w:rPr>
          <w:b w:val="false"/>
          <w:bCs w:val="false"/>
          <w:i w:val="false"/>
          <w:iCs w:val="false"/>
          <w:color w:val="222222"/>
          <w:sz w:val="2"/>
          <w:szCs w:val="2"/>
          <w:caps w:val="false"/>
          <w:rFonts w:ascii="Arial" w:cs="Arial" w:eastAsia="Arial" w:hAnsi="Arial"/>
        </w:rPr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F3E" w:color="auto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3"/>
                <w:szCs w:val="23"/>
                <w:caps w:val="false"/>
                <w:rFonts w:ascii="Arial" w:cs="Arial" w:eastAsia="Arial" w:hAnsi="Arial"/>
              </w:rPr>
              <w:t xml:space="preserve">AVAILABILITY CONFIRMED  —  from 01 June 2026</w:t>
            </w:r>
          </w:p>
        </w:tc>
      </w:tr>
    </w:tbl>
    <w:p>
      <w:pPr>
        <w:spacing w:before="0" w:after="200"/>
      </w:pPr>
      <w:r>
        <w:rPr>
          <w:b w:val="false"/>
          <w:bCs w:val="false"/>
          <w:i w:val="false"/>
          <w:iCs w:val="false"/>
          <w:color w:val="222222"/>
          <w:sz w:val="2"/>
          <w:szCs w:val="2"/>
          <w:caps w:val="false"/>
          <w:rFonts w:ascii="Arial" w:cs="Arial" w:eastAsia="Arial" w:hAnsi="Arial"/>
        </w:rPr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195B" w:color="auto"/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before="0" w:after="0"/>
            </w:pPr>
            <w:r>
              <w:rPr>
                <w:b/>
                <w:bCs/>
                <w:i w:val="false"/>
                <w:iCs w:val="false"/>
                <w:color w:val="FFFFFF"/>
                <w:sz w:val="24"/>
                <w:szCs w:val="24"/>
                <w:caps/>
                <w:rFonts w:ascii="Arial" w:cs="Arial" w:eastAsia="Arial" w:hAnsi="Arial"/>
              </w:rPr>
              <w:t xml:space="preserve">Why JOHN DOE for ENEOS XPLORA MALAYSIA?</w:t>
            </w:r>
          </w:p>
        </w:tc>
      </w:tr>
    </w:tbl>
    <w:p>
      <w:pPr>
        <w:spacing w:before="0" w:after="60"/>
      </w:pPr>
      <w:r>
        <w:rPr>
          <w:b w:val="false"/>
          <w:bCs w:val="false"/>
          <w:i w:val="false"/>
          <w:iCs w:val="false"/>
          <w:color w:val="222222"/>
          <w:sz w:val="2"/>
          <w:szCs w:val="2"/>
          <w:caps w:val="false"/>
          <w:rFonts w:ascii="Arial" w:cs="Arial" w:eastAsia="Arial" w:hAnsi="Arial"/>
        </w:rPr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caps w:val="false"/>
          <w:rFonts w:ascii="Arial" w:cs="Arial" w:eastAsia="Arial" w:hAnsi="Arial"/>
        </w:rPr>
        <w:t xml:space="preserve">12 years of offshore process engineering in Malaysian waters (PETRONAS Carigali, Hess Malaysia) — directly transferable to ENEOS Xplora's Layang field operations.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caps w:val="false"/>
          <w:rFonts w:ascii="Arial" w:cs="Arial" w:eastAsia="Arial" w:hAnsi="Arial"/>
        </w:rPr>
        <w:t xml:space="preserve">Led three brownfield debottlenecking campaigns delivering +8% to +15% throughput gains — the exact remit of this role.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caps w:val="false"/>
          <w:rFonts w:ascii="Arial" w:cs="Arial" w:eastAsia="Arial" w:hAnsi="Arial"/>
        </w:rPr>
        <w:t xml:space="preserve">HAZOP chair on five revamp projects, fluent with PETRONAS PTS and DEP standards already in force on Layang.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caps w:val="false"/>
          <w:rFonts w:ascii="Arial" w:cs="Arial" w:eastAsia="Arial" w:hAnsi="Arial"/>
        </w:rPr>
        <w:t xml:space="preserve">Already collaborated with the Bintulu shore-base operations team in 2022, shortening onboarding by an estimated 2–3 weeks.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caps w:val="false"/>
          <w:rFonts w:ascii="Arial" w:cs="Arial" w:eastAsia="Arial" w:hAnsi="Arial"/>
        </w:rPr>
        <w:t xml:space="preserve">Based in KL, no relocation required, available from 1 June with offshore rotations up to 21 days.</w:t>
      </w:r>
    </w:p>
    <w:p>
      <w:pPr>
        <w:spacing w:before="0" w:after="160"/>
      </w:pPr>
      <w:r>
        <w:rPr>
          <w:b w:val="false"/>
          <w:bCs w:val="false"/>
          <w:i w:val="false"/>
          <w:iCs w:val="false"/>
          <w:color w:val="222222"/>
          <w:sz w:val="2"/>
          <w:szCs w:val="2"/>
          <w:caps w:val="false"/>
          <w:rFonts w:ascii="Arial" w:cs="Arial" w:eastAsia="Arial" w:hAnsi="Arial"/>
        </w:rPr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195B" w:color="auto"/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before="0" w:after="0"/>
            </w:pPr>
            <w:r>
              <w:rPr>
                <w:b/>
                <w:bCs/>
                <w:i w:val="false"/>
                <w:iCs w:val="false"/>
                <w:color w:val="FFFFFF"/>
                <w:sz w:val="24"/>
                <w:szCs w:val="24"/>
                <w:caps/>
                <w:rFonts w:ascii="Arial" w:cs="Arial" w:eastAsia="Arial" w:hAnsi="Arial"/>
              </w:rPr>
              <w:t xml:space="preserve">Fit with your requirements</w:t>
            </w:r>
          </w:p>
        </w:tc>
      </w:tr>
    </w:tbl>
    <w:tbl>
      <w:tblPr>
        <w:tblW w:type="dxa" w:w="936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1195B" w:color="auto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  <w:caps w:val="false"/>
                <w:rFonts w:ascii="Arial" w:cs="Arial" w:eastAsia="Arial" w:hAnsi="Arial"/>
              </w:rPr>
              <w:t xml:space="preserve">Your needs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1195B" w:color="auto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  <w:caps w:val="false"/>
                <w:rFonts w:ascii="Arial" w:cs="Arial" w:eastAsia="Arial" w:hAnsi="Arial"/>
              </w:rPr>
              <w:t xml:space="preserve">The candidate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caps w:val="false"/>
                <w:rFonts w:ascii="Arial" w:cs="Arial" w:eastAsia="Arial" w:hAnsi="Arial"/>
              </w:rPr>
              <w:t xml:space="preserve">Min. 10 years offshore Malaysia process engineering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caps w:val="false"/>
                <w:rFonts w:ascii="Arial" w:cs="Arial" w:eastAsia="Arial" w:hAnsi="Arial"/>
              </w:rPr>
              <w:t xml:space="preserve">12 years (PETRONAS Carigali 2013–2019, Hess Malaysia 2019–2025)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color="auto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caps w:val="false"/>
                <w:rFonts w:ascii="Arial" w:cs="Arial" w:eastAsia="Arial" w:hAnsi="Arial"/>
              </w:rPr>
              <w:t xml:space="preserve">Brownfield debottlenecking track record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color="auto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caps w:val="false"/>
                <w:rFonts w:ascii="Arial" w:cs="Arial" w:eastAsia="Arial" w:hAnsi="Arial"/>
              </w:rPr>
              <w:t xml:space="preserve">3 campaigns led: dehydration +12%, gas compression +8%, separator train +15%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caps w:val="false"/>
                <w:rFonts w:ascii="Arial" w:cs="Arial" w:eastAsia="Arial" w:hAnsi="Arial"/>
              </w:rPr>
              <w:t xml:space="preserve">HAZOP leadership and PETRONAS PTS familiarity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caps w:val="false"/>
                <w:rFonts w:ascii="Arial" w:cs="Arial" w:eastAsia="Arial" w:hAnsi="Arial"/>
              </w:rPr>
              <w:t xml:space="preserve">HAZOP chair on 5 revamp projects, PTS daily-driver since 2015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color="auto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caps w:val="false"/>
                <w:rFonts w:ascii="Arial" w:cs="Arial" w:eastAsia="Arial" w:hAnsi="Arial"/>
              </w:rPr>
              <w:t xml:space="preserve">Aspen HYSYS + PIPESIM proficiency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color="auto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caps w:val="false"/>
                <w:rFonts w:ascii="Arial" w:cs="Arial" w:eastAsia="Arial" w:hAnsi="Arial"/>
              </w:rPr>
              <w:t xml:space="preserve">Daily use for 10+ years; trained 4 junior engineers on both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caps w:val="false"/>
                <w:rFonts w:ascii="Arial" w:cs="Arial" w:eastAsia="Arial" w:hAnsi="Arial"/>
              </w:rPr>
              <w:t xml:space="preserve">Available from June 2026, KL-based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caps w:val="false"/>
                <w:rFonts w:ascii="Arial" w:cs="Arial" w:eastAsia="Arial" w:hAnsi="Arial"/>
              </w:rPr>
              <w:t xml:space="preserve">Confirmed — available 1 June, KL resident, family settled, no relocation needed</w:t>
            </w:r>
          </w:p>
        </w:tc>
      </w:tr>
    </w:tbl>
    <w:p>
      <w:pPr>
        <w:spacing w:before="0" w:after="160"/>
      </w:pPr>
      <w:r>
        <w:rPr>
          <w:b w:val="false"/>
          <w:bCs w:val="false"/>
          <w:i w:val="false"/>
          <w:iCs w:val="false"/>
          <w:color w:val="222222"/>
          <w:sz w:val="2"/>
          <w:szCs w:val="2"/>
          <w:caps w:val="false"/>
          <w:rFonts w:ascii="Arial" w:cs="Arial" w:eastAsia="Arial" w:hAnsi="Arial"/>
        </w:rPr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E690B" w:color="auto"/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before="0" w:after="0"/>
            </w:pPr>
            <w:r>
              <w:rPr>
                <w:b/>
                <w:bCs/>
                <w:i w:val="false"/>
                <w:iCs w:val="false"/>
                <w:color w:val="FFFFFF"/>
                <w:sz w:val="24"/>
                <w:szCs w:val="24"/>
                <w:caps/>
                <w:rFonts w:ascii="Arial" w:cs="Arial" w:eastAsia="Arial" w:hAnsi="Arial"/>
              </w:rPr>
              <w:t xml:space="preserve">Qualification interview</w:t>
            </w:r>
          </w:p>
        </w:tc>
      </w:tr>
    </w:tbl>
    <w:p>
      <w:pPr>
        <w:spacing w:before="120" w:after="120"/>
      </w:pPr>
      <w:r>
        <w:rPr>
          <w:b w:val="false"/>
          <w:bCs w:val="false"/>
          <w:i/>
          <w:iCs/>
          <w:color w:val="555555"/>
          <w:sz w:val="20"/>
          <w:szCs w:val="20"/>
          <w:caps w:val="false"/>
          <w:rFonts w:ascii="Arial" w:cs="Arial" w:eastAsia="Arial" w:hAnsi="Arial"/>
        </w:rPr>
        <w:t xml:space="preserve">Date: 12/05/2026   |   Interviewer: Quentin Cloarec   |   Duration: 45 min</w:t>
      </w:r>
    </w:p>
    <w:p>
      <w:pPr>
        <w:keepNext/>
        <w:spacing w:before="60" w:after="60"/>
      </w:pPr>
      <w:r>
        <w:rPr>
          <w:b/>
          <w:bCs/>
          <w:i w:val="false"/>
          <w:iCs w:val="false"/>
          <w:color w:val="9E690B"/>
          <w:sz w:val="22"/>
          <w:szCs w:val="22"/>
          <w:caps w:val="false"/>
          <w:rFonts w:ascii="Arial" w:cs="Arial" w:eastAsia="Arial" w:hAnsi="Arial"/>
        </w:rPr>
        <w:t xml:space="preserve">Motivation</w:t>
      </w:r>
    </w:p>
    <w:p>
      <w:pPr>
        <w:spacing w:before="0" w:after="14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caps w:val="false"/>
          <w:rFonts w:ascii="Arial" w:cs="Arial" w:eastAsia="Arial" w:hAnsi="Arial"/>
        </w:rPr>
        <w:t xml:space="preserve">After a 12-month consulting break, the candidate wants to return to upstream operations on a technically meaningful asset. He sees Layang as the most rewarding brownfield play in Sarawak right now, with a clear runway for production optimization work over the next 24 months.</w:t>
      </w:r>
    </w:p>
    <w:p>
      <w:pPr>
        <w:keepNext/>
        <w:spacing w:before="120" w:after="80"/>
      </w:pPr>
      <w:r>
        <w:rPr>
          <w:b/>
          <w:bCs/>
          <w:i w:val="false"/>
          <w:iCs w:val="false"/>
          <w:color w:val="9E690B"/>
          <w:sz w:val="22"/>
          <w:szCs w:val="22"/>
          <w:caps w:val="false"/>
          <w:rFonts w:ascii="Arial" w:cs="Arial" w:eastAsia="Arial" w:hAnsi="Arial"/>
        </w:rPr>
        <w:t xml:space="preserve">In the candidate's own words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9E690B" w:sz="24"/>
              <w:bottom w:val="none" w:color="FFFFFF" w:sz="0"/>
              <w:right w:val="none" w:color="FFFFFF" w:sz="0"/>
            </w:tcBorders>
            <w:shd w:fill="F7F2E8" w:color="auto"/>
            <w:tcMar>
              <w:top w:type="dxa" w:w="100"/>
              <w:left w:type="dxa" w:w="220"/>
              <w:bottom w:type="dxa" w:w="100"/>
              <w:right w:type="dxa" w:w="200"/>
            </w:tcMar>
            <w:vAlign w:val="center"/>
          </w:tcPr>
          <w:p>
            <w:pPr>
              <w:spacing w:before="0" w:after="0"/>
            </w:pPr>
            <w:r>
              <w:rPr>
                <w:b w:val="false"/>
                <w:bCs w:val="false"/>
                <w:i/>
                <w:iCs/>
                <w:color w:val="222222"/>
                <w:sz w:val="22"/>
                <w:szCs w:val="22"/>
                <w:caps w:val="false"/>
                <w:rFonts w:ascii="Arial" w:cs="Arial" w:eastAsia="Arial" w:hAnsi="Arial"/>
              </w:rPr>
              <w:t xml:space="preserve">"Brownfield is where engineering actually moves the needle — greenfield is where you draw, brownfield is where you deliver."</w:t>
            </w:r>
          </w:p>
        </w:tc>
      </w:tr>
    </w:tbl>
    <w:p>
      <w:pPr>
        <w:spacing w:before="0" w:after="40"/>
      </w:pPr>
      <w:r>
        <w:rPr>
          <w:b w:val="false"/>
          <w:bCs w:val="false"/>
          <w:i w:val="false"/>
          <w:iCs w:val="false"/>
          <w:color w:val="222222"/>
          <w:sz w:val="2"/>
          <w:szCs w:val="2"/>
          <w:caps w:val="false"/>
          <w:rFonts w:ascii="Arial" w:cs="Arial" w:eastAsia="Arial" w:hAnsi="Arial"/>
        </w:rPr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9E690B" w:sz="24"/>
              <w:bottom w:val="none" w:color="FFFFFF" w:sz="0"/>
              <w:right w:val="none" w:color="FFFFFF" w:sz="0"/>
            </w:tcBorders>
            <w:shd w:fill="F7F2E8" w:color="auto"/>
            <w:tcMar>
              <w:top w:type="dxa" w:w="100"/>
              <w:left w:type="dxa" w:w="220"/>
              <w:bottom w:type="dxa" w:w="100"/>
              <w:right w:type="dxa" w:w="200"/>
            </w:tcMar>
            <w:vAlign w:val="center"/>
          </w:tcPr>
          <w:p>
            <w:pPr>
              <w:spacing w:before="0" w:after="0"/>
            </w:pPr>
            <w:r>
              <w:rPr>
                <w:b w:val="false"/>
                <w:bCs w:val="false"/>
                <w:i/>
                <w:iCs/>
                <w:color w:val="222222"/>
                <w:sz w:val="22"/>
                <w:szCs w:val="22"/>
                <w:caps w:val="false"/>
                <w:rFonts w:ascii="Arial" w:cs="Arial" w:eastAsia="Arial" w:hAnsi="Arial"/>
              </w:rPr>
              <w:t xml:space="preserve">"On Layang specifically, the dehydration train is the obvious lever — I'd want to look at the data in the first month before committing to a number."</w:t>
            </w:r>
          </w:p>
        </w:tc>
      </w:tr>
    </w:tbl>
    <w:p>
      <w:pPr>
        <w:spacing w:before="0" w:after="40"/>
      </w:pPr>
      <w:r>
        <w:rPr>
          <w:b w:val="false"/>
          <w:bCs w:val="false"/>
          <w:i w:val="false"/>
          <w:iCs w:val="false"/>
          <w:color w:val="222222"/>
          <w:sz w:val="2"/>
          <w:szCs w:val="2"/>
          <w:caps w:val="false"/>
          <w:rFonts w:ascii="Arial" w:cs="Arial" w:eastAsia="Arial" w:hAnsi="Arial"/>
        </w:rPr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9E690B" w:sz="24"/>
              <w:bottom w:val="none" w:color="FFFFFF" w:sz="0"/>
              <w:right w:val="none" w:color="FFFFFF" w:sz="0"/>
            </w:tcBorders>
            <w:shd w:fill="F7F2E8" w:color="auto"/>
            <w:tcMar>
              <w:top w:type="dxa" w:w="100"/>
              <w:left w:type="dxa" w:w="220"/>
              <w:bottom w:type="dxa" w:w="100"/>
              <w:right w:type="dxa" w:w="200"/>
            </w:tcMar>
            <w:vAlign w:val="center"/>
          </w:tcPr>
          <w:p>
            <w:pPr>
              <w:spacing w:before="0" w:after="0"/>
            </w:pPr>
            <w:r>
              <w:rPr>
                <w:b w:val="false"/>
                <w:bCs w:val="false"/>
                <w:i/>
                <w:iCs/>
                <w:color w:val="222222"/>
                <w:sz w:val="22"/>
                <w:szCs w:val="22"/>
                <w:caps w:val="false"/>
                <w:rFonts w:ascii="Arial" w:cs="Arial" w:eastAsia="Arial" w:hAnsi="Arial"/>
              </w:rPr>
              <w:t xml:space="preserve">"I'm not looking for a title bump, I'm looking for an asset I can actually improve."</w:t>
            </w:r>
          </w:p>
        </w:tc>
      </w:tr>
    </w:tbl>
    <w:p>
      <w:pPr>
        <w:keepNext/>
        <w:spacing w:before="200" w:after="60"/>
      </w:pPr>
      <w:r>
        <w:rPr>
          <w:b/>
          <w:bCs/>
          <w:i w:val="false"/>
          <w:iCs w:val="false"/>
          <w:color w:val="9E690B"/>
          <w:sz w:val="22"/>
          <w:szCs w:val="22"/>
          <w:caps w:val="false"/>
          <w:rFonts w:ascii="Arial" w:cs="Arial" w:eastAsia="Arial" w:hAnsi="Arial"/>
        </w:rPr>
        <w:t xml:space="preserve">Observed signals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caps w:val="false"/>
          <w:rFonts w:ascii="Arial" w:cs="Arial" w:eastAsia="Arial" w:hAnsi="Arial"/>
        </w:rPr>
        <w:t xml:space="preserve">Structured every project description in STAR format without being prompted.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caps w:val="false"/>
          <w:rFonts w:ascii="Arial" w:cs="Arial" w:eastAsia="Arial" w:hAnsi="Arial"/>
        </w:rPr>
        <w:t xml:space="preserve">Spontaneously cited two past safety incidents and what he changed afterwards.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caps w:val="false"/>
          <w:rFonts w:ascii="Arial" w:cs="Arial" w:eastAsia="Arial" w:hAnsi="Arial"/>
        </w:rPr>
        <w:t xml:space="preserve">Asked sharp questions about ENEOS's decision authority on capex below MYR 5M.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caps w:val="false"/>
          <w:rFonts w:ascii="Arial" w:cs="Arial" w:eastAsia="Arial" w:hAnsi="Arial"/>
        </w:rPr>
        <w:t xml:space="preserve">Comfortable with offshore rotations but flagged a hard cap of 21 days due to family in KL.</w:t>
      </w:r>
    </w:p>
    <w:p>
      <w:pPr>
        <w:keepNext/>
        <w:spacing w:before="160" w:after="60"/>
      </w:pPr>
      <w:r>
        <w:rPr>
          <w:b/>
          <w:bCs/>
          <w:i w:val="false"/>
          <w:iCs w:val="false"/>
          <w:color w:val="9E690B"/>
          <w:sz w:val="22"/>
          <w:szCs w:val="22"/>
          <w:caps w:val="false"/>
          <w:rFonts w:ascii="Arial" w:cs="Arial" w:eastAsia="Arial" w:hAnsi="Arial"/>
        </w:rPr>
        <w:t xml:space="preserve">Recruiter notes</w:t>
      </w:r>
    </w:p>
    <w:p>
      <w:pPr>
        <w:spacing w:before="0" w:after="12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caps w:val="false"/>
          <w:rFonts w:ascii="Arial" w:cs="Arial" w:eastAsia="Arial" w:hAnsi="Arial"/>
        </w:rPr>
        <w:t xml:space="preserve">Family settled in KL, will not accept rotations longer than 21 days. Available 1 June at earliest (current consulting engagement runs to end-May). Salary expectation aligned with MYR 1,800 / day; would consider 1,750 for a 12-month committed term.</w:t>
      </w:r>
    </w:p>
    <w:p>
      <w:pPr>
        <w:spacing w:before="0" w:after="160"/>
      </w:pPr>
      <w:r>
        <w:rPr>
          <w:b w:val="false"/>
          <w:bCs w:val="false"/>
          <w:i w:val="false"/>
          <w:iCs w:val="false"/>
          <w:color w:val="222222"/>
          <w:sz w:val="2"/>
          <w:szCs w:val="2"/>
          <w:caps w:val="false"/>
          <w:rFonts w:ascii="Arial" w:cs="Arial" w:eastAsia="Arial" w:hAnsi="Arial"/>
        </w:rPr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195B" w:color="auto"/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before="0" w:after="0"/>
            </w:pPr>
            <w:r>
              <w:rPr>
                <w:b/>
                <w:bCs/>
                <w:i w:val="false"/>
                <w:iCs w:val="false"/>
                <w:color w:val="FFFFFF"/>
                <w:sz w:val="24"/>
                <w:szCs w:val="24"/>
                <w:caps/>
                <w:rFonts w:ascii="Arial" w:cs="Arial" w:eastAsia="Arial" w:hAnsi="Arial"/>
              </w:rPr>
              <w:t xml:space="preserve">Profile summary</w:t>
            </w:r>
          </w:p>
        </w:tc>
      </w:tr>
    </w:tbl>
    <w:p>
      <w:pPr>
        <w:spacing w:before="0" w:after="60"/>
      </w:pPr>
      <w:r>
        <w:rPr>
          <w:b w:val="false"/>
          <w:bCs w:val="false"/>
          <w:i w:val="false"/>
          <w:iCs w:val="false"/>
          <w:color w:val="222222"/>
          <w:sz w:val="2"/>
          <w:szCs w:val="2"/>
          <w:caps w:val="false"/>
          <w:rFonts w:ascii="Arial" w:cs="Arial" w:eastAsia="Arial" w:hAnsi="Arial"/>
        </w:rPr>
      </w:r>
    </w:p>
    <w:p>
      <w:pPr>
        <w:spacing w:before="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caps w:val="false"/>
          <w:rFonts w:ascii="Arial" w:cs="Arial" w:eastAsia="Arial" w:hAnsi="Arial"/>
        </w:rPr>
        <w:t xml:space="preserve">Senior process engineer with 12 years of offshore upstream experience in Malaysian waters, specialised in brownfield debottlenecking and production optimization. Track record of unlocking double-digit throughput gains with zero or minimal capex, HAZOP chair on five revamp projects.</w:t>
      </w:r>
    </w:p>
    <w:p>
      <w:pPr>
        <w:spacing w:before="0" w:after="160"/>
      </w:pPr>
      <w:r>
        <w:rPr>
          <w:b w:val="false"/>
          <w:bCs w:val="false"/>
          <w:i w:val="false"/>
          <w:iCs w:val="false"/>
          <w:color w:val="222222"/>
          <w:sz w:val="2"/>
          <w:szCs w:val="2"/>
          <w:caps w:val="false"/>
          <w:rFonts w:ascii="Arial" w:cs="Arial" w:eastAsia="Arial" w:hAnsi="Arial"/>
        </w:rPr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195B" w:color="auto"/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before="0" w:after="0"/>
            </w:pPr>
            <w:r>
              <w:rPr>
                <w:b/>
                <w:bCs/>
                <w:i w:val="false"/>
                <w:iCs w:val="false"/>
                <w:color w:val="FFFFFF"/>
                <w:sz w:val="24"/>
                <w:szCs w:val="24"/>
                <w:caps/>
                <w:rFonts w:ascii="Arial" w:cs="Arial" w:eastAsia="Arial" w:hAnsi="Arial"/>
              </w:rPr>
              <w:t xml:space="preserve">Skills</w:t>
            </w:r>
          </w:p>
        </w:tc>
      </w:tr>
    </w:tbl>
    <w:tbl>
      <w:tblPr>
        <w:tblW w:type="dxa" w:w="936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i w:val="false"/>
                <w:iCs w:val="false"/>
                <w:color w:val="01195B"/>
                <w:sz w:val="21"/>
                <w:szCs w:val="21"/>
                <w:caps w:val="false"/>
                <w:rFonts w:ascii="Arial" w:cs="Arial" w:eastAsia="Arial" w:hAnsi="Arial"/>
              </w:rPr>
              <w:t xml:space="preserve">Sectors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caps w:val="false"/>
                <w:rFonts w:ascii="Arial" w:cs="Arial" w:eastAsia="Arial" w:hAnsi="Arial"/>
              </w:rPr>
              <w:t xml:space="preserve">Upstream Oil &amp; Gas  |  Brownfield Optimization  |  LNG  |  FPSO Operations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color="auto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i w:val="false"/>
                <w:iCs w:val="false"/>
                <w:color w:val="01195B"/>
                <w:sz w:val="21"/>
                <w:szCs w:val="21"/>
                <w:caps w:val="false"/>
                <w:rFonts w:ascii="Arial" w:cs="Arial" w:eastAsia="Arial" w:hAnsi="Arial"/>
              </w:rPr>
              <w:t xml:space="preserve">Key skills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color="auto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caps w:val="false"/>
                <w:rFonts w:ascii="Arial" w:cs="Arial" w:eastAsia="Arial" w:hAnsi="Arial"/>
              </w:rPr>
              <w:t xml:space="preserve">Process Simulation  |  Debottlenecking  |  HAZOP Leadership  |  Flare &amp; Relief Systems  |  Operations Support  |  Mentoring &amp; Team Lead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i w:val="false"/>
                <w:iCs w:val="false"/>
                <w:color w:val="01195B"/>
                <w:sz w:val="21"/>
                <w:szCs w:val="21"/>
                <w:caps w:val="false"/>
                <w:rFonts w:ascii="Arial" w:cs="Arial" w:eastAsia="Arial" w:hAnsi="Arial"/>
              </w:rPr>
              <w:t xml:space="preserve">Codes &amp; standards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caps w:val="false"/>
                <w:rFonts w:ascii="Arial" w:cs="Arial" w:eastAsia="Arial" w:hAnsi="Arial"/>
              </w:rPr>
              <w:t xml:space="preserve">API 521  |  API 14C  |  API RP 14E  |  ASME B31.3  |  PETRONAS PTS  |  Shell DEP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color="auto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i w:val="false"/>
                <w:iCs w:val="false"/>
                <w:color w:val="01195B"/>
                <w:sz w:val="21"/>
                <w:szCs w:val="21"/>
                <w:caps w:val="false"/>
                <w:rFonts w:ascii="Arial" w:cs="Arial" w:eastAsia="Arial" w:hAnsi="Arial"/>
              </w:rPr>
              <w:t xml:space="preserve">Software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color="auto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caps w:val="false"/>
                <w:rFonts w:ascii="Arial" w:cs="Arial" w:eastAsia="Arial" w:hAnsi="Arial"/>
              </w:rPr>
              <w:t xml:space="preserve">Aspen HYSYS  |  Aspen Plus  |  PIPESIM  |  Flarenet / Aspen Flare  |  Visual Flow  |  PI System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i w:val="false"/>
                <w:iCs w:val="false"/>
                <w:color w:val="01195B"/>
                <w:sz w:val="21"/>
                <w:szCs w:val="21"/>
                <w:caps w:val="false"/>
                <w:rFonts w:ascii="Arial" w:cs="Arial" w:eastAsia="Arial" w:hAnsi="Arial"/>
              </w:rPr>
              <w:t xml:space="preserve">Languages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0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  <w:caps w:val="false"/>
                <w:rFonts w:ascii="Arial" w:cs="Arial" w:eastAsia="Arial" w:hAnsi="Arial"/>
              </w:rPr>
              <w:t xml:space="preserve">English (fluent)  |  French (native)  |  Bahasa Malaysia (working)</w:t>
            </w:r>
          </w:p>
        </w:tc>
      </w:tr>
    </w:tbl>
    <w:p>
      <w:pPr>
        <w:spacing w:before="0" w:after="160"/>
      </w:pPr>
      <w:r>
        <w:rPr>
          <w:b w:val="false"/>
          <w:bCs w:val="false"/>
          <w:i w:val="false"/>
          <w:iCs w:val="false"/>
          <w:color w:val="222222"/>
          <w:sz w:val="2"/>
          <w:szCs w:val="2"/>
          <w:caps w:val="false"/>
          <w:rFonts w:ascii="Arial" w:cs="Arial" w:eastAsia="Arial" w:hAnsi="Arial"/>
        </w:rPr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195B" w:color="auto"/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before="0" w:after="0"/>
            </w:pPr>
            <w:r>
              <w:rPr>
                <w:b/>
                <w:bCs/>
                <w:i w:val="false"/>
                <w:iCs w:val="false"/>
                <w:color w:val="FFFFFF"/>
                <w:sz w:val="24"/>
                <w:szCs w:val="24"/>
                <w:caps/>
                <w:rFonts w:ascii="Arial" w:cs="Arial" w:eastAsia="Arial" w:hAnsi="Arial"/>
              </w:rPr>
              <w:t xml:space="preserve">Certifications &amp; trainings</w:t>
            </w:r>
          </w:p>
        </w:tc>
      </w:tr>
    </w:tbl>
    <w:p>
      <w:pPr>
        <w:spacing w:before="0" w:after="60"/>
      </w:pPr>
      <w:r>
        <w:rPr>
          <w:b w:val="false"/>
          <w:bCs w:val="false"/>
          <w:i w:val="false"/>
          <w:iCs w:val="false"/>
          <w:color w:val="222222"/>
          <w:sz w:val="2"/>
          <w:szCs w:val="2"/>
          <w:caps w:val="false"/>
          <w:rFonts w:ascii="Arial" w:cs="Arial" w:eastAsia="Arial" w:hAnsi="Arial"/>
        </w:rPr>
      </w:r>
    </w:p>
    <w:p>
      <w:pPr>
        <w:spacing w:before="50" w:after="50"/>
      </w:pPr>
      <w:r>
        <w:rPr>
          <w:b/>
          <w:bCs/>
          <w:i w:val="false"/>
          <w:iCs w:val="false"/>
          <w:color w:val="9E690B"/>
          <w:sz w:val="22"/>
          <w:szCs w:val="22"/>
          <w:caps w:val="false"/>
          <w:rFonts w:ascii="Arial" w:cs="Arial" w:eastAsia="Arial" w:hAnsi="Arial"/>
        </w:rPr>
        <w:t xml:space="preserve">2024   </w:t>
      </w:r>
      <w:r>
        <w:rPr>
          <w:b/>
          <w:bCs/>
          <w:i w:val="false"/>
          <w:iCs w:val="false"/>
          <w:color w:val="222222"/>
          <w:sz w:val="22"/>
          <w:szCs w:val="22"/>
          <w:caps w:val="false"/>
          <w:rFonts w:ascii="Arial" w:cs="Arial" w:eastAsia="Arial" w:hAnsi="Arial"/>
        </w:rPr>
        <w:t xml:space="preserve">BOSIET with EBS</w:t>
      </w:r>
      <w:r>
        <w:rPr>
          <w:b w:val="false"/>
          <w:bCs w:val="false"/>
          <w:i w:val="false"/>
          <w:iCs w:val="false"/>
          <w:color w:val="555555"/>
          <w:sz w:val="22"/>
          <w:szCs w:val="22"/>
          <w:caps w:val="false"/>
          <w:rFonts w:ascii="Arial" w:cs="Arial" w:eastAsia="Arial" w:hAnsi="Arial"/>
        </w:rPr>
        <w:t xml:space="preserve">   —   OPITO-approved centre, Kuala Lumpur</w:t>
      </w:r>
      <w:r>
        <w:rPr>
          <w:b w:val="false"/>
          <w:bCs w:val="false"/>
          <w:i/>
          <w:iCs/>
          <w:color w:val="555555"/>
          <w:sz w:val="21"/>
          <w:szCs w:val="21"/>
          <w:caps w:val="false"/>
          <w:rFonts w:ascii="Arial" w:cs="Arial" w:eastAsia="Arial" w:hAnsi="Arial"/>
        </w:rPr>
        <w:t xml:space="preserve">   (valid to 2028)</w:t>
      </w:r>
    </w:p>
    <w:p>
      <w:pPr>
        <w:spacing w:before="50" w:after="50"/>
      </w:pPr>
      <w:r>
        <w:rPr>
          <w:b/>
          <w:bCs/>
          <w:i w:val="false"/>
          <w:iCs w:val="false"/>
          <w:color w:val="9E690B"/>
          <w:sz w:val="22"/>
          <w:szCs w:val="22"/>
          <w:caps w:val="false"/>
          <w:rFonts w:ascii="Arial" w:cs="Arial" w:eastAsia="Arial" w:hAnsi="Arial"/>
        </w:rPr>
        <w:t xml:space="preserve">2022   </w:t>
      </w:r>
      <w:r>
        <w:rPr>
          <w:b/>
          <w:bCs/>
          <w:i w:val="false"/>
          <w:iCs w:val="false"/>
          <w:color w:val="222222"/>
          <w:sz w:val="22"/>
          <w:szCs w:val="22"/>
          <w:caps w:val="false"/>
          <w:rFonts w:ascii="Arial" w:cs="Arial" w:eastAsia="Arial" w:hAnsi="Arial"/>
        </w:rPr>
        <w:t xml:space="preserve">HAZOP Leadership</w:t>
      </w:r>
      <w:r>
        <w:rPr>
          <w:b w:val="false"/>
          <w:bCs w:val="false"/>
          <w:i w:val="false"/>
          <w:iCs w:val="false"/>
          <w:color w:val="555555"/>
          <w:sz w:val="22"/>
          <w:szCs w:val="22"/>
          <w:caps w:val="false"/>
          <w:rFonts w:ascii="Arial" w:cs="Arial" w:eastAsia="Arial" w:hAnsi="Arial"/>
        </w:rPr>
        <w:t xml:space="preserve">   —   IChemE</w:t>
      </w:r>
      <w:r>
        <w:rPr>
          <w:b w:val="false"/>
          <w:bCs w:val="false"/>
          <w:i/>
          <w:iCs/>
          <w:color w:val="555555"/>
          <w:sz w:val="21"/>
          <w:szCs w:val="21"/>
          <w:caps w:val="false"/>
          <w:rFonts w:ascii="Arial" w:cs="Arial" w:eastAsia="Arial" w:hAnsi="Arial"/>
        </w:rPr>
      </w:r>
    </w:p>
    <w:p>
      <w:pPr>
        <w:spacing w:before="50" w:after="50"/>
      </w:pPr>
      <w:r>
        <w:rPr>
          <w:b/>
          <w:bCs/>
          <w:i w:val="false"/>
          <w:iCs w:val="false"/>
          <w:color w:val="9E690B"/>
          <w:sz w:val="22"/>
          <w:szCs w:val="22"/>
          <w:caps w:val="false"/>
          <w:rFonts w:ascii="Arial" w:cs="Arial" w:eastAsia="Arial" w:hAnsi="Arial"/>
        </w:rPr>
        <w:t xml:space="preserve">2019   </w:t>
      </w:r>
      <w:r>
        <w:rPr>
          <w:b/>
          <w:bCs/>
          <w:i w:val="false"/>
          <w:iCs w:val="false"/>
          <w:color w:val="222222"/>
          <w:sz w:val="22"/>
          <w:szCs w:val="22"/>
          <w:caps w:val="false"/>
          <w:rFonts w:ascii="Arial" w:cs="Arial" w:eastAsia="Arial" w:hAnsi="Arial"/>
        </w:rPr>
        <w:t xml:space="preserve">Chartered Engineer (CEng)</w:t>
      </w:r>
      <w:r>
        <w:rPr>
          <w:b w:val="false"/>
          <w:bCs w:val="false"/>
          <w:i w:val="false"/>
          <w:iCs w:val="false"/>
          <w:color w:val="555555"/>
          <w:sz w:val="22"/>
          <w:szCs w:val="22"/>
          <w:caps w:val="false"/>
          <w:rFonts w:ascii="Arial" w:cs="Arial" w:eastAsia="Arial" w:hAnsi="Arial"/>
        </w:rPr>
        <w:t xml:space="preserve">   —   IChemE</w:t>
      </w:r>
      <w:r>
        <w:rPr>
          <w:b w:val="false"/>
          <w:bCs w:val="false"/>
          <w:i/>
          <w:iCs/>
          <w:color w:val="555555"/>
          <w:sz w:val="21"/>
          <w:szCs w:val="21"/>
          <w:caps w:val="false"/>
          <w:rFonts w:ascii="Arial" w:cs="Arial" w:eastAsia="Arial" w:hAnsi="Arial"/>
        </w:rPr>
      </w:r>
    </w:p>
    <w:p>
      <w:pPr>
        <w:spacing w:before="0" w:after="160"/>
      </w:pPr>
      <w:r>
        <w:rPr>
          <w:b w:val="false"/>
          <w:bCs w:val="false"/>
          <w:i w:val="false"/>
          <w:iCs w:val="false"/>
          <w:color w:val="222222"/>
          <w:sz w:val="2"/>
          <w:szCs w:val="2"/>
          <w:caps w:val="false"/>
          <w:rFonts w:ascii="Arial" w:cs="Arial" w:eastAsia="Arial" w:hAnsi="Arial"/>
        </w:rPr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195B" w:color="auto"/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before="0" w:after="0"/>
            </w:pPr>
            <w:r>
              <w:rPr>
                <w:b/>
                <w:bCs/>
                <w:i w:val="false"/>
                <w:iCs w:val="false"/>
                <w:color w:val="FFFFFF"/>
                <w:sz w:val="24"/>
                <w:szCs w:val="24"/>
                <w:caps/>
                <w:rFonts w:ascii="Arial" w:cs="Arial" w:eastAsia="Arial" w:hAnsi="Arial"/>
              </w:rPr>
              <w:t xml:space="preserve">Education</w:t>
            </w:r>
          </w:p>
        </w:tc>
      </w:tr>
    </w:tbl>
    <w:p>
      <w:pPr>
        <w:spacing w:before="0" w:after="60"/>
      </w:pPr>
      <w:r>
        <w:rPr>
          <w:b w:val="false"/>
          <w:bCs w:val="false"/>
          <w:i w:val="false"/>
          <w:iCs w:val="false"/>
          <w:color w:val="222222"/>
          <w:sz w:val="2"/>
          <w:szCs w:val="2"/>
          <w:caps w:val="false"/>
          <w:rFonts w:ascii="Arial" w:cs="Arial" w:eastAsia="Arial" w:hAnsi="Arial"/>
        </w:rPr>
      </w:r>
    </w:p>
    <w:p>
      <w:pPr>
        <w:spacing w:before="60" w:after="60"/>
      </w:pPr>
      <w:r>
        <w:rPr>
          <w:b/>
          <w:bCs/>
          <w:i w:val="false"/>
          <w:iCs w:val="false"/>
          <w:color w:val="9E690B"/>
          <w:sz w:val="22"/>
          <w:szCs w:val="22"/>
          <w:caps w:val="false"/>
          <w:rFonts w:ascii="Arial" w:cs="Arial" w:eastAsia="Arial" w:hAnsi="Arial"/>
        </w:rPr>
        <w:t xml:space="preserve">2010 – 2013   </w:t>
      </w:r>
      <w:r>
        <w:rPr>
          <w:b/>
          <w:bCs/>
          <w:i w:val="false"/>
          <w:iCs w:val="false"/>
          <w:color w:val="222222"/>
          <w:sz w:val="22"/>
          <w:szCs w:val="22"/>
          <w:caps w:val="false"/>
          <w:rFonts w:ascii="Arial" w:cs="Arial" w:eastAsia="Arial" w:hAnsi="Arial"/>
        </w:rPr>
        <w:t xml:space="preserve">MSc Chemical Engineering</w:t>
      </w:r>
      <w:r>
        <w:rPr>
          <w:b w:val="false"/>
          <w:bCs w:val="false"/>
          <w:i w:val="false"/>
          <w:iCs w:val="false"/>
          <w:color w:val="555555"/>
          <w:sz w:val="22"/>
          <w:szCs w:val="22"/>
          <w:caps w:val="false"/>
          <w:rFonts w:ascii="Arial" w:cs="Arial" w:eastAsia="Arial" w:hAnsi="Arial"/>
        </w:rPr>
        <w:t xml:space="preserve">   —   Imperial College London</w:t>
      </w:r>
    </w:p>
    <w:p>
      <w:pPr>
        <w:spacing w:before="60" w:after="60"/>
      </w:pPr>
      <w:r>
        <w:rPr>
          <w:b/>
          <w:bCs/>
          <w:i w:val="false"/>
          <w:iCs w:val="false"/>
          <w:color w:val="9E690B"/>
          <w:sz w:val="22"/>
          <w:szCs w:val="22"/>
          <w:caps w:val="false"/>
          <w:rFonts w:ascii="Arial" w:cs="Arial" w:eastAsia="Arial" w:hAnsi="Arial"/>
        </w:rPr>
        <w:t xml:space="preserve">2007 – 2010   </w:t>
      </w:r>
      <w:r>
        <w:rPr>
          <w:b/>
          <w:bCs/>
          <w:i w:val="false"/>
          <w:iCs w:val="false"/>
          <w:color w:val="222222"/>
          <w:sz w:val="22"/>
          <w:szCs w:val="22"/>
          <w:caps w:val="false"/>
          <w:rFonts w:ascii="Arial" w:cs="Arial" w:eastAsia="Arial" w:hAnsi="Arial"/>
        </w:rPr>
        <w:t xml:space="preserve">BEng Chemical Engineering (First Class)</w:t>
      </w:r>
      <w:r>
        <w:rPr>
          <w:b w:val="false"/>
          <w:bCs w:val="false"/>
          <w:i w:val="false"/>
          <w:iCs w:val="false"/>
          <w:color w:val="555555"/>
          <w:sz w:val="22"/>
          <w:szCs w:val="22"/>
          <w:caps w:val="false"/>
          <w:rFonts w:ascii="Arial" w:cs="Arial" w:eastAsia="Arial" w:hAnsi="Arial"/>
        </w:rPr>
        <w:t xml:space="preserve">   —   Universiti Teknologi PETRONAS</w:t>
      </w:r>
    </w:p>
    <w:p>
      <w:pPr>
        <w:spacing w:before="0" w:after="160"/>
      </w:pPr>
      <w:r>
        <w:rPr>
          <w:b w:val="false"/>
          <w:bCs w:val="false"/>
          <w:i w:val="false"/>
          <w:iCs w:val="false"/>
          <w:color w:val="222222"/>
          <w:sz w:val="2"/>
          <w:szCs w:val="2"/>
          <w:caps w:val="false"/>
          <w:rFonts w:ascii="Arial" w:cs="Arial" w:eastAsia="Arial" w:hAnsi="Arial"/>
        </w:rPr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195B" w:color="auto"/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before="0" w:after="0"/>
            </w:pPr>
            <w:r>
              <w:rPr>
                <w:b/>
                <w:bCs/>
                <w:i w:val="false"/>
                <w:iCs w:val="false"/>
                <w:color w:val="FFFFFF"/>
                <w:sz w:val="24"/>
                <w:szCs w:val="24"/>
                <w:caps/>
                <w:rFonts w:ascii="Arial" w:cs="Arial" w:eastAsia="Arial" w:hAnsi="Arial"/>
              </w:rPr>
              <w:t xml:space="preserve">Experience</w:t>
            </w:r>
          </w:p>
        </w:tc>
      </w:tr>
    </w:tbl>
    <w:p>
      <w:pPr>
        <w:spacing w:before="0" w:after="80"/>
      </w:pPr>
      <w:r>
        <w:rPr>
          <w:b w:val="false"/>
          <w:bCs w:val="false"/>
          <w:i w:val="false"/>
          <w:iCs w:val="false"/>
          <w:color w:val="222222"/>
          <w:sz w:val="2"/>
          <w:szCs w:val="2"/>
          <w:caps w:val="false"/>
          <w:rFonts w:ascii="Arial" w:cs="Arial" w:eastAsia="Arial" w:hAnsi="Arial"/>
        </w:rPr>
      </w:r>
    </w:p>
    <w:p>
      <w:pPr>
        <w:keepNext/>
        <w:spacing w:before="0" w:after="50"/>
      </w:pPr>
      <w:r>
        <w:rPr>
          <w:b/>
          <w:bCs/>
          <w:i w:val="false"/>
          <w:iCs w:val="false"/>
          <w:color w:val="01195B"/>
          <w:sz w:val="24"/>
          <w:szCs w:val="24"/>
          <w:caps w:val="false"/>
          <w:rFonts w:ascii="Arial" w:cs="Arial" w:eastAsia="Arial" w:hAnsi="Arial"/>
        </w:rPr>
        <w:t xml:space="preserve">Senior Process Engineer</w:t>
      </w:r>
    </w:p>
    <w:p>
      <w:pPr>
        <w:keepNext/>
        <w:spacing w:before="0" w:after="100"/>
      </w:pPr>
      <w:r>
        <w:rPr>
          <w:b/>
          <w:bCs/>
          <w:i w:val="false"/>
          <w:iCs w:val="false"/>
          <w:color w:val="222222"/>
          <w:sz w:val="22"/>
          <w:szCs w:val="22"/>
          <w:caps w:val="false"/>
          <w:rFonts w:ascii="Arial" w:cs="Arial" w:eastAsia="Arial" w:hAnsi="Arial"/>
        </w:rPr>
        <w:t xml:space="preserve">Hess Malaysia</w:t>
      </w:r>
      <w:r>
        <w:rPr>
          <w:b w:val="false"/>
          <w:bCs w:val="false"/>
          <w:i w:val="false"/>
          <w:iCs w:val="false"/>
          <w:color w:val="555555"/>
          <w:sz w:val="22"/>
          <w:szCs w:val="22"/>
          <w:caps w:val="false"/>
          <w:rFonts w:ascii="Arial" w:cs="Arial" w:eastAsia="Arial" w:hAnsi="Arial"/>
        </w:rPr>
        <w:t xml:space="preserve">   |   6 years</w:t>
      </w:r>
      <w:r>
        <w:rPr>
          <w:b w:val="false"/>
          <w:bCs w:val="false"/>
          <w:i w:val="false"/>
          <w:iCs w:val="false"/>
          <w:color w:val="555555"/>
          <w:sz w:val="22"/>
          <w:szCs w:val="22"/>
          <w:caps w:val="false"/>
          <w:rFonts w:ascii="Arial" w:cs="Arial" w:eastAsia="Arial" w:hAnsi="Arial"/>
        </w:rPr>
        <w:t xml:space="preserve">   |   2019 – 2025</w:t>
      </w:r>
    </w:p>
    <w:p>
      <w:pPr>
        <w:keepNext/>
        <w:spacing w:before="60" w:after="40"/>
      </w:pPr>
      <w:r>
        <w:rPr>
          <w:b/>
          <w:bCs/>
          <w:i w:val="false"/>
          <w:iCs w:val="false"/>
          <w:color w:val="9E690B"/>
          <w:sz w:val="21"/>
          <w:szCs w:val="21"/>
          <w:caps w:val="false"/>
          <w:rFonts w:ascii="Arial" w:cs="Arial" w:eastAsia="Arial" w:hAnsi="Arial"/>
        </w:rPr>
        <w:t xml:space="preserve">Context</w:t>
      </w:r>
    </w:p>
    <w:p>
      <w:pPr>
        <w:spacing w:before="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caps w:val="false"/>
          <w:rFonts w:ascii="Arial" w:cs="Arial" w:eastAsia="Arial" w:hAnsi="Arial"/>
        </w:rPr>
        <w:t xml:space="preserve">North Malay Basin gas development — FPSO Bergading plus four satellite platforms supplying gas to Peninsular Malaysia under a long-term PETRONAS GSA.</w:t>
      </w:r>
    </w:p>
    <w:p>
      <w:pPr>
        <w:keepNext/>
        <w:spacing w:before="60" w:after="40"/>
      </w:pPr>
      <w:r>
        <w:rPr>
          <w:b/>
          <w:bCs/>
          <w:i w:val="false"/>
          <w:iCs w:val="false"/>
          <w:color w:val="9E690B"/>
          <w:sz w:val="21"/>
          <w:szCs w:val="21"/>
          <w:caps w:val="false"/>
          <w:rFonts w:ascii="Arial" w:cs="Arial" w:eastAsia="Arial" w:hAnsi="Arial"/>
        </w:rPr>
        <w:t xml:space="preserve">Actions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caps w:val="false"/>
          <w:rFonts w:ascii="Arial" w:cs="Arial" w:eastAsia="Arial" w:hAnsi="Arial"/>
        </w:rPr>
        <w:t xml:space="preserve">Led debottlenecking of the TEG dehydration train, unlocking +12% gas export capacity with zero capex.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caps w:val="false"/>
          <w:rFonts w:ascii="Arial" w:cs="Arial" w:eastAsia="Arial" w:hAnsi="Arial"/>
        </w:rPr>
        <w:t xml:space="preserve">Chaired HAZOP for the 2022 compression revamp (3 trains, 60 MMSCFD each).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caps w:val="false"/>
          <w:rFonts w:ascii="Arial" w:cs="Arial" w:eastAsia="Arial" w:hAnsi="Arial"/>
        </w:rPr>
        <w:t xml:space="preserve">Built the asset's first integrated production model in PIPESIM, used weekly by operations.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caps w:val="false"/>
          <w:rFonts w:ascii="Arial" w:cs="Arial" w:eastAsia="Arial" w:hAnsi="Arial"/>
        </w:rPr>
        <w:t xml:space="preserve">Mentored four junior engineers on HYSYS, HAZOP facilitation and PETRONAS PTS application.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caps w:val="false"/>
          <w:rFonts w:ascii="Arial" w:cs="Arial" w:eastAsia="Arial" w:hAnsi="Arial"/>
        </w:rPr>
        <w:t xml:space="preserve">On-call process engineer for offshore — handled 14 unplanned shutdowns over the period.</w:t>
      </w:r>
    </w:p>
    <w:p>
      <w:pPr>
        <w:keepNext/>
        <w:spacing w:before="80" w:after="40"/>
      </w:pPr>
      <w:r>
        <w:rPr>
          <w:b/>
          <w:bCs/>
          <w:i w:val="false"/>
          <w:iCs w:val="false"/>
          <w:color w:val="9E690B"/>
          <w:sz w:val="21"/>
          <w:szCs w:val="21"/>
          <w:caps w:val="false"/>
          <w:rFonts w:ascii="Arial" w:cs="Arial" w:eastAsia="Arial" w:hAnsi="Arial"/>
        </w:rPr>
        <w:t xml:space="preserve">Technical environment</w:t>
      </w:r>
    </w:p>
    <w:p>
      <w:pPr>
        <w:spacing w:before="0" w:after="120"/>
      </w:pPr>
      <w:r>
        <w:rPr>
          <w:b w:val="false"/>
          <w:bCs w:val="false"/>
          <w:i/>
          <w:iCs/>
          <w:color w:val="555555"/>
          <w:sz w:val="21"/>
          <w:szCs w:val="21"/>
          <w:caps w:val="false"/>
          <w:rFonts w:ascii="Arial" w:cs="Arial" w:eastAsia="Arial" w:hAnsi="Arial"/>
        </w:rPr>
        <w:t xml:space="preserve">Aspen HYSYS, PIPESIM, Flarenet, PI System — API 521, API 14C, PETRONAS PTS</w:t>
      </w:r>
    </w:p>
    <w:p>
      <w:pPr>
        <w:keepNext/>
        <w:spacing w:before="240" w:after="50"/>
      </w:pPr>
      <w:r>
        <w:rPr>
          <w:b/>
          <w:bCs/>
          <w:i w:val="false"/>
          <w:iCs w:val="false"/>
          <w:color w:val="01195B"/>
          <w:sz w:val="24"/>
          <w:szCs w:val="24"/>
          <w:caps w:val="false"/>
          <w:rFonts w:ascii="Arial" w:cs="Arial" w:eastAsia="Arial" w:hAnsi="Arial"/>
        </w:rPr>
        <w:t xml:space="preserve">Process Engineer</w:t>
      </w:r>
    </w:p>
    <w:p>
      <w:pPr>
        <w:keepNext/>
        <w:spacing w:before="0" w:after="100"/>
      </w:pPr>
      <w:r>
        <w:rPr>
          <w:b/>
          <w:bCs/>
          <w:i w:val="false"/>
          <w:iCs w:val="false"/>
          <w:color w:val="222222"/>
          <w:sz w:val="22"/>
          <w:szCs w:val="22"/>
          <w:caps w:val="false"/>
          <w:rFonts w:ascii="Arial" w:cs="Arial" w:eastAsia="Arial" w:hAnsi="Arial"/>
        </w:rPr>
        <w:t xml:space="preserve">PETRONAS Carigali</w:t>
      </w:r>
      <w:r>
        <w:rPr>
          <w:b w:val="false"/>
          <w:bCs w:val="false"/>
          <w:i w:val="false"/>
          <w:iCs w:val="false"/>
          <w:color w:val="555555"/>
          <w:sz w:val="22"/>
          <w:szCs w:val="22"/>
          <w:caps w:val="false"/>
          <w:rFonts w:ascii="Arial" w:cs="Arial" w:eastAsia="Arial" w:hAnsi="Arial"/>
        </w:rPr>
        <w:t xml:space="preserve">   |   6 years</w:t>
      </w:r>
      <w:r>
        <w:rPr>
          <w:b w:val="false"/>
          <w:bCs w:val="false"/>
          <w:i w:val="false"/>
          <w:iCs w:val="false"/>
          <w:color w:val="555555"/>
          <w:sz w:val="22"/>
          <w:szCs w:val="22"/>
          <w:caps w:val="false"/>
          <w:rFonts w:ascii="Arial" w:cs="Arial" w:eastAsia="Arial" w:hAnsi="Arial"/>
        </w:rPr>
        <w:t xml:space="preserve">   |   2013 – 2019</w:t>
      </w:r>
    </w:p>
    <w:p>
      <w:pPr>
        <w:keepNext/>
        <w:spacing w:before="60" w:after="40"/>
      </w:pPr>
      <w:r>
        <w:rPr>
          <w:b/>
          <w:bCs/>
          <w:i w:val="false"/>
          <w:iCs w:val="false"/>
          <w:color w:val="9E690B"/>
          <w:sz w:val="21"/>
          <w:szCs w:val="21"/>
          <w:caps w:val="false"/>
          <w:rFonts w:ascii="Arial" w:cs="Arial" w:eastAsia="Arial" w:hAnsi="Arial"/>
        </w:rPr>
        <w:t xml:space="preserve">Context</w:t>
      </w:r>
    </w:p>
    <w:p>
      <w:pPr>
        <w:spacing w:before="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caps w:val="false"/>
          <w:rFonts w:ascii="Arial" w:cs="Arial" w:eastAsia="Arial" w:hAnsi="Arial"/>
        </w:rPr>
        <w:t xml:space="preserve">Sabah upstream operations, multiple offshore platforms feeding the Kimanis Gas Terminal.</w:t>
      </w:r>
    </w:p>
    <w:p>
      <w:pPr>
        <w:keepNext/>
        <w:spacing w:before="60" w:after="40"/>
      </w:pPr>
      <w:r>
        <w:rPr>
          <w:b/>
          <w:bCs/>
          <w:i w:val="false"/>
          <w:iCs w:val="false"/>
          <w:color w:val="9E690B"/>
          <w:sz w:val="21"/>
          <w:szCs w:val="21"/>
          <w:caps w:val="false"/>
          <w:rFonts w:ascii="Arial" w:cs="Arial" w:eastAsia="Arial" w:hAnsi="Arial"/>
        </w:rPr>
        <w:t xml:space="preserve">Actions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caps w:val="false"/>
          <w:rFonts w:ascii="Arial" w:cs="Arial" w:eastAsia="Arial" w:hAnsi="Arial"/>
        </w:rPr>
        <w:t xml:space="preserve">Day-to-day process support for three offshore platforms.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caps w:val="false"/>
          <w:rFonts w:ascii="Arial" w:cs="Arial" w:eastAsia="Arial" w:hAnsi="Arial"/>
        </w:rPr>
        <w:t xml:space="preserve">Operations interface for two greenfield tie-ins (engineering, commissioning, start-up).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caps w:val="false"/>
          <w:rFonts w:ascii="Arial" w:cs="Arial" w:eastAsia="Arial" w:hAnsi="Arial"/>
        </w:rPr>
        <w:t xml:space="preserve">Co-authored revisions to internal PTS sections on flare design.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caps w:val="false"/>
          <w:rFonts w:ascii="Arial" w:cs="Arial" w:eastAsia="Arial" w:hAnsi="Arial"/>
        </w:rPr>
        <w:t xml:space="preserve">Delivered safety case updates for two assets ahead of regulatory review.</w:t>
      </w:r>
    </w:p>
    <w:p>
      <w:pPr>
        <w:keepNext/>
        <w:spacing w:before="80" w:after="40"/>
      </w:pPr>
      <w:r>
        <w:rPr>
          <w:b/>
          <w:bCs/>
          <w:i w:val="false"/>
          <w:iCs w:val="false"/>
          <w:color w:val="9E690B"/>
          <w:sz w:val="21"/>
          <w:szCs w:val="21"/>
          <w:caps w:val="false"/>
          <w:rFonts w:ascii="Arial" w:cs="Arial" w:eastAsia="Arial" w:hAnsi="Arial"/>
        </w:rPr>
        <w:t xml:space="preserve">Technical environment</w:t>
      </w:r>
    </w:p>
    <w:p>
      <w:pPr>
        <w:spacing w:before="0" w:after="120"/>
      </w:pPr>
      <w:r>
        <w:rPr>
          <w:b w:val="false"/>
          <w:bCs w:val="false"/>
          <w:i/>
          <w:iCs/>
          <w:color w:val="555555"/>
          <w:sz w:val="21"/>
          <w:szCs w:val="21"/>
          <w:caps w:val="false"/>
          <w:rFonts w:ascii="Arial" w:cs="Arial" w:eastAsia="Arial" w:hAnsi="Arial"/>
        </w:rPr>
        <w:t xml:space="preserve">Aspen HYSYS, Flarenet, Visual Flow — PETRONAS PTS, API 521, API RP 14E</w:t>
      </w:r>
    </w:p>
    <w:p>
      <w:pPr>
        <w:keepNext/>
        <w:spacing w:before="240" w:after="50"/>
      </w:pPr>
      <w:r>
        <w:rPr>
          <w:b/>
          <w:bCs/>
          <w:i w:val="false"/>
          <w:iCs w:val="false"/>
          <w:color w:val="01195B"/>
          <w:sz w:val="24"/>
          <w:szCs w:val="24"/>
          <w:caps w:val="false"/>
          <w:rFonts w:ascii="Arial" w:cs="Arial" w:eastAsia="Arial" w:hAnsi="Arial"/>
        </w:rPr>
        <w:t xml:space="preserve">Graduate Process Engineer</w:t>
      </w:r>
    </w:p>
    <w:p>
      <w:pPr>
        <w:keepNext/>
        <w:spacing w:before="0" w:after="100"/>
      </w:pPr>
      <w:r>
        <w:rPr>
          <w:b/>
          <w:bCs/>
          <w:i w:val="false"/>
          <w:iCs w:val="false"/>
          <w:color w:val="222222"/>
          <w:sz w:val="22"/>
          <w:szCs w:val="22"/>
          <w:caps w:val="false"/>
          <w:rFonts w:ascii="Arial" w:cs="Arial" w:eastAsia="Arial" w:hAnsi="Arial"/>
        </w:rPr>
        <w:t xml:space="preserve">Technip (KL office)</w:t>
      </w:r>
      <w:r>
        <w:rPr>
          <w:b w:val="false"/>
          <w:bCs w:val="false"/>
          <w:i w:val="false"/>
          <w:iCs w:val="false"/>
          <w:color w:val="555555"/>
          <w:sz w:val="22"/>
          <w:szCs w:val="22"/>
          <w:caps w:val="false"/>
          <w:rFonts w:ascii="Arial" w:cs="Arial" w:eastAsia="Arial" w:hAnsi="Arial"/>
        </w:rPr>
        <w:t xml:space="preserve">   |   10 months</w:t>
      </w:r>
      <w:r>
        <w:rPr>
          <w:b w:val="false"/>
          <w:bCs w:val="false"/>
          <w:i w:val="false"/>
          <w:iCs w:val="false"/>
          <w:color w:val="555555"/>
          <w:sz w:val="22"/>
          <w:szCs w:val="22"/>
          <w:caps w:val="false"/>
          <w:rFonts w:ascii="Arial" w:cs="Arial" w:eastAsia="Arial" w:hAnsi="Arial"/>
        </w:rPr>
        <w:t xml:space="preserve">   |   2012 – 2013</w:t>
      </w:r>
    </w:p>
    <w:p>
      <w:pPr>
        <w:keepNext/>
        <w:spacing w:before="60" w:after="40"/>
      </w:pPr>
      <w:r>
        <w:rPr>
          <w:b/>
          <w:bCs/>
          <w:i w:val="false"/>
          <w:iCs w:val="false"/>
          <w:color w:val="9E690B"/>
          <w:sz w:val="21"/>
          <w:szCs w:val="21"/>
          <w:caps w:val="false"/>
          <w:rFonts w:ascii="Arial" w:cs="Arial" w:eastAsia="Arial" w:hAnsi="Arial"/>
        </w:rPr>
        <w:t xml:space="preserve">Context</w:t>
      </w:r>
    </w:p>
    <w:p>
      <w:pPr>
        <w:spacing w:before="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caps w:val="false"/>
          <w:rFonts w:ascii="Arial" w:cs="Arial" w:eastAsia="Arial" w:hAnsi="Arial"/>
        </w:rPr>
        <w:t xml:space="preserve">EPC support to a PETRONAS LNG Train 9 (Bintulu) module fabrication package.</w:t>
      </w:r>
    </w:p>
    <w:p>
      <w:pPr>
        <w:keepNext/>
        <w:spacing w:before="60" w:after="40"/>
      </w:pPr>
      <w:r>
        <w:rPr>
          <w:b/>
          <w:bCs/>
          <w:i w:val="false"/>
          <w:iCs w:val="false"/>
          <w:color w:val="9E690B"/>
          <w:sz w:val="21"/>
          <w:szCs w:val="21"/>
          <w:caps w:val="false"/>
          <w:rFonts w:ascii="Arial" w:cs="Arial" w:eastAsia="Arial" w:hAnsi="Arial"/>
        </w:rPr>
        <w:t xml:space="preserve">Actions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caps w:val="false"/>
          <w:rFonts w:ascii="Arial" w:cs="Arial" w:eastAsia="Arial" w:hAnsi="Arial"/>
        </w:rPr>
        <w:t xml:space="preserve">Heat-exchanger sizing, hydraulic checks and flare load contributions.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caps w:val="false"/>
          <w:rFonts w:ascii="Arial" w:cs="Arial" w:eastAsia="Arial" w:hAnsi="Arial"/>
        </w:rPr>
        <w:t xml:space="preserve">Vendor document review and technical query handling.</w:t>
      </w:r>
    </w:p>
    <w:p>
      <w:pPr>
        <w:keepNext/>
        <w:spacing w:before="80" w:after="40"/>
      </w:pPr>
      <w:r>
        <w:rPr>
          <w:b/>
          <w:bCs/>
          <w:i w:val="false"/>
          <w:iCs w:val="false"/>
          <w:color w:val="9E690B"/>
          <w:sz w:val="21"/>
          <w:szCs w:val="21"/>
          <w:caps w:val="false"/>
          <w:rFonts w:ascii="Arial" w:cs="Arial" w:eastAsia="Arial" w:hAnsi="Arial"/>
        </w:rPr>
        <w:t xml:space="preserve">Technical environment</w:t>
      </w:r>
    </w:p>
    <w:p>
      <w:pPr>
        <w:spacing w:before="0" w:after="120"/>
      </w:pPr>
      <w:r>
        <w:rPr>
          <w:b w:val="false"/>
          <w:bCs w:val="false"/>
          <w:i/>
          <w:iCs/>
          <w:color w:val="555555"/>
          <w:sz w:val="21"/>
          <w:szCs w:val="21"/>
          <w:caps w:val="false"/>
          <w:rFonts w:ascii="Arial" w:cs="Arial" w:eastAsia="Arial" w:hAnsi="Arial"/>
        </w:rPr>
        <w:t xml:space="preserve">Aspen Exchanger Design &amp; Rating, HYSYS</w:t>
      </w:r>
    </w:p>
    <w:p>
      <w:pPr>
        <w:spacing w:before="0" w:after="160"/>
      </w:pPr>
      <w:r>
        <w:rPr>
          <w:b w:val="false"/>
          <w:bCs w:val="false"/>
          <w:i w:val="false"/>
          <w:iCs w:val="false"/>
          <w:color w:val="222222"/>
          <w:sz w:val="2"/>
          <w:szCs w:val="2"/>
          <w:caps w:val="false"/>
          <w:rFonts w:ascii="Arial" w:cs="Arial" w:eastAsia="Arial" w:hAnsi="Arial"/>
        </w:rPr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195B" w:color="auto"/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before="0" w:after="0"/>
            </w:pPr>
            <w:r>
              <w:rPr>
                <w:b/>
                <w:bCs/>
                <w:i w:val="false"/>
                <w:iCs w:val="false"/>
                <w:color w:val="FFFFFF"/>
                <w:sz w:val="24"/>
                <w:szCs w:val="24"/>
                <w:caps/>
                <w:rFonts w:ascii="Arial" w:cs="Arial" w:eastAsia="Arial" w:hAnsi="Arial"/>
              </w:rPr>
              <w:t xml:space="preserve">Additional information</w:t>
            </w:r>
          </w:p>
        </w:tc>
      </w:tr>
    </w:tbl>
    <w:p>
      <w:pPr>
        <w:spacing w:before="0" w:after="60"/>
      </w:pPr>
      <w:r>
        <w:rPr>
          <w:b w:val="false"/>
          <w:bCs w:val="false"/>
          <w:i w:val="false"/>
          <w:iCs w:val="false"/>
          <w:color w:val="222222"/>
          <w:sz w:val="2"/>
          <w:szCs w:val="2"/>
          <w:caps w:val="false"/>
          <w:rFonts w:ascii="Arial" w:cs="Arial" w:eastAsia="Arial" w:hAnsi="Arial"/>
        </w:rPr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caps w:val="false"/>
          <w:rFonts w:ascii="Arial" w:cs="Arial" w:eastAsia="Arial" w:hAnsi="Arial"/>
        </w:rPr>
        <w:t xml:space="preserve">Co-author, two internal PETRONAS PTS revisions on flare design (2017, 2018).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caps w:val="false"/>
          <w:rFonts w:ascii="Arial" w:cs="Arial" w:eastAsia="Arial" w:hAnsi="Arial"/>
        </w:rPr>
        <w:t xml:space="preserve">Speaker, OGA Kuala Lumpur 2023 — "Zero-capex debottlenecking in mature gas assets".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caps w:val="false"/>
          <w:rFonts w:ascii="Arial" w:cs="Arial" w:eastAsia="Arial" w:hAnsi="Arial"/>
        </w:rPr>
        <w:t xml:space="preserve">Volunteer mentor, Young Engineers programme, IEM Malaysia.</w:t>
      </w:r>
    </w:p>
    <w:p>
      <w:pPr>
        <w:spacing w:before="0" w:after="160"/>
      </w:pPr>
      <w:r>
        <w:rPr>
          <w:b w:val="false"/>
          <w:bCs w:val="false"/>
          <w:i w:val="false"/>
          <w:iCs w:val="false"/>
          <w:color w:val="222222"/>
          <w:sz w:val="2"/>
          <w:szCs w:val="2"/>
          <w:caps w:val="false"/>
          <w:rFonts w:ascii="Arial" w:cs="Arial" w:eastAsia="Arial" w:hAnsi="Arial"/>
        </w:rPr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195B" w:color="auto"/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before="0" w:after="0"/>
            </w:pPr>
            <w:r>
              <w:rPr>
                <w:b/>
                <w:bCs/>
                <w:i w:val="false"/>
                <w:iCs w:val="false"/>
                <w:color w:val="FFFFFF"/>
                <w:sz w:val="24"/>
                <w:szCs w:val="24"/>
                <w:caps/>
                <w:rFonts w:ascii="Arial" w:cs="Arial" w:eastAsia="Arial" w:hAnsi="Arial"/>
              </w:rPr>
              <w:t xml:space="preserve">Next steps</w:t>
            </w:r>
          </w:p>
        </w:tc>
      </w:tr>
    </w:tbl>
    <w:p>
      <w:pPr>
        <w:spacing w:before="0" w:after="80"/>
      </w:pPr>
      <w:r>
        <w:rPr>
          <w:b w:val="false"/>
          <w:bCs w:val="false"/>
          <w:i w:val="false"/>
          <w:iCs w:val="false"/>
          <w:color w:val="222222"/>
          <w:sz w:val="2"/>
          <w:szCs w:val="2"/>
          <w:caps w:val="false"/>
          <w:rFonts w:ascii="Arial" w:cs="Arial" w:eastAsia="Arial" w:hAnsi="Arial"/>
        </w:rPr>
      </w:r>
    </w:p>
    <w:p>
      <w:pPr>
        <w:spacing w:before="0" w:after="120"/>
      </w:pPr>
      <w:r>
        <w:rPr>
          <w:b/>
          <w:bCs/>
          <w:i w:val="false"/>
          <w:iCs w:val="false"/>
          <w:color w:val="01195B"/>
          <w:sz w:val="22"/>
          <w:szCs w:val="22"/>
          <w:caps w:val="false"/>
          <w:rFonts w:ascii="Arial" w:cs="Arial" w:eastAsia="Arial" w:hAnsi="Arial"/>
        </w:rPr>
        <w:t xml:space="preserve">About Quentin Cloarec, Founder &amp; CEO.  </w:t>
      </w:r>
      <w:r>
        <w:rPr>
          <w:b w:val="false"/>
          <w:bCs w:val="false"/>
          <w:i/>
          <w:iCs/>
          <w:color w:val="555555"/>
          <w:sz w:val="22"/>
          <w:szCs w:val="22"/>
          <w:caps w:val="false"/>
          <w:rFonts w:ascii="Arial" w:cs="Arial" w:eastAsia="Arial" w:hAnsi="Arial"/>
        </w:rPr>
        <w:t xml:space="preserve">Founder of Trees Engineering, placing senior engineers across APAC energy projects. 10+ years connecting offshore Oil &amp; Gas talent with operators in Malaysia and the Middle East.</w:t>
      </w:r>
    </w:p>
    <w:p>
      <w:pPr>
        <w:spacing w:before="0" w:after="12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caps w:val="false"/>
          <w:rFonts w:ascii="Arial" w:cs="Arial" w:eastAsia="Arial" w:hAnsi="Arial"/>
        </w:rPr>
        <w:t xml:space="preserve">If the profile matches your needs, the simplest next step is a 30-minute call with Quentin Cloarec to align on timing, scope and onboarding logistics.</w:t>
      </w:r>
    </w:p>
    <w:p>
      <w:pPr>
        <w:spacing w:before="80" w:after="80"/>
      </w:pPr>
      <w:hyperlink w:history="1" r:id="rIdm3e2-kzlzu-i6anmlu6sp">
        <w:r>
          <w:rPr>
            <w:b/>
            <w:bCs/>
            <w:i w:val="false"/>
            <w:iCs w:val="false"/>
            <w:u w:val="single" w:color="9E690B"/>
            <w:color w:val="9E690B"/>
            <w:sz w:val="24"/>
            <w:szCs w:val="24"/>
            <w:caps w:val="false"/>
            <w:rFonts w:ascii="Arial" w:cs="Arial" w:eastAsia="Arial" w:hAnsi="Arial"/>
          </w:rPr>
          <w:t xml:space="preserve">Book a call with Quentin Cloarec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216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40"/>
    </w:pPr>
    <w:r>
      <w:rPr>
        <w:b/>
        <w:bCs/>
        <w:i w:val="false"/>
        <w:iCs w:val="false"/>
        <w:color w:val="555555"/>
        <w:sz w:val="16"/>
        <w:szCs w:val="16"/>
        <w:caps w:val="false"/>
        <w:rFonts w:ascii="Arial" w:cs="Arial" w:eastAsia="Arial" w:hAnsi="Arial"/>
      </w:rPr>
      <w:t xml:space="preserve">Quentin Cloarec</w:t>
    </w:r>
    <w:r>
      <w:rPr>
        <w:b w:val="false"/>
        <w:bCs w:val="false"/>
        <w:i w:val="false"/>
        <w:iCs w:val="false"/>
        <w:color w:val="555555"/>
        <w:sz w:val="16"/>
        <w:szCs w:val="16"/>
        <w:caps w:val="false"/>
        <w:rFonts w:ascii="Arial" w:cs="Arial" w:eastAsia="Arial" w:hAnsi="Arial"/>
      </w:rPr>
      <w:t xml:space="preserve">   |   </w:t>
    </w:r>
    <w:r>
      <w:rPr>
        <w:b w:val="false"/>
        <w:bCs w:val="false"/>
        <w:i w:val="false"/>
        <w:iCs w:val="false"/>
        <w:color w:val="555555"/>
        <w:sz w:val="16"/>
        <w:szCs w:val="16"/>
        <w:caps w:val="false"/>
        <w:rFonts w:ascii="Arial" w:cs="Arial" w:eastAsia="Arial" w:hAnsi="Arial"/>
      </w:rPr>
      <w:t xml:space="preserve">Founder &amp; CEO</w:t>
    </w:r>
    <w:r>
      <w:rPr>
        <w:b w:val="false"/>
        <w:bCs w:val="false"/>
        <w:i w:val="false"/>
        <w:iCs w:val="false"/>
        <w:color w:val="555555"/>
        <w:sz w:val="16"/>
        <w:szCs w:val="16"/>
        <w:caps w:val="false"/>
        <w:rFonts w:ascii="Arial" w:cs="Arial" w:eastAsia="Arial" w:hAnsi="Arial"/>
      </w:rPr>
      <w:t xml:space="preserve">   |   </w:t>
    </w:r>
    <w:r>
      <w:rPr>
        <w:b w:val="false"/>
        <w:bCs w:val="false"/>
        <w:i w:val="false"/>
        <w:iCs w:val="false"/>
        <w:color w:val="555555"/>
        <w:sz w:val="16"/>
        <w:szCs w:val="16"/>
        <w:caps w:val="false"/>
        <w:rFonts w:ascii="Arial" w:cs="Arial" w:eastAsia="Arial" w:hAnsi="Arial"/>
      </w:rPr>
      <w:t xml:space="preserve">quentin@trees-engineering.com</w:t>
    </w:r>
    <w:r>
      <w:rPr>
        <w:b w:val="false"/>
        <w:bCs w:val="false"/>
        <w:i w:val="false"/>
        <w:iCs w:val="false"/>
        <w:color w:val="555555"/>
        <w:sz w:val="16"/>
        <w:szCs w:val="16"/>
        <w:caps w:val="false"/>
        <w:rFonts w:ascii="Arial" w:cs="Arial" w:eastAsia="Arial" w:hAnsi="Arial"/>
      </w:rPr>
      <w:t xml:space="preserve">   |   </w:t>
    </w:r>
    <w:hyperlink w:history="1" r:id="rIdxsa26ujukhmzdftkeqfie">
      <w:r>
        <w:rPr>
          <w:b w:val="false"/>
          <w:bCs w:val="false"/>
          <w:i w:val="false"/>
          <w:iCs w:val="false"/>
          <w:u w:val="single" w:color="555555"/>
          <w:color w:val="555555"/>
          <w:sz w:val="16"/>
          <w:szCs w:val="16"/>
          <w:caps w:val="false"/>
          <w:rFonts w:ascii="Arial" w:cs="Arial" w:eastAsia="Arial" w:hAnsi="Arial"/>
        </w:rPr>
        <w:t xml:space="preserve">LinkedIn</w:t>
      </w:r>
    </w:hyperlink>
    <w:r>
      <w:rPr>
        <w:b w:val="false"/>
        <w:bCs w:val="false"/>
        <w:i w:val="false"/>
        <w:iCs w:val="false"/>
        <w:color w:val="555555"/>
        <w:sz w:val="16"/>
        <w:szCs w:val="16"/>
        <w:caps w:val="false"/>
        <w:rFonts w:ascii="Arial" w:cs="Arial" w:eastAsia="Arial" w:hAnsi="Arial"/>
      </w:rPr>
      <w:t xml:space="preserve">   |   </w:t>
    </w:r>
    <w:hyperlink w:history="1" r:id="rIdaxiva21ulh4z6v0ccklpw">
      <w:r>
        <w:rPr>
          <w:b w:val="false"/>
          <w:bCs w:val="false"/>
          <w:i w:val="false"/>
          <w:iCs w:val="false"/>
          <w:u w:val="single" w:color="555555"/>
          <w:color w:val="555555"/>
          <w:sz w:val="16"/>
          <w:szCs w:val="16"/>
          <w:caps w:val="false"/>
          <w:rFonts w:ascii="Arial" w:cs="Arial" w:eastAsia="Arial" w:hAnsi="Arial"/>
        </w:rPr>
        <w:t xml:space="preserve">Book a call</w:t>
      </w:r>
    </w:hyperlink>
  </w:p>
  <w:p>
    <w:pPr>
      <w:spacing w:before="0" w:after="20"/>
    </w:pPr>
    <w:r>
      <w:rPr>
        <w:b w:val="false"/>
        <w:bCs w:val="false"/>
        <w:i w:val="false"/>
        <w:iCs w:val="false"/>
        <w:color w:val="555555"/>
        <w:sz w:val="14"/>
        <w:szCs w:val="14"/>
        <w:caps w:val="false"/>
        <w:rFonts w:ascii="Arial" w:cs="Arial" w:eastAsia="Arial" w:hAnsi="Arial"/>
      </w:rPr>
      <w:t xml:space="preserve">Block C, Level 27, Unit 3A, KL Trillion, Jalan Tun Razak, Kuala Lumpur 50400, Malaysia</w:t>
    </w:r>
  </w:p>
  <w:p>
    <w:pPr>
      <w:spacing w:before="0" w:after="0"/>
    </w:pPr>
    <w:r>
      <w:rPr>
        <w:b w:val="false"/>
        <w:bCs w:val="false"/>
        <w:i w:val="false"/>
        <w:iCs w:val="false"/>
        <w:color w:val="555555"/>
        <w:sz w:val="14"/>
        <w:szCs w:val="14"/>
        <w:caps w:val="false"/>
        <w:rFonts w:ascii="Arial" w:cs="Arial" w:eastAsia="Arial" w:hAnsi="Arial"/>
      </w:rPr>
      <w:t xml:space="preserve">Trees Engineering Sdn. Bhd.  |  Trade Reg. No. 202001041675 (1397996-T)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0"/>
    </w:pPr>
    <w:r>
      <w:rPr>
        <w:b w:val="false"/>
        <w:bCs w:val="false"/>
        <w:i/>
        <w:iCs/>
        <w:color w:val="555555"/>
        <w:sz w:val="20"/>
        <w:szCs w:val="20"/>
        <w:caps w:val="false"/>
        <w:rFonts w:ascii="Arial" w:cs="Arial" w:eastAsia="Arial" w:hAnsi="Arial"/>
      </w:rPr>
      <w:t xml:space="preserve">John Doe  |  Senior Process Engineer — Brownfield Optimization  |  for ENEOS Xplora Malaysia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  <w:rPr>
        <w:color w:val="222222"/>
        <w:sz w:val="22"/>
        <w:szCs w:val="22"/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7ylijwxu4kjdqiyi_w6oh" Type="http://schemas.openxmlformats.org/officeDocument/2006/relationships/hyperlink" Target="mailto:quentin@trees-engineering.com" TargetMode="External"/><Relationship Id="rIdkx6viac1fye-mjmhz4oa7" Type="http://schemas.openxmlformats.org/officeDocument/2006/relationships/hyperlink" Target="https://www.linkedin.com/in/quentincloarec" TargetMode="External"/><Relationship Id="rIdquyozk_nx7yrjycuf06c4" Type="http://schemas.openxmlformats.org/officeDocument/2006/relationships/hyperlink" Target="https://calendar.app.google/HLfcvtmSVVJjtb7n7" TargetMode="External"/><Relationship Id="rIdm3e2-kzlzu-i6anmlu6sp" Type="http://schemas.openxmlformats.org/officeDocument/2006/relationships/hyperlink" Target="https://calendar.app.google/HLfcvtmSVVJjtb7n7" TargetMode="External"/><Relationship Id="rId8" Type="http://schemas.openxmlformats.org/officeDocument/2006/relationships/image" Target="media/kcgqremmlhwc_jurbeaxv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xsa26ujukhmzdftkeqfie" Type="http://schemas.openxmlformats.org/officeDocument/2006/relationships/hyperlink" Target="https://www.linkedin.com/in/quentincloarec" TargetMode="External"/><Relationship Id="rIdaxiva21ulh4z6v0ccklpw" Type="http://schemas.openxmlformats.org/officeDocument/2006/relationships/hyperlink" Target="https://calendar.app.google/HLfcvtmSVVJjtb7n7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2026-06-11T05:28:39.603Z</dcterms:created>
  <dcterms:modified xsi:type="dcterms:W3CDTF">2026-06-11T05:28:39.616Z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