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Arial" w:cs="Arial" w:eastAsia="Arial" w:hAnsi="Arial"/>
          <w:b/>
          <w:bCs/>
          <w:sz w:val="32"/>
          <w:szCs w:val="32"/>
        </w:rPr>
        <w:t xml:space="preserve">3. Ortholog Mapping: How Rat Genes Connect to the Pre-trained Model</w:t>
      </w:r>
    </w:p>
    <w:p>
      <w:pPr>
        <w:spacing w:after="160" w:line="276"/>
      </w:pPr>
      <w:r>
        <w:rPr>
          <w:rFonts w:ascii="Arial" w:cs="Arial" w:eastAsia="Arial" w:hAnsi="Arial"/>
          <w:sz w:val="22"/>
          <w:szCs w:val="22"/>
        </w:rPr>
        <w:t xml:space="preserve">GeneCompass was originally trained on human and mouse data, so we needed to map each rat gene to either an existing token (inheriting pre-trained knowledge) or a brand new token (starting from scratch). We built a 6-tier priority system using Ensembl BioMart ortholog tables for rat-to-human and rat-to-mouse relationships, cross-referenced against GeneCompass's own token vocabulary (</w:t>
      </w:r>
      <w:r>
        <w:rPr>
          <w:rFonts w:ascii="Arial" w:cs="Arial" w:eastAsia="Arial" w:hAnsi="Arial"/>
          <w:i/>
          <w:iCs/>
          <w:sz w:val="22"/>
          <w:szCs w:val="22"/>
        </w:rPr>
        <w:t xml:space="preserve">human_mouse_tokens.pickle</w:t>
      </w:r>
      <w:r>
        <w:rPr>
          <w:rFonts w:ascii="Arial" w:cs="Arial" w:eastAsia="Arial" w:hAnsi="Arial"/>
          <w:sz w:val="22"/>
          <w:szCs w:val="22"/>
        </w:rPr>
        <w:t xml:space="preserve">, 50,558 tokens: 23,113 human + 27,443 mouse, confirmed as the active vocabulary via model checkpoint inspection: </w:t>
      </w:r>
      <w:r>
        <w:rPr>
          <w:rFonts w:ascii="Arial" w:cs="Arial" w:eastAsia="Arial" w:hAnsi="Arial"/>
          <w:i/>
          <w:iCs/>
          <w:sz w:val="22"/>
          <w:szCs w:val="22"/>
        </w:rPr>
        <w:t xml:space="preserve">vocab_size=50558</w:t>
      </w:r>
      <w:r>
        <w:rPr>
          <w:rFonts w:ascii="Arial" w:cs="Arial" w:eastAsia="Arial" w:hAnsi="Arial"/>
          <w:sz w:val="22"/>
          <w:szCs w:val="22"/>
        </w:rPr>
        <w:t xml:space="preserve"> in both GeneCompass_Base and GeneCompass_Small).</w:t>
      </w:r>
    </w:p>
    <w:p>
      <w:pPr>
        <w:pStyle w:val="Heading2"/>
        <w:spacing w:before="300" w:after="200"/>
      </w:pPr>
      <w:r>
        <w:rPr>
          <w:rFonts w:ascii="Arial" w:cs="Arial" w:eastAsia="Arial" w:hAnsi="Arial"/>
          <w:b/>
          <w:bCs/>
          <w:sz w:val="26"/>
          <w:szCs w:val="26"/>
        </w:rPr>
        <w:t xml:space="preserv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200"/>
        <w:gridCol w:w="1000"/>
      </w:tblGrid>
      <w:tr>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5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Means</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Genes</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T1</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 gene has a clear 1:1 ortholog to both a human AND a mouse gene, and that human-mouse pair is explicitly linked in GeneCompass's own homolog vocabulary. Gold standard.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13,178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T2a</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ortholog to a human gene in the GC vocabulary. Human tokens carry richer embeddings (GC pre-training used ~5x more human cells).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T2b</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ortholog to a mouse gene in the GC vocabulary. Used when neither T1 nor T2a qualify.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T3a</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Complex (one-to-many or many-to-many) orthology to a human GC gene. Disambiguated by highest % protein sequence identity.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T3b</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Complex orthology to a mouse GC gene. Fallback from T3a.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892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T4</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Ensembl ortholog found. Brand-new token ID, learned from scratch during fine-tuning.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2,474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11.1%</w:t>
            </w:r>
          </w:p>
        </w:tc>
      </w:tr>
    </w:tbl>
    <w:p>
      <w:pPr>
        <w:spacing w:after="120"/>
      </w:pPr>
    </w:p>
    <w:p>
      <w:pPr>
        <w:pStyle w:val="Heading2"/>
        <w:spacing w:before="300" w:after="200"/>
      </w:pPr>
      <w:r>
        <w:rPr>
          <w:rFonts w:ascii="Arial" w:cs="Arial" w:eastAsia="Arial" w:hAnsi="Arial"/>
          <w:b/>
          <w:bCs/>
          <w:sz w:val="26"/>
          <w:szCs w:val="26"/>
        </w:rPr>
        <w:t xml:space="preserve">Key Design Decisions</w:t>
      </w:r>
    </w:p>
    <w:p>
      <w:pPr>
        <w:spacing w:after="160" w:line="276"/>
      </w:pPr>
      <w:r>
        <w:rPr>
          <w:rFonts w:ascii="Arial" w:cs="Arial" w:eastAsia="Arial" w:hAnsi="Arial"/>
          <w:sz w:val="22"/>
          <w:szCs w:val="22"/>
        </w:rPr>
        <w:t xml:space="preserve">The tier system encodes three priority rules that reflect how GeneCompass was built:</w:t>
      </w:r>
    </w:p>
    <w:p>
      <w:pPr>
        <w:spacing w:after="160" w:line="276"/>
      </w:pPr>
      <w:r>
        <w:rPr>
          <w:rFonts w:ascii="Arial" w:cs="Arial" w:eastAsia="Arial" w:hAnsi="Arial"/>
          <w:b/>
          <w:bCs/>
          <w:sz w:val="22"/>
          <w:szCs w:val="22"/>
        </w:rPr>
        <w:t xml:space="preserve">Human preferred over mouse. </w:t>
      </w:r>
      <w:r>
        <w:rPr>
          <w:rFonts w:ascii="Arial" w:cs="Arial" w:eastAsia="Arial" w:hAnsi="Arial"/>
          <w:sz w:val="22"/>
          <w:szCs w:val="22"/>
        </w:rPr>
        <w:t xml:space="preserve">GeneCompass's pre-training corpus was heavily human-weighted, so human gene tokens carry richer embeddings.</w:t>
      </w:r>
    </w:p>
    <w:p>
      <w:pPr>
        <w:spacing w:after="160" w:line="276"/>
      </w:pPr>
      <w:r>
        <w:rPr>
          <w:rFonts w:ascii="Arial" w:cs="Arial" w:eastAsia="Arial" w:hAnsi="Arial"/>
          <w:b/>
          <w:bCs/>
          <w:sz w:val="22"/>
          <w:szCs w:val="22"/>
        </w:rPr>
        <w:t xml:space="preserve">1:1 preferred over complex orthology. </w:t>
      </w:r>
      <w:r>
        <w:rPr>
          <w:rFonts w:ascii="Arial" w:cs="Arial" w:eastAsia="Arial" w:hAnsi="Arial"/>
          <w:sz w:val="22"/>
          <w:szCs w:val="22"/>
        </w:rPr>
        <w:t xml:space="preserve">One-to-one orthologs represent unambiguous gene lineage. One-to-many or many-to-many relationships involve gene duplication events and introduce ambiguity about functional equivalence.</w:t>
      </w:r>
    </w:p>
    <w:p>
      <w:pPr>
        <w:spacing w:after="160" w:line="276"/>
      </w:pPr>
      <w:r>
        <w:rPr>
          <w:rFonts w:ascii="Arial" w:cs="Arial" w:eastAsia="Arial" w:hAnsi="Arial"/>
          <w:b/>
          <w:bCs/>
          <w:sz w:val="22"/>
          <w:szCs w:val="22"/>
        </w:rPr>
        <w:t xml:space="preserve">No identity threshold. </w:t>
      </w:r>
      <w:r>
        <w:rPr>
          <w:rFonts w:ascii="Arial" w:cs="Arial" w:eastAsia="Arial" w:hAnsi="Arial"/>
          <w:sz w:val="22"/>
          <w:szCs w:val="22"/>
        </w:rPr>
        <w:t xml:space="preserve">We empirically verified that GeneCompass applied no minimum sequence identity (lowest observed: 1.2%). Ensembl's tree-based orthology inference is the quality gate.</w:t>
      </w:r>
    </w:p>
    <w:p>
      <w:pPr>
        <w:pStyle w:val="Heading2"/>
        <w:spacing w:before="300" w:after="200"/>
      </w:pPr>
      <w:r>
        <w:rPr>
          <w:rFonts w:ascii="Arial" w:cs="Arial" w:eastAsia="Arial" w:hAnsi="Arial"/>
          <w:b/>
          <w:bCs/>
          <w:sz w:val="26"/>
          <w:szCs w:val="26"/>
        </w:rPr>
        <w:t xml:space="preserve">The Headline Numbers</w:t>
      </w:r>
    </w:p>
    <w:p>
      <w:pPr>
        <w:spacing w:after="160" w:line="276"/>
      </w:pPr>
      <w:r>
        <w:rPr>
          <w:rFonts w:ascii="Arial" w:cs="Arial" w:eastAsia="Arial" w:hAnsi="Arial"/>
          <w:sz w:val="22"/>
          <w:szCs w:val="22"/>
        </w:rPr>
        <w:t xml:space="preserve">78.8% of genes (T1 + T2a + T2b: 17,496 genes) are unambiguous one-to-one assignments. Of those, the majority also pass the stricter high-confidence criteria (% identity &gt;= 70%, no collision, protein-coding), bringing the high-confidence total to 64.3% of all genes (14,277). These are safe for direct cross-species comparison in Aims 2 and 3. The remaining 10.1% T3 genes inherit pre-trained knowledge but with medium confidence due to paralog ambiguity.</w:t>
      </w:r>
    </w:p>
    <w:p>
      <w:pPr>
        <w:spacing w:after="160" w:line="276"/>
      </w:pPr>
      <w:r>
        <w:rPr>
          <w:rFonts w:ascii="Arial" w:cs="Arial" w:eastAsia="Arial" w:hAnsi="Arial"/>
          <w:sz w:val="22"/>
          <w:szCs w:val="22"/>
        </w:rPr>
        <w:t xml:space="preserve">In total, 19,739 genes (88.9%) reuse pre-trained GeneCompass tokens. Only 2,474 genes (11.1%) require new tokens learned from scratch.</w:t>
      </w:r>
    </w:p>
    <w:p>
      <w:pPr>
        <w:pStyle w:val="Heading2"/>
        <w:spacing w:before="300" w:after="200"/>
      </w:pPr>
      <w:r>
        <w:rPr>
          <w:rFonts w:ascii="Arial" w:cs="Arial" w:eastAsia="Arial" w:hAnsi="Arial"/>
          <w:b/>
          <w:bCs/>
          <w:sz w:val="26"/>
          <w:szCs w:val="26"/>
        </w:rPr>
        <w:t xml:space="preserve">Token Collisions: Comparison with GeneCompass</w:t>
      </w:r>
    </w:p>
    <w:p>
      <w:pPr>
        <w:spacing w:after="160" w:line="276"/>
      </w:pPr>
      <w:r>
        <w:rPr>
          <w:rFonts w:ascii="Arial" w:cs="Arial" w:eastAsia="Arial" w:hAnsi="Arial"/>
          <w:sz w:val="22"/>
          <w:szCs w:val="22"/>
        </w:rPr>
        <w:t xml:space="preserve">When multiple genes map to the same token, the model cannot distinguish which gene produced a given token ID in a cell's input sequence. To understand how our rat collisions compare to baseline, we conducted a detailed analysis of GeneCompass's own cross-species token handling, examining the homolog mapping, the pre-training corpora, and the trained model checkpoints directly.</w:t>
      </w:r>
    </w:p>
    <w:p>
      <w:pPr>
        <w:pStyle w:val="Heading3"/>
        <w:spacing w:before="300" w:after="200"/>
      </w:pPr>
      <w:r>
        <w:rPr>
          <w:rFonts w:ascii="Arial" w:cs="Arial" w:eastAsia="Arial" w:hAnsi="Arial"/>
          <w:b/>
          <w:bCs/>
          <w:sz w:val="22"/>
          <w:szCs w:val="22"/>
        </w:rPr>
        <w:t xml:space="preserve">How GeneCompass Handles Cross-Species Tokens</w:t>
      </w:r>
    </w:p>
    <w:p>
      <w:pPr>
        <w:spacing w:after="160" w:line="276"/>
      </w:pPr>
      <w:r>
        <w:rPr>
          <w:rFonts w:ascii="Arial" w:cs="Arial" w:eastAsia="Arial" w:hAnsi="Arial"/>
          <w:sz w:val="22"/>
          <w:szCs w:val="22"/>
        </w:rPr>
        <w:t xml:space="preserve">GeneCompass's vocabulary assigns every gene a unique token ID (50,558 tokens, zero collisions at the vocabulary level). Cross-species unification happens via a homolog mapping (</w:t>
      </w:r>
      <w:r>
        <w:rPr>
          <w:rFonts w:ascii="Arial" w:cs="Arial" w:eastAsia="Arial" w:hAnsi="Arial"/>
          <w:i/>
          <w:iCs/>
          <w:sz w:val="22"/>
          <w:szCs w:val="22"/>
        </w:rPr>
        <w:t xml:space="preserve">homologous_hm_token.pickle</w:t>
      </w:r>
      <w:r>
        <w:rPr>
          <w:rFonts w:ascii="Arial" w:cs="Arial" w:eastAsia="Arial" w:hAnsi="Arial"/>
          <w:sz w:val="22"/>
          <w:szCs w:val="22"/>
        </w:rPr>
        <w:t xml:space="preserve">: 17,465 entries, all mapping mouse tokens to human tokens). During corpus preprocessing, mouse genes are remapped to their human homolog token IDs. The stored pre-training corpora reflect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500"/>
        <w:gridCol w:w="14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Corpus</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Cells sampled</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Dup rate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Max dups/cell</w:t>
            </w:r>
          </w:p>
        </w:tc>
        <w:tc>
          <w:tcPr>
            <w:tcW w:type="dxa" w:w="1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 composition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 (randsel_50w_human)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human IDs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 (randsel_50w_mouse)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76.5%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88.6% human, 11.4% mouse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 (our corpus)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9,483,420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47.8%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84.6% human, 6.5% mouse, 8.9% T4 rat</w:t>
            </w:r>
          </w:p>
        </w:tc>
      </w:tr>
    </w:tbl>
    <w:p>
      <w:pPr>
        <w:spacing w:after="120"/>
      </w:pPr>
    </w:p>
    <w:p>
      <w:pPr>
        <w:spacing w:after="160" w:line="276"/>
      </w:pPr>
      <w:r>
        <w:rPr>
          <w:rFonts w:ascii="Arial" w:cs="Arial" w:eastAsia="Arial" w:hAnsi="Arial"/>
          <w:sz w:val="22"/>
          <w:szCs w:val="22"/>
        </w:rPr>
        <w:t xml:space="preserve">The human corpus contains exclusively human token IDs (as expected). The mouse corpus has been 88.6% remapped to human token IDs, with 11.4% remaining as mouse tokens (genes without a homolog mapping). 76.5% of mouse cells contain at least one duplicate token ID, arising when a cell expresses two or more mouse genes that share the same human homolog target. Our rat corpus (9,483,420 cells) shows a lower duplicate rate of 47.8%, with token composition of 84.6% human IDs, 6.5% mouse IDs, and 8.9% T4 rat-specific tokens. The lower duplicate rate compared to mouse reflects our direct tier-based assignment approach, which avoids the many-to-one preprocessing remapping that GeneCompass applies to mouse tokens.</w:t>
      </w:r>
    </w:p>
    <w:p>
      <w:pPr>
        <w:pStyle w:val="Heading3"/>
        <w:spacing w:before="300" w:after="200"/>
      </w:pPr>
      <w:r>
        <w:rPr>
          <w:rFonts w:ascii="Arial" w:cs="Arial" w:eastAsia="Arial" w:hAnsi="Arial"/>
          <w:b/>
          <w:bCs/>
          <w:sz w:val="22"/>
          <w:szCs w:val="22"/>
        </w:rPr>
        <w:t xml:space="preserve">GeneCompass's Collision Structure</w:t>
      </w:r>
    </w:p>
    <w:p>
      <w:pPr>
        <w:spacing w:after="160" w:line="276"/>
      </w:pPr>
      <w:r>
        <w:rPr>
          <w:rFonts w:ascii="Arial" w:cs="Arial" w:eastAsia="Arial" w:hAnsi="Arial"/>
          <w:sz w:val="22"/>
          <w:szCs w:val="22"/>
        </w:rPr>
        <w:t xml:space="preserve">The homolog mapping creates 574 human tokens that receive more than one mouse gene. Every one of these collisions is a biologically coherent gene family expansion in mouse: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60"/>
        <w:gridCol w:w="340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Human gene</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Mouse genes collapsed to it</w:t>
            </w:r>
          </w:p>
        </w:tc>
        <w:tc>
          <w:tcPr>
            <w:tcW w:type="dxa" w:w="3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Family type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SYCP3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Sly, Slx, Slxl1, Xlr + 101 Gm-series Y-linked genes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Y-chromosome spermatogenesis amplicons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SPIN2A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Ssty1, Ssty2, Spin2d/e/f/g + 56 Gm-series genes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Y-chromosome spindlin family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Defa2-43 (29 alpha-defensins)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Innate immune peptides (gut)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ZNF34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Zfp534, Zfp760, Zfp820, Zfp942-995 (28 ZFPs)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KRAB zinc finger transcription factors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Prl, Prl2-8 subfamilies (26 prolactins)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Placental/pituitary endocrine signaling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OR5P2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Olfr469-510 (21 olfactory receptors)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Chemosensory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VN1R5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Vmn1r1-54, V1ra8 (18 vomeronasal receptors)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Chemosensory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IFNA5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Ifna1-16, Ifnab (14 interferon-alpha genes)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Innate antiviral immunity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CYP3A7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Cyp3a11/13/16/25/41a/41b/44/57/59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Drug/steroid metabolism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CYP2D7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Cyp2d9/10/11/12/22/26/34/40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 metabolism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SULT2A1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Sult2a1-8 (8 sulfotransferases)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Steroid conjugation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Ces2a/b/c/e/f/g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Hepatic lipid/drug metabolism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ACOT2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Acot1/2/3/5, Gm49366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Mitochondrial fatty acid metabolism</w:t>
            </w:r>
          </w:p>
        </w:tc>
      </w:tr>
    </w:tbl>
    <w:p>
      <w:pPr>
        <w:spacing w:after="120"/>
      </w:pPr>
    </w:p>
    <w:p>
      <w:pPr>
        <w:spacing w:after="160" w:line="276"/>
      </w:pPr>
      <w:r>
        <w:rPr>
          <w:rFonts w:ascii="Arial" w:cs="Arial" w:eastAsia="Arial" w:hAnsi="Arial"/>
          <w:sz w:val="22"/>
          <w:szCs w:val="22"/>
        </w:rPr>
        <w:t xml:space="preserve">The two deepest collisions (SYCP3 at depth 105 and SPIN2A at depth 61) involve massive Y-chromosome gene amplifications specific to the mouse lineage. These are spermatogenesis-related gene clusters that underwent runaway copy-number expansion. Beyond these, the collision landscape is dominated by olfactory receptors, vomeronasal receptors, immune gene families (defensins, interferons, serpins), and metabolic enzyme families (CYP450s, sulfotransferases, carboxylesterases) -- all well-characterized rodent-specific gene expansions.</w:t>
      </w:r>
    </w:p>
    <w:p>
      <w:pPr>
        <w:pStyle w:val="Heading3"/>
        <w:spacing w:before="300" w:after="200"/>
      </w:pPr>
      <w:r>
        <w:rPr>
          <w:rFonts w:ascii="Arial" w:cs="Arial" w:eastAsia="Arial" w:hAnsi="Arial"/>
          <w:b/>
          <w:bCs/>
          <w:sz w:val="22"/>
          <w:szCs w:val="22"/>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GeneCompass (human-mouse)</w:t>
            </w:r>
          </w:p>
        </w:tc>
        <w:tc>
          <w:tcPr>
            <w:tcW w:type="dxa" w:w="34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Our pipeline (rat)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colliding tokens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574</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collision depth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Tokens at depth 10+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Nature of collisions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Paralog family expansions (mouse)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Paralog family expansions (rat)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Corpus duplicate rate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76.5% of mouse cells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47.8% of rat cells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duplicates per cell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Collision handling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Two-pass: preprocess remap + runtime index</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token IDs assigned in Stage 3</w:t>
            </w:r>
          </w:p>
        </w:tc>
      </w:tr>
    </w:tbl>
    <w:p>
      <w:pPr>
        <w:spacing w:after="120"/>
      </w:pPr>
    </w:p>
    <w:p>
      <w:pPr>
        <w:pStyle w:val="Heading3"/>
        <w:spacing w:before="300" w:after="200"/>
      </w:pPr>
      <w:r>
        <w:rPr>
          <w:rFonts w:ascii="Arial" w:cs="Arial" w:eastAsia="Arial" w:hAnsi="Arial"/>
          <w:b/>
          <w:bCs/>
          <w:sz w:val="22"/>
          <w:szCs w:val="22"/>
        </w:rPr>
        <w:t xml:space="preserve">Collision Depth Distribution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GC tokens</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Rat tokens</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GC tokens</w:t>
            </w:r>
          </w:p>
        </w:tc>
        <w:tc>
          <w:tcPr>
            <w:tcW w:type="dxa" w:w="1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Rat tokens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(61, 105)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20"/>
      </w:pPr>
    </w:p>
    <w:p>
      <w:pPr>
        <w:spacing w:after="160" w:line="276"/>
      </w:pPr>
      <w:r>
        <w:rPr>
          <w:rFonts w:ascii="Arial" w:cs="Arial" w:eastAsia="Arial" w:hAnsi="Arial"/>
          <w:sz w:val="22"/>
          <w:szCs w:val="22"/>
        </w:rPr>
        <w:t xml:space="preserve">Our rat collisions are shallower across the board: max depth 29 vs. 105, and only 6 tokens at depth 10+ vs. 33. GeneCompass trained successfully through substantially deeper collisions than ours, providing strong evidence that the transformer architecture is robust to this type of token-level ambiguity.</w:t>
      </w:r>
    </w:p>
    <w:p>
      <w:pPr>
        <w:pStyle w:val="Heading3"/>
        <w:spacing w:before="300" w:after="200"/>
      </w:pPr>
      <w:r>
        <w:rPr>
          <w:rFonts w:ascii="Arial" w:cs="Arial" w:eastAsia="Arial" w:hAnsi="Arial"/>
          <w:b/>
          <w:bCs/>
          <w:sz w:val="22"/>
          <w:szCs w:val="22"/>
        </w:rPr>
        <w:t xml:space="preserve">Shared Gene Families Across Both Collision Reports</w:t>
      </w:r>
    </w:p>
    <w:p>
      <w:pPr>
        <w:spacing w:after="160" w:line="276"/>
      </w:pPr>
      <w:r>
        <w:rPr>
          <w:rFonts w:ascii="Arial" w:cs="Arial" w:eastAsia="Arial" w:hAnsi="Arial"/>
          <w:sz w:val="22"/>
          <w:szCs w:val="22"/>
        </w:rPr>
        <w:t xml:space="preserve">Many of the same gene families appear in both the GeneCompass mouse collisions and our rat collisions, reflecting shared patterns of rodent-specific gene expansion relative to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Gene family</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GC depth (mouse)</w:t>
            </w:r>
          </w:p>
        </w:tc>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Our depth (rat)</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Vomeronasal receptors (Vmn1r/Vom1r)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 (VN1R5)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 (Vom1r)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 has larger VNR expansion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Olfactory receptors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 (OR5P2)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 (Or1f)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species heavily expanded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CYP3A subfamily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(CYP3A7)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(Cyp3a)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 more expanded than rat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CYP2D subfamily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(CYP2D7)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(Cyp2d1)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 more expanded than rat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CES2 (carboxylesterase)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(CES2)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 (Ces2)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Comparable depth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Sulfotransferases (SULT2A)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(SULT2A1)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(Sult2a/1c)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 more expanded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ACOT (acyl-CoA thioesterase)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(ACOT2)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(Acot2/5)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Comparable depth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Alpha-defensins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 (DEFA5)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rat collisions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Mouse-specific expansion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Interferon-alpha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 (IFNA5)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rat collisions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Mouse-specific expansion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PRAME/oogenesis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in GC top collisions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 (PRAME/Oog)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Rat-specific expansion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Prolactin family (PRL)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 (PRL)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(Prl)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Mouse more expanded</w:t>
            </w:r>
          </w:p>
        </w:tc>
      </w:tr>
    </w:tbl>
    <w:p>
      <w:pPr>
        <w:spacing w:after="120"/>
      </w:pPr>
    </w:p>
    <w:p>
      <w:pPr>
        <w:spacing w:after="160" w:line="276"/>
      </w:pPr>
      <w:r>
        <w:rPr>
          <w:rFonts w:ascii="Arial" w:cs="Arial" w:eastAsia="Arial" w:hAnsi="Arial"/>
          <w:sz w:val="22"/>
          <w:szCs w:val="22"/>
        </w:rPr>
        <w:t xml:space="preserve">This parallel confirms that our collisions are not an artifact of our pipeline design but a reflection of the same evolutionary biology that GeneCompass already handles. The families that differ (mouse-specific defensin and interferon expansions, rat-specific PRAME expansion) reflect known lineage-specific evolutionary events.</w:t>
      </w:r>
    </w:p>
    <w:p>
      <w:pPr>
        <w:pStyle w:val="Heading3"/>
        <w:spacing w:before="300" w:after="200"/>
      </w:pPr>
      <w:r>
        <w:rPr>
          <w:rFonts w:ascii="Arial" w:cs="Arial" w:eastAsia="Arial" w:hAnsi="Arial"/>
          <w:b/>
          <w:bCs/>
          <w:sz w:val="22"/>
          <w:szCs w:val="22"/>
        </w:rPr>
        <w:t xml:space="preserve">Architectural Difference: Two-Pass vs. Direct Assignment</w:t>
      </w:r>
    </w:p>
    <w:p>
      <w:pPr>
        <w:spacing w:after="160" w:line="276"/>
      </w:pPr>
      <w:r>
        <w:rPr>
          <w:rFonts w:ascii="Arial" w:cs="Arial" w:eastAsia="Arial" w:hAnsi="Arial"/>
          <w:sz w:val="22"/>
          <w:szCs w:val="22"/>
        </w:rPr>
        <w:t xml:space="preserve">GeneCompass uses a two-pass approach to cross-species token unification. First, the preprocessing script remaps mouse gene tokens to their human homolog IDs (producing the 88.6% human token composition in the stored mouse corpus). Second, a runtime </w:t>
      </w:r>
      <w:r>
        <w:rPr>
          <w:rFonts w:ascii="Arial" w:cs="Arial" w:eastAsia="Arial" w:hAnsi="Arial"/>
          <w:i/>
          <w:iCs/>
          <w:sz w:val="22"/>
          <w:szCs w:val="22"/>
        </w:rPr>
        <w:t xml:space="preserve">homologous_index</w:t>
      </w:r>
      <w:r>
        <w:rPr>
          <w:rFonts w:ascii="Arial" w:cs="Arial" w:eastAsia="Arial" w:hAnsi="Arial"/>
          <w:sz w:val="22"/>
          <w:szCs w:val="22"/>
        </w:rPr>
        <w:t xml:space="preserve"> buffer in the model partially reverses this mapping for mouse cells (species==1). The reversal is constructed via </w:t>
      </w:r>
      <w:r>
        <w:rPr>
          <w:rFonts w:ascii="Arial" w:cs="Arial" w:eastAsia="Arial" w:hAnsi="Arial"/>
          <w:i/>
          <w:iCs/>
          <w:sz w:val="22"/>
          <w:szCs w:val="22"/>
        </w:rPr>
        <w:t xml:space="preserve">{v: k for k, v in pickle.load(fp).items()}</w:t>
      </w:r>
      <w:r>
        <w:rPr>
          <w:rFonts w:ascii="Arial" w:cs="Arial" w:eastAsia="Arial" w:hAnsi="Arial"/>
          <w:sz w:val="22"/>
          <w:szCs w:val="22"/>
        </w:rPr>
        <w:t xml:space="preserve"> in </w:t>
      </w:r>
      <w:r>
        <w:rPr>
          <w:rFonts w:ascii="Arial" w:cs="Arial" w:eastAsia="Arial" w:hAnsi="Arial"/>
          <w:i/>
          <w:iCs/>
          <w:sz w:val="22"/>
          <w:szCs w:val="22"/>
        </w:rPr>
        <w:t xml:space="preserve">utils.py</w:t>
      </w:r>
      <w:r>
        <w:rPr>
          <w:rFonts w:ascii="Arial" w:cs="Arial" w:eastAsia="Arial" w:hAnsi="Arial"/>
          <w:sz w:val="22"/>
          <w:szCs w:val="22"/>
        </w:rPr>
        <w:t xml:space="preserve">, which is lossy for many-to-one mappings: 17,465 original entries reduce to 15,927 after reversal, silently discarding 1,538 mappings where multiple mouse genes shared the same human target.</w:t>
      </w:r>
    </w:p>
    <w:p>
      <w:pPr>
        <w:spacing w:after="160" w:line="276"/>
      </w:pPr>
      <w:r>
        <w:rPr>
          <w:rFonts w:ascii="Arial" w:cs="Arial" w:eastAsia="Arial" w:hAnsi="Arial"/>
          <w:sz w:val="22"/>
          <w:szCs w:val="22"/>
        </w:rPr>
        <w:t xml:space="preserve">Our pipeline takes a simpler direct approach: rat genes are assigned to human/mouse token IDs in Stage 3 via the tier system. There is no two-pass remapping, no lossy reversal, and no ambiguity about when the token assignment happens. Our Stage 7 homologous_index implementation for rat will pass T1-T3 tokens through without modification (since they already carry the correct human/mouse IDs), and T4 rat-specific tokens will map to identity (no cross-species equivalent).</w:t>
      </w:r>
    </w:p>
    <w:p>
      <w:pPr>
        <w:pStyle w:val="Heading2"/>
        <w:spacing w:before="300" w:after="200"/>
      </w:pPr>
      <w:r>
        <w:rPr>
          <w:rFonts w:ascii="Arial" w:cs="Arial" w:eastAsia="Arial" w:hAnsi="Arial"/>
          <w:b/>
          <w:bCs/>
          <w:sz w:val="26"/>
          <w:szCs w:val="26"/>
        </w:rPr>
        <w:t xml:space="preserve">Rat Collision Details</w:t>
      </w:r>
    </w:p>
    <w:p>
      <w:pPr>
        <w:spacing w:after="160" w:line="276"/>
      </w:pPr>
      <w:r>
        <w:rPr>
          <w:rFonts w:ascii="Arial" w:cs="Arial" w:eastAsia="Arial" w:hAnsi="Arial"/>
          <w:sz w:val="22"/>
          <w:szCs w:val="22"/>
        </w:rPr>
        <w:t xml:space="preserve">Our pipeline detected 656 colliding tokens with the following depth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31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Tokens</w:t>
            </w:r>
          </w:p>
        </w:tc>
        <w:tc>
          <w:tcPr>
            <w:tcW w:type="dxa" w:w="312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Cumulative %</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bl>
    <w:p>
      <w:pPr>
        <w:spacing w:after="120"/>
      </w:pPr>
    </w:p>
    <w:p>
      <w:pPr>
        <w:pStyle w:val="Heading3"/>
        <w:spacing w:before="300" w:after="200"/>
      </w:pPr>
      <w:r>
        <w:rPr>
          <w:rFonts w:ascii="Arial" w:cs="Arial" w:eastAsia="Arial" w:hAnsi="Arial"/>
          <w:b/>
          <w:bCs/>
          <w:sz w:val="22"/>
          <w:szCs w:val="22"/>
        </w:rPr>
        <w:t xml:space="preserve">Depth 11+ Tokens (6 tokens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3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Family</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Vom1r (vomeronasal type 1 receptors)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Chemosensory signaling, pseudogenized in human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PRAME/Oog (PRAME-like, oogenesis)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Testis/oocyte-specific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Or1f (olfactory receptors)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Chemosensory signaling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Spopfm2l1 (sperm flagellar)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Spermatogenesis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Spetex2 (sperm-expressed)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Spermatogenesis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Raet1/H60 (MHC class I-like, NKG2D ligands)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Stress-induced immune signaling</w:t>
            </w:r>
          </w:p>
        </w:tc>
      </w:tr>
    </w:tbl>
    <w:p>
      <w:pPr>
        <w:spacing w:after="120"/>
      </w:pPr>
    </w:p>
    <w:p>
      <w:pPr>
        <w:pStyle w:val="Heading3"/>
        <w:spacing w:before="300" w:after="200"/>
      </w:pPr>
      <w:r>
        <w:rPr>
          <w:rFonts w:ascii="Arial" w:cs="Arial" w:eastAsia="Arial" w:hAnsi="Arial"/>
          <w:b/>
          <w:bCs/>
          <w:sz w:val="22"/>
          <w:szCs w:val="22"/>
        </w:rPr>
        <w:t xml:space="preserve">Depth 6-10: Broadly Expressed Gene Families</w:t>
      </w:r>
    </w:p>
    <w:p>
      <w:pPr>
        <w:spacing w:after="160" w:line="276"/>
      </w:pPr>
      <w:r>
        <w:rPr>
          <w:rFonts w:ascii="Arial" w:cs="Arial" w:eastAsia="Arial" w:hAnsi="Arial"/>
          <w:sz w:val="22"/>
          <w:szCs w:val="22"/>
        </w:rPr>
        <w:t xml:space="preserve">This range includes several broadly expressed gene families, some with documented roles in exercise-induced inflammation, oxidative stress, and tissue remodeling: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Family</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4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Rpl38 (ribosomal protein L38 + pseudogenes)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Ribosomal, housekeeping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Prl (prolactin family)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Placental/pituitary endocrine signaling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Ftl1 (ferritin light chain)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Iron homeostasis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Gapdh (glycolysis)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Glycolysis, ubiquitous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Hmgb1 (high mobility group box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Chromatin structure, DAMP signaling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Ces2 (carboxylesterase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Hepatic lipid/drug metabolism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S100a11 (calcium-binding)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Calcium-binding, tissue remodeling</w:t>
            </w:r>
          </w:p>
        </w:tc>
      </w:tr>
    </w:tbl>
    <w:p>
      <w:pPr>
        <w:spacing w:after="120"/>
      </w:pPr>
    </w:p>
    <w:p>
      <w:pPr>
        <w:pStyle w:val="Heading3"/>
        <w:spacing w:before="300" w:after="200"/>
      </w:pPr>
      <w:r>
        <w:rPr>
          <w:rFonts w:ascii="Arial" w:cs="Arial" w:eastAsia="Arial" w:hAnsi="Arial"/>
          <w:b/>
          <w:bCs/>
          <w:sz w:val="22"/>
          <w:szCs w:val="22"/>
        </w:rPr>
        <w:t xml:space="preserve">MoTrPAC-Relevant Families Across the Full Collision Report</w:t>
      </w:r>
    </w:p>
    <w:p>
      <w:pPr>
        <w:spacing w:after="160" w:line="276"/>
      </w:pPr>
      <w:r>
        <w:rPr>
          <w:rFonts w:ascii="Arial" w:cs="Arial" w:eastAsia="Arial" w:hAnsi="Arial"/>
          <w:sz w:val="22"/>
          <w:szCs w:val="22"/>
        </w:rPr>
        <w:t xml:space="preserve">A targeted search for metabolic, structural, and signaling gene families returned collisions exclusively at depth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760"/>
        <w:gridCol w:w="3200"/>
      </w:tblGrid>
      <w:tr>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Family</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Depth</w:t>
            </w:r>
          </w:p>
        </w:tc>
        <w:tc>
          <w:tcPr>
            <w:tcW w:type="dxa" w:w="2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Colliding Genes</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Biological Context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Ces2 (carboxylesterase 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Ces2c, Ces2e, Ces2g, Ces2i, Ces2j, Ces2c-ps2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Hepatic lipid/drug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Ugt2b (UDP-glucuronosyltransferase)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Ugt2b, Ugt2b37, Ugt2b15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II metabolism, liver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Sult2a/1c (sulfotransferases)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Sult2a2, Sult1c2, Sult1c2a, Sult1c2al1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Steroid/xenobiotic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Cyp3a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Cyp3a18, Cyp3a62, Cyp3a73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Drug/steroid metabolism, liver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Cyp2c11, Cyp2c24, Cyp2c55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Arachidonic acid/drug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Cyp2a1, Cyp2a2, Cyp2a3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Steroid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Cyp11b (steroidogenic)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Cyp11b1, Cyp11b2, Cyp11b3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Corticosterone/aldosterone synthesis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Cyp2b12, Cyp2b14, Cyp2b15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Xenobiotic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Slc25a5 (ANT2)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Slc25a5, Slc25a5-ps11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Mitochondrial ADP/ATP exchange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Slc25a51/52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Slc25a51, Slc25a51l1, Slc25a52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Mitochondrial NAD+ transport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Acot2/5 (acyl-CoA thioesterase)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Acot2, Acot5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Mitochondrial fatty acid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Ces1 (carboxylesterase 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Ces1dl1, Ces1e, Ces1f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Hepatic lipid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Gsta2/4/5 (glutathione S-transferase)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Gsta2, Gsta4, Gsta5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Oxidative stress defense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Akr1b1, Akr1c12/13 (aldo-keto reductase)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Akr1b1, Akr1c12l1, Akr1c13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Carbonyl/aldehyde detoxification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Myl6b (myosin light chain 6B)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Myl6bl1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Muscle contractile apparatus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Cyp2d1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Cyp2d1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 metabolism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Mgst3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Mgst3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Membrane-associated glutathione metabolism</w:t>
            </w:r>
          </w:p>
        </w:tc>
      </w:tr>
    </w:tbl>
    <w:p>
      <w:pPr>
        <w:spacing w:after="120"/>
      </w:pPr>
    </w:p>
    <w:p>
      <w:pPr>
        <w:pStyle w:val="Heading3"/>
        <w:spacing w:before="300" w:after="200"/>
      </w:pPr>
      <w:r>
        <w:rPr>
          <w:rFonts w:ascii="Arial" w:cs="Arial" w:eastAsia="Arial" w:hAnsi="Arial"/>
          <w:b/>
          <w:bCs/>
          <w:sz w:val="22"/>
          <w:szCs w:val="22"/>
        </w:rPr>
        <w:t xml:space="preserve">Genes to Flag for Aim 2 Discussion</w:t>
      </w:r>
    </w:p>
    <w:p>
      <w:pPr>
        <w:spacing w:after="160" w:line="276"/>
      </w:pPr>
      <w:r>
        <w:rPr>
          <w:rFonts w:ascii="Arial" w:cs="Arial" w:eastAsia="Arial" w:hAnsi="Arial"/>
          <w:sz w:val="22"/>
          <w:szCs w:val="22"/>
        </w:rPr>
        <w:t xml:space="preserve">Several of these families have direct relevance to exercise biology in MoTrPAC tissues:</w:t>
      </w:r>
    </w:p>
    <w:p>
      <w:pPr>
        <w:pStyle w:val="ListParagraph"/>
        <w:numPr>
          <w:ilvl w:val="0"/>
          <w:numId w:val="2"/>
        </w:numPr>
        <w:spacing w:after="80" w:line="276"/>
      </w:pPr>
      <w:r>
        <w:rPr>
          <w:rFonts w:ascii="Arial" w:cs="Arial" w:eastAsia="Arial" w:hAnsi="Arial"/>
          <w:b/>
          <w:bCs/>
          <w:sz w:val="22"/>
          <w:szCs w:val="22"/>
        </w:rPr>
        <w:t xml:space="preserve">Slc25a5</w:t>
      </w:r>
      <w:r>
        <w:rPr>
          <w:rFonts w:ascii="Arial" w:cs="Arial" w:eastAsia="Arial" w:hAnsi="Arial"/>
          <w:sz w:val="22"/>
          <w:szCs w:val="22"/>
        </w:rPr>
        <w:t xml:space="preserve"> (mitochondrial ADP/ATP translocase, depth 3) and </w:t>
      </w:r>
      <w:r>
        <w:rPr>
          <w:rFonts w:ascii="Arial" w:cs="Arial" w:eastAsia="Arial" w:hAnsi="Arial"/>
          <w:b/>
          <w:bCs/>
          <w:sz w:val="22"/>
          <w:szCs w:val="22"/>
        </w:rPr>
        <w:t xml:space="preserve">Acot2</w:t>
      </w:r>
      <w:r>
        <w:rPr>
          <w:rFonts w:ascii="Arial" w:cs="Arial" w:eastAsia="Arial" w:hAnsi="Arial"/>
          <w:sz w:val="22"/>
          <w:szCs w:val="22"/>
        </w:rPr>
        <w:t xml:space="preserve"> (mitochondrial acyl-CoA thioesterase, depth 3) are central to energy metabolism in skeletal muscle and heart.</w:t>
      </w:r>
    </w:p>
    <w:p>
      <w:pPr>
        <w:pStyle w:val="ListParagraph"/>
        <w:numPr>
          <w:ilvl w:val="0"/>
          <w:numId w:val="2"/>
        </w:numPr>
        <w:spacing w:after="80" w:line="276"/>
      </w:pPr>
      <w:r>
        <w:rPr>
          <w:rFonts w:ascii="Arial" w:cs="Arial" w:eastAsia="Arial" w:hAnsi="Arial"/>
          <w:b/>
          <w:bCs/>
          <w:sz w:val="22"/>
          <w:szCs w:val="22"/>
        </w:rPr>
        <w:t xml:space="preserve">Gsta4</w:t>
      </w:r>
      <w:r>
        <w:rPr>
          <w:rFonts w:ascii="Arial" w:cs="Arial" w:eastAsia="Arial" w:hAnsi="Arial"/>
          <w:sz w:val="22"/>
          <w:szCs w:val="22"/>
        </w:rPr>
        <w:t xml:space="preserve"> (depth 2) is a primary defense enzyme against lipid peroxidation products generated during exercise.</w:t>
      </w:r>
    </w:p>
    <w:p>
      <w:pPr>
        <w:pStyle w:val="ListParagraph"/>
        <w:numPr>
          <w:ilvl w:val="0"/>
          <w:numId w:val="2"/>
        </w:numPr>
        <w:spacing w:after="80" w:line="276"/>
      </w:pPr>
      <w:r>
        <w:rPr>
          <w:rFonts w:ascii="Arial" w:cs="Arial" w:eastAsia="Arial" w:hAnsi="Arial"/>
          <w:b/>
          <w:bCs/>
          <w:sz w:val="22"/>
          <w:szCs w:val="22"/>
        </w:rPr>
        <w:t xml:space="preserve">Cyp11b1/b2/b3</w:t>
      </w:r>
      <w:r>
        <w:rPr>
          <w:rFonts w:ascii="Arial" w:cs="Arial" w:eastAsia="Arial" w:hAnsi="Arial"/>
          <w:sz w:val="22"/>
          <w:szCs w:val="22"/>
        </w:rPr>
        <w:t xml:space="preserve"> (depth 3) are steroidogenic enzymes relevant to corticosterone responses to exercise.</w:t>
      </w:r>
    </w:p>
    <w:p>
      <w:pPr>
        <w:pStyle w:val="ListParagraph"/>
        <w:numPr>
          <w:ilvl w:val="0"/>
          <w:numId w:val="2"/>
        </w:numPr>
        <w:spacing w:after="80" w:line="276"/>
      </w:pPr>
      <w:r>
        <w:rPr>
          <w:rFonts w:ascii="Arial" w:cs="Arial" w:eastAsia="Arial" w:hAnsi="Arial"/>
          <w:b/>
          <w:bCs/>
          <w:sz w:val="22"/>
          <w:szCs w:val="22"/>
        </w:rPr>
        <w:t xml:space="preserve">Hmgb1</w:t>
      </w:r>
      <w:r>
        <w:rPr>
          <w:rFonts w:ascii="Arial" w:cs="Arial" w:eastAsia="Arial" w:hAnsi="Arial"/>
          <w:sz w:val="22"/>
          <w:szCs w:val="22"/>
        </w:rPr>
        <w:t xml:space="preserve"> (depth 7) functions as both a chromatin architectural protein and a damage-associated molecular pattern (DAMP) released during tissue stress.</w:t>
      </w:r>
    </w:p>
    <w:p>
      <w:pPr>
        <w:pStyle w:val="ListParagraph"/>
        <w:numPr>
          <w:ilvl w:val="0"/>
          <w:numId w:val="2"/>
        </w:numPr>
        <w:spacing w:after="80" w:line="276"/>
      </w:pPr>
      <w:r>
        <w:rPr>
          <w:rFonts w:ascii="Arial" w:cs="Arial" w:eastAsia="Arial" w:hAnsi="Arial"/>
          <w:b/>
          <w:bCs/>
          <w:sz w:val="22"/>
          <w:szCs w:val="22"/>
        </w:rPr>
        <w:t xml:space="preserve">Raet1/H60</w:t>
      </w:r>
      <w:r>
        <w:rPr>
          <w:rFonts w:ascii="Arial" w:cs="Arial" w:eastAsia="Arial" w:hAnsi="Arial"/>
          <w:sz w:val="22"/>
          <w:szCs w:val="22"/>
        </w:rPr>
        <w:t xml:space="preserve"> (depth 11) are NKG2D ligands induced by cellular stress, relevant to exercise-induced immune modulation.</w:t>
      </w:r>
    </w:p>
    <w:p>
      <w:pPr>
        <w:spacing w:after="120"/>
      </w:pPr>
    </w:p>
    <w:p>
      <w:pPr>
        <w:spacing w:after="160" w:line="276"/>
      </w:pPr>
      <w:r>
        <w:rPr>
          <w:rFonts w:ascii="Arial" w:cs="Arial" w:eastAsia="Arial" w:hAnsi="Arial"/>
          <w:sz w:val="22"/>
          <w:szCs w:val="22"/>
        </w:rPr>
        <w:t xml:space="preserve">Each collision is annotated with an "expansion direction" and catalogued in </w:t>
      </w:r>
      <w:r>
        <w:rPr>
          <w:rFonts w:ascii="Arial" w:cs="Arial" w:eastAsia="Arial" w:hAnsi="Arial"/>
          <w:i/>
          <w:iCs/>
          <w:sz w:val="22"/>
          <w:szCs w:val="22"/>
        </w:rPr>
        <w:t xml:space="preserve">collision_report.tsv</w:t>
      </w:r>
      <w:r>
        <w:rPr>
          <w:rFonts w:ascii="Arial" w:cs="Arial" w:eastAsia="Arial" w:hAnsi="Arial"/>
          <w:sz w:val="22"/>
          <w:szCs w:val="22"/>
        </w:rPr>
        <w:t xml:space="preserve">. All genes with collision depth &gt; 2 are automatically flagged as low confidence for Aims 2-3.</w:t>
      </w:r>
    </w:p>
    <w:p>
      <w:pPr>
        <w:pStyle w:val="Heading2"/>
        <w:spacing w:before="300" w:after="200"/>
      </w:pPr>
      <w:r>
        <w:rPr>
          <w:rFonts w:ascii="Arial" w:cs="Arial" w:eastAsia="Arial" w:hAnsi="Arial"/>
          <w:b/>
          <w:bCs/>
          <w:sz w:val="26"/>
          <w:szCs w:val="26"/>
        </w:rPr>
        <w:t xml:space="preserve">Confidence Scoring as a Downstream Guardrail</w:t>
      </w:r>
    </w:p>
    <w:p>
      <w:pPr>
        <w:spacing w:after="160" w:line="276"/>
      </w:pPr>
      <w:r>
        <w:rPr>
          <w:rFonts w:ascii="Arial" w:cs="Arial" w:eastAsia="Arial" w:hAnsi="Arial"/>
          <w:sz w:val="22"/>
          <w:szCs w:val="22"/>
        </w:rPr>
        <w:t xml:space="preserve">Every gene receives a confidence label (high / medium / low) that flows through to Aims 2 and 3 via the confidence column in </w:t>
      </w:r>
      <w:r>
        <w:rPr>
          <w:rFonts w:ascii="Arial" w:cs="Arial" w:eastAsia="Arial" w:hAnsi="Arial"/>
          <w:i/>
          <w:iCs/>
          <w:sz w:val="22"/>
          <w:szCs w:val="22"/>
        </w:rPr>
        <w:t xml:space="preserve">rat_token_mapping.tsv</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900"/>
        <w:gridCol w:w="700"/>
        <w:gridCol w:w="3960"/>
      </w:tblGrid>
      <w:t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Criteria</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Genes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Downstream Use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T1/T2, one-to-one, % identity &gt;= 70%, no collision, protein-coding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14,277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64.3%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Safe anchors for cross-species GRN (Aim 2) and translation (Aim 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T2-T3, % identity 40-70%, collision &lt;= 2, or non-coding with one-to-one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Interpret GRN edges with moderate caution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T3 collision &gt; 2, % identity &lt; 40%, non-coding complex, or T4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Flag in GRN edge tables; restrict translation claims</w:t>
            </w:r>
          </w:p>
        </w:tc>
      </w:tr>
    </w:tbl>
    <w:p>
      <w:pPr>
        <w:spacing w:after="120"/>
      </w:pPr>
    </w:p>
    <w:p>
      <w:pPr>
        <w:pStyle w:val="Heading2"/>
        <w:spacing w:before="300" w:after="200"/>
      </w:pPr>
      <w:r>
        <w:rPr>
          <w:rFonts w:ascii="Arial" w:cs="Arial" w:eastAsia="Arial" w:hAnsi="Arial"/>
          <w:b/>
          <w:bCs/>
          <w:sz w:val="26"/>
          <w:szCs w:val="26"/>
        </w:rPr>
        <w:t xml:space="preserve">The T4 Genes: What Is Rat-Specific?</w:t>
      </w:r>
    </w:p>
    <w:p>
      <w:pPr>
        <w:spacing w:after="160" w:line="276"/>
      </w:pPr>
      <w:r>
        <w:rPr>
          <w:rFonts w:ascii="Arial" w:cs="Arial" w:eastAsia="Arial" w:hAnsi="Arial"/>
          <w:sz w:val="22"/>
          <w:szCs w:val="22"/>
        </w:rPr>
        <w:t xml:space="preserve">The 2,474 T4 genes are biologically interesting in their own right. They include expanded gene families that diverged after the rodent lineage split: cytochrome P450 subfamilies, olfactory receptor clusters, carboxylesterase families, and various lncRNAs with no detectable cross-species homolog. These genes start from randomly initialized embeddings during fine-tuning, meaning the model learns their regulatory relationships entirely from our rat scRNA-seq corpus.</w:t>
      </w:r>
    </w:p>
    <w:p>
      <w:pPr>
        <w:pStyle w:val="Heading2"/>
        <w:spacing w:before="300" w:after="200"/>
      </w:pPr>
      <w:r>
        <w:rPr>
          <w:rFonts w:ascii="Arial" w:cs="Arial" w:eastAsia="Arial" w:hAnsi="Arial"/>
          <w:b/>
          <w:bCs/>
          <w:sz w:val="26"/>
          <w:szCs w:val="26"/>
        </w:rPr>
        <w:t xml:space="preserve">Discussion Point</w:t>
      </w:r>
    </w:p>
    <w:p>
      <w:pPr>
        <w:spacing w:after="160" w:line="276"/>
      </w:pPr>
      <w:r>
        <w:rPr>
          <w:rFonts w:ascii="Arial" w:cs="Arial" w:eastAsia="Arial" w:hAnsi="Arial"/>
          <w:sz w:val="22"/>
          <w:szCs w:val="22"/>
        </w:rPr>
        <w:t xml:space="preserve">For the biologists: given the MoTrPAC tissue panel (skeletal muscle, heart, liver, adipose, kidney, lung, hippocampus, brown adipose, white adipose), are there additional gene families in this collision list that warrant manual review of the confidence assignments before we enter Aim 2? In particular, we want input on whether the depth-3 CYP11b steroidogenic cluster and the Slc25a mitochondrial transporter collisions need special handling in the GRN reconstruction.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200" w:after="160"/>
      <w:outlineLvl w:val="1"/>
    </w:pPr>
    <w:rPr>
      <w:rFonts w:ascii="Arial" w:cs="Arial" w:eastAsia="Arial" w:hAnsi="Arial"/>
      <w:b/>
      <w:bCs/>
      <w:sz w:val="26"/>
      <w:szCs w:val="26"/>
    </w:rPr>
  </w:style>
  <w:style w:type="paragraph" w:styleId="Heading3">
    <w:name w:val="Heading 3"/>
    <w:basedOn w:val="Normal"/>
    <w:next w:val="Normal"/>
    <w:qFormat/>
    <w:pPr>
      <w:spacing w:before="16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2026-03-28T12:53:43.028Z</dcterms:created>
  <dcterms:modified xsi:type="dcterms:W3CDTF">2026-03-28T12:53:43.029Z</dcterms:modified>
</cp:coreProperties>
</file>

<file path=docProps/custom.xml><?xml version="1.0" encoding="utf-8"?>
<Properties xmlns="http://schemas.openxmlformats.org/officeDocument/2006/custom-properties" xmlns:vt="http://schemas.openxmlformats.org/officeDocument/2006/docPropsVTypes"/>
</file>