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SME-to-Session Scheduling Agent</w:t>
      </w:r>
    </w:p>
    <w:p>
      <w:pPr>
        <w:jc w:val="center"/>
      </w:pPr>
      <w:r>
        <w:rPr>
          <w:i/>
          <w:sz w:val="20"/>
        </w:rPr>
        <w:t>AI Scheduling Copilot | Product + Technical Design</w:t>
      </w:r>
    </w:p>
    <w:p>
      <w:pPr>
        <w:pStyle w:val="Heading1"/>
        <w:spacing w:before="160" w:after="60"/>
      </w:pPr>
      <w:r>
        <w:t>1. Problem framing</w:t>
      </w:r>
    </w:p>
    <w:p>
      <w:pPr>
        <w:spacing w:after="80"/>
      </w:pPr>
      <w:r>
        <w:t>Ops/Curriculum teams manually assign SMEs to a high volume of weekly learning sessions. The decision is constrained by availability, topic expertise, training level, historical performance, preferences and fair workload rotation. Spreadsheet-based matching is slow, difficult to audit and prone to double-bookings, expertise mismatches and workload concentration.</w:t>
      </w:r>
    </w:p>
    <w:p>
      <w:pPr>
        <w:spacing w:after="80"/>
      </w:pPr>
      <w:r>
        <w:t>The product is therefore framed as a scheduling decision copilot, not a black-box auto-assigner: generate the best feasible draft, explain every recommendation, surface uncertainty and let a human approve or override.</w:t>
      </w:r>
    </w:p>
    <w:p>
      <w:pPr>
        <w:pStyle w:val="Heading1"/>
        <w:spacing w:before="160" w:after="60"/>
      </w:pPr>
      <w:r>
        <w:t>2. Product goal and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Metric</w:t>
            </w:r>
          </w:p>
        </w:tc>
        <w:tc>
          <w:tcPr>
            <w:tcW w:type="dxa" w:w="5112"/>
          </w:tcPr>
          <w:p>
            <w:r>
              <w:t>Target</w:t>
            </w:r>
          </w:p>
        </w:tc>
      </w:tr>
      <w:tr>
        <w:tc>
          <w:tcPr>
            <w:tcW w:type="dxa" w:w="5112"/>
          </w:tcPr>
          <w:p>
            <w:r>
              <w:t>Auto-assignment coverage</w:t>
            </w:r>
          </w:p>
        </w:tc>
        <w:tc>
          <w:tcPr>
            <w:tcW w:type="dxa" w:w="5112"/>
          </w:tcPr>
          <w:p>
            <w:r>
              <w:t>≥85% of sessions</w:t>
            </w:r>
          </w:p>
        </w:tc>
      </w:tr>
      <w:tr>
        <w:tc>
          <w:tcPr>
            <w:tcW w:type="dxa" w:w="5112"/>
          </w:tcPr>
          <w:p>
            <w:r>
              <w:t>Hard-constraint violations</w:t>
            </w:r>
          </w:p>
        </w:tc>
        <w:tc>
          <w:tcPr>
            <w:tcW w:type="dxa" w:w="5112"/>
          </w:tcPr>
          <w:p>
            <w:r>
              <w:t>0%</w:t>
            </w:r>
          </w:p>
        </w:tc>
      </w:tr>
      <w:tr>
        <w:tc>
          <w:tcPr>
            <w:tcW w:type="dxa" w:w="5112"/>
          </w:tcPr>
          <w:p>
            <w:r>
              <w:t>Scheduling effort</w:t>
            </w:r>
          </w:p>
        </w:tc>
        <w:tc>
          <w:tcPr>
            <w:tcW w:type="dxa" w:w="5112"/>
          </w:tcPr>
          <w:p>
            <w:r>
              <w:t>≥60% reduction</w:t>
            </w:r>
          </w:p>
        </w:tc>
      </w:tr>
      <w:tr>
        <w:tc>
          <w:tcPr>
            <w:tcW w:type="dxa" w:w="5112"/>
          </w:tcPr>
          <w:p>
            <w:r>
              <w:t>Human override rate</w:t>
            </w:r>
          </w:p>
        </w:tc>
        <w:tc>
          <w:tcPr>
            <w:tcW w:type="dxa" w:w="5112"/>
          </w:tcPr>
          <w:p>
            <w:r>
              <w:t>&lt;20% after tuning</w:t>
            </w:r>
          </w:p>
        </w:tc>
      </w:tr>
      <w:tr>
        <w:tc>
          <w:tcPr>
            <w:tcW w:type="dxa" w:w="5112"/>
          </w:tcPr>
          <w:p>
            <w:r>
              <w:t>Fairness spread</w:t>
            </w:r>
          </w:p>
        </w:tc>
        <w:tc>
          <w:tcPr>
            <w:tcW w:type="dxa" w:w="5112"/>
          </w:tcPr>
          <w:p>
            <w:r>
              <w:t>≤2 assignments where feasible</w:t>
            </w:r>
          </w:p>
        </w:tc>
      </w:tr>
      <w:tr>
        <w:tc>
          <w:tcPr>
            <w:tcW w:type="dxa" w:w="5112"/>
          </w:tcPr>
          <w:p>
            <w:r>
              <w:t>High-risk conflict recall</w:t>
            </w:r>
          </w:p>
        </w:tc>
        <w:tc>
          <w:tcPr>
            <w:tcW w:type="dxa" w:w="5112"/>
          </w:tcPr>
          <w:p>
            <w:r>
              <w:t>≥95%</w:t>
            </w:r>
          </w:p>
        </w:tc>
      </w:tr>
      <w:tr>
        <w:tc>
          <w:tcPr>
            <w:tcW w:type="dxa" w:w="5112"/>
          </w:tcPr>
          <w:p>
            <w:r>
              <w:t>Session quality</w:t>
            </w:r>
          </w:p>
        </w:tc>
        <w:tc>
          <w:tcPr>
            <w:tcW w:type="dxa" w:w="5112"/>
          </w:tcPr>
          <w:p>
            <w:r>
              <w:t>No regression vs. baseline</w:t>
            </w:r>
          </w:p>
        </w:tc>
      </w:tr>
    </w:tbl>
    <w:p>
      <w:pPr>
        <w:pStyle w:val="Heading1"/>
        <w:spacing w:before="160" w:after="60"/>
      </w:pPr>
      <w:r>
        <w:t>3. MVP workflow</w:t>
      </w:r>
    </w:p>
    <w:p>
      <w:pPr>
        <w:spacing w:after="80"/>
      </w:pPr>
      <w:r>
        <w:t>Ingest → Validate → Generate candidates → Apply hard constraints → Evaluate semantic expertise → Score and optimize → Detect conflicts → Explain → Draft → Human approval → Write-back.</w:t>
      </w:r>
    </w:p>
    <w:p>
      <w:pPr>
        <w:pStyle w:val="ListBullet"/>
        <w:spacing w:after="20"/>
      </w:pPr>
      <w:r>
        <w:t>Hard constraints are deterministic: availability, training level, dropout status and double-booking.</w:t>
      </w:r>
    </w:p>
    <w:p>
      <w:pPr>
        <w:pStyle w:val="ListBullet"/>
        <w:spacing w:after="20"/>
      </w:pPr>
      <w:r>
        <w:t>Soft optimization considers topic fit, historical performance, rolling 4-week fairness, preferred mode and rotation.</w:t>
      </w:r>
    </w:p>
    <w:p>
      <w:pPr>
        <w:pStyle w:val="ListBullet"/>
        <w:spacing w:after="20"/>
      </w:pPr>
      <w:r>
        <w:t>The LLM is bounded to semantic expertise interpretation and concise reasoning; it cannot override hard constraints or approve the schedule.</w:t>
      </w:r>
    </w:p>
    <w:p>
      <w:pPr>
        <w:pStyle w:val="ListBullet"/>
        <w:spacing w:after="20"/>
      </w:pPr>
      <w:r>
        <w:t>Near-ties and adjacent expertise are explicitly marked as needs-review instead of being silently auto-approved.</w:t>
      </w:r>
    </w:p>
    <w:p>
      <w:pPr>
        <w:pStyle w:val="ListBullet"/>
        <w:spacing w:after="20"/>
      </w:pPr>
      <w:r>
        <w:t>High-severity gaps block approval until a human resolves them.</w:t>
      </w:r>
    </w:p>
    <w:p>
      <w:pPr>
        <w:pStyle w:val="Heading1"/>
        <w:spacing w:before="160" w:after="60"/>
      </w:pPr>
      <w:r>
        <w:t>4. Matching logic</w:t>
      </w:r>
    </w:p>
    <w:p>
      <w:pPr>
        <w:spacing w:after="80"/>
      </w:pPr>
      <w:r>
        <w:t>Candidate score = 35% topic expertise + 20% historical performance + 20% fairness + 10% preference + 10% availability quality + 5% rotation.</w:t>
      </w:r>
    </w:p>
    <w:p>
      <w:pPr>
        <w:spacing w:after="80"/>
      </w:pPr>
      <w:r>
        <w:t>Tie-breaking is deterministic: higher expertise → higher historical performance → lower rolling workload → preferred mode → rotation. If candidates remain materially tied, the system routes the decision to human review.</w:t>
      </w:r>
    </w:p>
    <w:p>
      <w:pPr>
        <w:pStyle w:val="Heading1"/>
        <w:spacing w:before="160" w:after="60"/>
      </w:pPr>
      <w:r>
        <w:t>5. LLM boundary</w:t>
      </w:r>
    </w:p>
    <w:p>
      <w:pPr>
        <w:spacing w:after="80"/>
      </w:pPr>
      <w:r>
        <w:t>The prototype supports an optional OpenAI semantic expertise layer. It evaluates direct vs. adjacent vs. no-fit relationships for session topics and SME skills. The result is structured as fit type, confidence, matched skills, missing skills and a short reason.</w:t>
      </w:r>
    </w:p>
    <w:p>
      <w:pPr>
        <w:pStyle w:val="ListBullet"/>
        <w:spacing w:after="20"/>
      </w:pPr>
      <w:r>
        <w:t>LLM allowed: semantic expertise interpretation and explanation.</w:t>
      </w:r>
    </w:p>
    <w:p>
      <w:pPr>
        <w:pStyle w:val="ListBullet"/>
        <w:spacing w:after="20"/>
      </w:pPr>
      <w:r>
        <w:t>LLM prohibited: availability decisions, training eligibility, dropout handling, double-booking prevention, fairness policy and final approval.</w:t>
      </w:r>
    </w:p>
    <w:p>
      <w:pPr>
        <w:pStyle w:val="ListBullet"/>
        <w:spacing w:after="20"/>
      </w:pPr>
      <w:r>
        <w:t>Fallback: a deterministic topic ontology keeps the deployed prototype functional when no API key is configured.</w:t>
      </w:r>
    </w:p>
    <w:p>
      <w:pPr>
        <w:pStyle w:val="Heading1"/>
        <w:spacing w:before="160" w:after="60"/>
      </w:pPr>
      <w:r>
        <w:t>6. Exception and edge-case handling</w:t>
      </w:r>
    </w:p>
    <w:p>
      <w:pPr>
        <w:pStyle w:val="ListBullet"/>
        <w:spacing w:after="20"/>
      </w:pPr>
      <w:r>
        <w:t>SME dropout: remove the SME and re-run the affected candidate set without disturbing unrelated assignments.</w:t>
      </w:r>
    </w:p>
    <w:p>
      <w:pPr>
        <w:pStyle w:val="ListBullet"/>
        <w:spacing w:after="20"/>
      </w:pPr>
      <w:r>
        <w:t>No qualified SME: create an unfilled high-severity exception with recommended escalation.</w:t>
      </w:r>
    </w:p>
    <w:p>
      <w:pPr>
        <w:pStyle w:val="ListBullet"/>
        <w:spacing w:after="20"/>
      </w:pPr>
      <w:r>
        <w:t>Tie: show the top alternatives and require human review.</w:t>
      </w:r>
    </w:p>
    <w:p>
      <w:pPr>
        <w:pStyle w:val="ListBullet"/>
        <w:spacing w:after="20"/>
      </w:pPr>
      <w:r>
        <w:t>Timezone: normalize timestamps internally and display the local session window.</w:t>
      </w:r>
    </w:p>
    <w:p>
      <w:pPr>
        <w:pStyle w:val="ListBullet"/>
        <w:spacing w:after="20"/>
      </w:pPr>
      <w:r>
        <w:t>Double booking: hard validation prevents overlapping assignments.</w:t>
      </w:r>
    </w:p>
    <w:p>
      <w:pPr>
        <w:pStyle w:val="ListBullet"/>
        <w:spacing w:after="20"/>
      </w:pPr>
      <w:r>
        <w:t>Rolling fairness: compare projected workload across the 4-week window and flag concentration.</w:t>
      </w:r>
    </w:p>
    <w:p>
      <w:pPr>
        <w:pStyle w:val="ListBullet"/>
        <w:spacing w:after="20"/>
      </w:pPr>
      <w:r>
        <w:t>Human override: requires a reason and is written to an audit trail.</w:t>
      </w:r>
    </w:p>
    <w:p>
      <w:pPr>
        <w:pStyle w:val="Heading1"/>
        <w:spacing w:before="160" w:after="60"/>
      </w:pPr>
      <w:r>
        <w:t>7. Prototype UI</w:t>
      </w:r>
    </w:p>
    <w:p>
      <w:pPr>
        <w:pStyle w:val="ListBullet"/>
        <w:spacing w:after="20"/>
      </w:pPr>
      <w:r>
        <w:t>Command center with coverage, review rate, unfilled sessions and workload spread.</w:t>
      </w:r>
    </w:p>
    <w:p>
      <w:pPr>
        <w:pStyle w:val="ListBullet"/>
        <w:spacing w:after="20"/>
      </w:pPr>
      <w:r>
        <w:t>Weekly schedule table with score, status and concise rationale.</w:t>
      </w:r>
    </w:p>
    <w:p>
      <w:pPr>
        <w:pStyle w:val="ListBullet"/>
        <w:spacing w:after="20"/>
      </w:pPr>
      <w:r>
        <w:t>Exception center ranked by severity and recommended action.</w:t>
      </w:r>
    </w:p>
    <w:p>
      <w:pPr>
        <w:pStyle w:val="ListBullet"/>
        <w:spacing w:after="20"/>
      </w:pPr>
      <w:r>
        <w:t>Assignment inspector showing score breakdown, expertise confidence and next-best alternatives.</w:t>
      </w:r>
    </w:p>
    <w:p>
      <w:pPr>
        <w:pStyle w:val="ListBullet"/>
        <w:spacing w:after="20"/>
      </w:pPr>
      <w:r>
        <w:t>Agent execution trace showing each stage from ingest to human approval.</w:t>
      </w:r>
    </w:p>
    <w:p>
      <w:pPr>
        <w:pStyle w:val="ListBullet"/>
        <w:spacing w:after="20"/>
      </w:pPr>
      <w:r>
        <w:t>Scenario simulator for normal week, SME dropout, no qualified SME, double booking and workload imbalance.</w:t>
      </w:r>
    </w:p>
    <w:p>
      <w:pPr>
        <w:pStyle w:val="ListBullet"/>
        <w:spacing w:after="20"/>
      </w:pPr>
      <w:r>
        <w:t>Human override and approval gate.</w:t>
      </w:r>
    </w:p>
    <w:p>
      <w:pPr>
        <w:pStyle w:val="Heading1"/>
        <w:spacing w:before="160" w:after="60"/>
      </w:pPr>
      <w:r>
        <w:t>8. Technical architecture</w:t>
      </w:r>
    </w:p>
    <w:p>
      <w:pPr>
        <w:spacing w:after="80"/>
      </w:pPr>
      <w:r>
        <w:t>UI → FastAPI → Scheduling Orchestrator → Ingestion/Validation → Candidate Engine → Deterministic Hard Constraints → LLM Semantic Reasoner → Scoring/Fairness → Conflict Engine → Draft → Human Approval → Google Sheets/Calendar adapters → Audit.</w:t>
      </w:r>
    </w:p>
    <w:p>
      <w:pPr>
        <w:spacing w:after="80"/>
      </w:pPr>
      <w:r>
        <w:t>The current prototype uses synthetic JSON for reproducibility. Google Sheets and Google Calendar are represented as adapter-ready integration boundaries so production authentication can be added without changing the matching contract.</w:t>
      </w:r>
    </w:p>
    <w:p>
      <w:pPr>
        <w:pStyle w:val="Heading1"/>
        <w:spacing w:before="160" w:after="60"/>
      </w:pPr>
      <w:r>
        <w:t>9. Data model</w:t>
      </w:r>
    </w:p>
    <w:p>
      <w:pPr>
        <w:pStyle w:val="ListBullet"/>
        <w:spacing w:after="20"/>
      </w:pPr>
      <w:r>
        <w:t>Session: id, date, start, end, topic, mode, required training level.</w:t>
      </w:r>
    </w:p>
    <w:p>
      <w:pPr>
        <w:pStyle w:val="ListBullet"/>
        <w:spacing w:after="20"/>
      </w:pPr>
      <w:r>
        <w:t>SME: id, skills, training level, availability, performance, preferred modes, status.</w:t>
      </w:r>
    </w:p>
    <w:p>
      <w:pPr>
        <w:pStyle w:val="ListBullet"/>
        <w:spacing w:after="20"/>
      </w:pPr>
      <w:r>
        <w:t>Assignment history: date, SME id and historical assignment count.</w:t>
      </w:r>
    </w:p>
    <w:p>
      <w:pPr>
        <w:pStyle w:val="ListBullet"/>
        <w:spacing w:after="20"/>
      </w:pPr>
      <w:r>
        <w:t>Draft assignment: SME recommendation, score, fit type, confidence, rationale, alternatives and status.</w:t>
      </w:r>
    </w:p>
    <w:p>
      <w:pPr>
        <w:pStyle w:val="ListBullet"/>
        <w:spacing w:after="20"/>
      </w:pPr>
      <w:r>
        <w:t>Conflict: type, severity, session, reason and recommended action.</w:t>
      </w:r>
    </w:p>
    <w:p>
      <w:pPr>
        <w:pStyle w:val="ListBullet"/>
        <w:spacing w:after="20"/>
      </w:pPr>
      <w:r>
        <w:t>Audit event: timestamp, run, override/approval action and reason.</w:t>
      </w:r>
    </w:p>
    <w:p>
      <w:pPr>
        <w:pStyle w:val="Heading1"/>
        <w:spacing w:before="160" w:after="60"/>
      </w:pPr>
      <w:r>
        <w:t>10. Measurement plan</w:t>
      </w:r>
    </w:p>
    <w:p>
      <w:pPr>
        <w:spacing w:after="80"/>
      </w:pPr>
      <w:r>
        <w:t>Run the copilot alongside the current manual process for 4–6 weeks. Measure baseline vs. pilot scheduling time, auto-assignment coverage, override rate, hard-constraint violations, conflict recall, workload spread and session quality. Use override reasons as training data for improving rules and semantic matching.</w:t>
      </w:r>
    </w:p>
    <w:p>
      <w:pPr>
        <w:pStyle w:val="Heading1"/>
        <w:spacing w:before="160" w:after="60"/>
      </w:pPr>
      <w:r>
        <w:t>11. MVP vs. next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Included now</w:t>
            </w:r>
          </w:p>
        </w:tc>
        <w:tc>
          <w:tcPr>
            <w:tcW w:type="dxa" w:w="5112"/>
          </w:tcPr>
          <w:p>
            <w:r>
              <w:t>Next / production</w:t>
            </w:r>
          </w:p>
        </w:tc>
      </w:tr>
      <w:tr>
        <w:tc>
          <w:tcPr>
            <w:tcW w:type="dxa" w:w="5112"/>
          </w:tcPr>
          <w:p>
            <w:r>
              <w:t>Synthetic data + working end-to-end agent</w:t>
            </w:r>
          </w:p>
        </w:tc>
        <w:tc>
          <w:tcPr>
            <w:tcW w:type="dxa" w:w="5112"/>
          </w:tcPr>
          <w:p>
            <w:r>
              <w:t>Authenticated Google Sheets / Calendar</w:t>
            </w:r>
          </w:p>
        </w:tc>
      </w:tr>
      <w:tr>
        <w:tc>
          <w:tcPr>
            <w:tcW w:type="dxa" w:w="5112"/>
          </w:tcPr>
          <w:p>
            <w:r>
              <w:t>Optional LLM + deterministic fallback</w:t>
            </w:r>
          </w:p>
        </w:tc>
        <w:tc>
          <w:tcPr>
            <w:tcW w:type="dxa" w:w="5112"/>
          </w:tcPr>
          <w:p>
            <w:r>
              <w:t>Persistent model/provider management</w:t>
            </w:r>
          </w:p>
        </w:tc>
      </w:tr>
      <w:tr>
        <w:tc>
          <w:tcPr>
            <w:tcW w:type="dxa" w:w="5112"/>
          </w:tcPr>
          <w:p>
            <w:r>
              <w:t>4-week fairness + conflict ranking</w:t>
            </w:r>
          </w:p>
        </w:tc>
        <w:tc>
          <w:tcPr>
            <w:tcW w:type="dxa" w:w="5112"/>
          </w:tcPr>
          <w:p>
            <w:r>
              <w:t>Constrained optimization solver at larger scale</w:t>
            </w:r>
          </w:p>
        </w:tc>
      </w:tr>
      <w:tr>
        <w:tc>
          <w:tcPr>
            <w:tcW w:type="dxa" w:w="5112"/>
          </w:tcPr>
          <w:p>
            <w:r>
              <w:t>Human override + approval + audit</w:t>
            </w:r>
          </w:p>
        </w:tc>
        <w:tc>
          <w:tcPr>
            <w:tcW w:type="dxa" w:w="5112"/>
          </w:tcPr>
          <w:p>
            <w:r>
              <w:t>RBAC + immutable audit storage</w:t>
            </w:r>
          </w:p>
        </w:tc>
      </w:tr>
      <w:tr>
        <w:tc>
          <w:tcPr>
            <w:tcW w:type="dxa" w:w="5112"/>
          </w:tcPr>
          <w:p>
            <w:r>
              <w:t>Scenario simulator</w:t>
            </w:r>
          </w:p>
        </w:tc>
        <w:tc>
          <w:tcPr>
            <w:tcW w:type="dxa" w:w="5112"/>
          </w:tcPr>
          <w:p>
            <w:r>
              <w:t>Scheduled weekly triggers + dropout webhooks</w:t>
            </w:r>
          </w:p>
        </w:tc>
      </w:tr>
    </w:tbl>
    <w:p>
      <w:pPr>
        <w:pStyle w:val="Heading1"/>
        <w:spacing w:before="160" w:after="60"/>
      </w:pPr>
      <w:r>
        <w:t>12. Product principle</w:t>
      </w:r>
    </w:p>
    <w:p>
      <w:pPr>
        <w:spacing w:after="80"/>
      </w:pPr>
      <w:r>
        <w:t>The strongest output is not simply a schedule. It is a schedule that tells Ops what the system decided, why it decided it, what could go wrong, which alternatives exist and exactly where human judgment is required.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