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2E5A88"/>
          <w:sz w:val="44"/>
          <w:szCs w:val="44"/>
        </w:rPr>
        <w:t xml:space="preserve">Macro Shock Analyser</w:t>
      </w:r>
    </w:p>
    <w:p>
      <w:pPr>
        <w:spacing w:after="40"/>
      </w:pPr>
      <w:r>
        <w:rPr>
          <w:b/>
          <w:bCs/>
          <w:sz w:val="30"/>
          <w:szCs w:val="30"/>
        </w:rPr>
        <w:t xml:space="preserve">Methodology &amp; Defensibility Notes</w:t>
      </w:r>
    </w:p>
    <w:p>
      <w:pPr>
        <w:spacing w:after="200"/>
      </w:pPr>
      <w:r>
        <w:rPr>
          <w:i/>
          <w:iCs/>
          <w:color w:val="595959"/>
          <w:sz w:val="22"/>
          <w:szCs w:val="22"/>
        </w:rPr>
        <w:t xml:space="preserve">Every modelling choice, the reasoning behind it, and the limits stated honestly.</w:t>
      </w:r>
    </w:p>
    <w:p>
      <w:pPr>
        <w:pBdr>
          <w:bottom w:val="single" w:color="2E5A88" w:sz="6" w:space="1"/>
        </w:pBdr>
        <w:spacing w:after="120"/>
      </w:pPr>
      <w:r>
        <w:rPr>
          <w:color w:val="595959"/>
          <w:sz w:val="20"/>
          <w:szCs w:val="20"/>
        </w:rPr>
        <w:t xml:space="preserve">Treeti Sarkar  ·  Deutsche Bank (DBK.DE)  ·  euro-area, monthly, ~Sept 2004 – Jun 2026</w:t>
      </w:r>
    </w:p>
    <w:p>
      <w:pPr>
        <w:spacing w:after="120" w:before="0" w:line="276"/>
      </w:pPr>
      <w:r>
        <w:rPr>
          <w:b/>
          <w:bCs/>
        </w:rPr>
        <w:t xml:space="preserve">This document records the methodology and defensibility of the Macro Shock Analyser. </w:t>
      </w:r>
      <w:r>
        <w:t xml:space="preserve">The study asks one question for one asset: when a euro-area macro factor is shocked, how much does Deutsche Bank move — and does that sensitivity change with the economic regime? The thesis is </w:t>
      </w:r>
      <w:r>
        <w:rPr>
          <w:i/>
          <w:iCs/>
        </w:rPr>
        <w:t xml:space="preserve">“static beta lies; condition on the regime.”</w:t>
      </w:r>
      <w:r>
        <w:t xml:space="preserve"> Each choice is recorded the same way: the decision, why it was made, what was rejected, and what evidence would reverse it. Nothing here is invented — every number traces to </w:t>
      </w:r>
      <w:r>
        <w:rPr>
          <w:i/>
          <w:iCs/>
        </w:rPr>
        <w:t xml:space="preserve">Sources.md</w:t>
      </w:r>
      <w:r>
        <w:t xml:space="preserve"> and every result is recomputed live in </w:t>
      </w:r>
      <w:r>
        <w:rPr>
          <w:i/>
          <w:iCs/>
        </w:rPr>
        <w:t xml:space="preserve">report.Rmd</w:t>
      </w:r>
      <w:r>
        <w:t xml:space="preserv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thesis, and why it should be true before we look</w:t>
      </w:r>
    </w:p>
    <w:p>
      <w:pPr>
        <w:spacing w:after="120" w:before="0" w:line="276"/>
      </w:pPr>
      <w:r>
        <w:t xml:space="preserve">A single beta estimated over two decades is an average across very different worlds, and that average is misleading. Estimating the beta </w:t>
      </w:r>
      <w:r>
        <w:rPr>
          <w:i/>
          <w:iCs/>
        </w:rPr>
        <w:t xml:space="preserve">inside</w:t>
      </w:r>
      <w:r>
        <w:t xml:space="preserve"> each regime instead, DB’s sensitivity to the euro sovereign credit spread is materially steeper in recession than in expansion.</w:t>
      </w:r>
    </w:p>
    <w:p>
      <w:pPr>
        <w:spacing w:after="120" w:before="0" w:line="276"/>
      </w:pPr>
      <w:r>
        <w:rPr>
          <w:b/>
          <w:bCs/>
        </w:rPr>
        <w:t xml:space="preserve">Naming the mechanism first is what makes this a hypothesis test rather than data-mining. </w:t>
      </w:r>
      <w:r>
        <w:t xml:space="preserve">In a recession, borrowers default, loan losses mount, and investors demand more compensation for credit risk, so sovereign spreads widen. DB, as a lender holding euro-area government debt and implicitly backstopped by its sovereign, is mechanically exposed to exactly that repricing — and leverage amplifies it. The same spread move in calm times carries no such threat, so the beta should bite harder in recession. We predicted the sign before estimating it.</w:t>
      </w:r>
    </w:p>
    <w:p>
      <w:pPr>
        <w:spacing w:after="120" w:before="0" w:line="276"/>
      </w:pPr>
      <w:r>
        <w:rPr>
          <w:b/>
          <w:bCs/>
          <w:color w:val="C0561F"/>
        </w:rPr>
        <w:t xml:space="preserve">What this is NOT: </w:t>
      </w:r>
      <w:r>
        <w:t xml:space="preserve">not a forecasting model (it explains sensitivity, it does not predict prices); not a multi-asset risk tool (one name, deep); not a kitchen-sink factor model; not a black box; and not built on invented numbers.</w:t>
      </w:r>
    </w:p>
    <w:p>
      <w:pPr>
        <w:pStyle w:val="Heading1"/>
      </w:pPr>
      <w:r>
        <w:t xml:space="preserve">2. Design decisions (D1–D11)</w:t>
      </w:r>
    </w:p>
    <w:p>
      <w:pPr>
        <w:spacing w:after="120" w:before="0" w:line="276"/>
      </w:pPr>
      <w:r>
        <w:t xml:space="preserve">D1–D9 are pre-build design locks. D10 (data source) and D11 (credit factor) were forced at the data-pull step by what data turned out to be free and maintained, so they read as a story of adapting without compromising the thesis.</w:t>
      </w:r>
    </w:p>
    <w:p>
      <w:pPr>
        <w:pStyle w:val="Heading3"/>
      </w:pPr>
      <w:r>
        <w:t xml:space="preserve">D1 — Language: R</w:t>
      </w:r>
    </w:p>
    <w:p>
      <w:pPr>
        <w:spacing w:after="120" w:before="0" w:line="276"/>
      </w:pPr>
      <w:r>
        <w:rPr>
          <w:b/>
          <w:bCs/>
          <w:color w:val="2E5A88"/>
        </w:rPr>
        <w:t xml:space="preserve">Decision: </w:t>
      </w:r>
      <w:r>
        <w:t xml:space="preserve">Build the study in R.</w:t>
      </w:r>
    </w:p>
    <w:p>
      <w:pPr>
        <w:spacing w:after="120" w:before="0" w:line="276"/>
      </w:pPr>
      <w:r>
        <w:rPr>
          <w:b/>
          <w:bCs/>
          <w:color w:val="2E5A88"/>
        </w:rPr>
        <w:t xml:space="preserve">Why: </w:t>
      </w:r>
      <w:r>
        <w:t xml:space="preserve">R is the standard tool for applied econometrics, which is the focus of this study; the model fitting, HAC inference and diagnostics map directly onto mature R packages.</w:t>
      </w:r>
    </w:p>
    <w:p>
      <w:pPr>
        <w:spacing w:after="120" w:before="0" w:line="276"/>
      </w:pPr>
      <w:r>
        <w:rPr>
          <w:b/>
          <w:bCs/>
          <w:color w:val="2E5A88"/>
        </w:rPr>
        <w:t xml:space="preserve">Alternatives considered: </w:t>
      </w:r>
      <w:r>
        <w:t xml:space="preserve">Python / statsmodels — perfectly capable, but R is the more natural fit for an econometrics-centred study.</w:t>
      </w:r>
    </w:p>
    <w:p>
      <w:pPr>
        <w:spacing w:after="120" w:before="0" w:line="276"/>
      </w:pPr>
      <w:r>
        <w:rPr>
          <w:b/>
          <w:bCs/>
          <w:color w:val="2E5A88"/>
        </w:rPr>
        <w:t xml:space="preserve">What would change my mind: </w:t>
      </w:r>
      <w:r>
        <w:t xml:space="preserve">If a surrounding codebase were Python-only and toolchain consistency outweighed the econometrics fit.</w:t>
      </w:r>
    </w:p>
    <w:p>
      <w:pPr>
        <w:pStyle w:val="Heading3"/>
      </w:pPr>
      <w:r>
        <w:t xml:space="preserve">D2 — One asset, deep (not a basket or portfolio)</w:t>
      </w:r>
    </w:p>
    <w:p>
      <w:pPr>
        <w:spacing w:after="120" w:before="0" w:line="276"/>
      </w:pPr>
      <w:r>
        <w:rPr>
          <w:b/>
          <w:bCs/>
          <w:color w:val="2E5A88"/>
        </w:rPr>
        <w:t xml:space="preserve">Decision: </w:t>
      </w:r>
      <w:r>
        <w:t xml:space="preserve">A single-name study.</w:t>
      </w:r>
    </w:p>
    <w:p>
      <w:pPr>
        <w:spacing w:after="120" w:before="0" w:line="276"/>
      </w:pPr>
      <w:r>
        <w:rPr>
          <w:b/>
          <w:bCs/>
          <w:color w:val="2E5A88"/>
        </w:rPr>
        <w:t xml:space="preserve">Why: </w:t>
      </w:r>
      <w:r>
        <w:t xml:space="preserve">Depth and a clean, narratable story beat breadth, and it matches buy-side equity-research framing — you cover names, you form a view.</w:t>
      </w:r>
    </w:p>
    <w:p>
      <w:pPr>
        <w:spacing w:after="120" w:before="0" w:line="276"/>
      </w:pPr>
      <w:r>
        <w:rPr>
          <w:b/>
          <w:bCs/>
          <w:color w:val="2E5A88"/>
        </w:rPr>
        <w:t xml:space="preserve">Alternatives considered: </w:t>
      </w:r>
      <w:r>
        <w:t xml:space="preserve">A 5–8 name basket (cross-sectional comparison); a diversified portfolio (rejected as too risk-management in flavour).</w:t>
      </w:r>
    </w:p>
    <w:p>
      <w:pPr>
        <w:spacing w:after="120" w:before="0" w:line="276"/>
      </w:pPr>
      <w:r>
        <w:rPr>
          <w:b/>
          <w:bCs/>
          <w:color w:val="2E5A88"/>
        </w:rPr>
        <w:t xml:space="preserve">What would change my mind: </w:t>
      </w:r>
      <w:r>
        <w:t xml:space="preserve">If the objective were portfolio risk management rather than single-name research.</w:t>
      </w:r>
    </w:p>
    <w:p>
      <w:pPr>
        <w:pStyle w:val="Heading3"/>
      </w:pPr>
      <w:r>
        <w:t xml:space="preserve">D3 — Lean factor set, not kitchen-sink</w:t>
      </w:r>
    </w:p>
    <w:p>
      <w:pPr>
        <w:spacing w:after="120" w:before="0" w:line="276"/>
      </w:pPr>
      <w:r>
        <w:rPr>
          <w:b/>
          <w:bCs/>
          <w:color w:val="2E5A88"/>
        </w:rPr>
        <w:t xml:space="preserve">Decision: </w:t>
      </w:r>
      <w:r>
        <w:t xml:space="preserve">A few factors, each with its own thesis.</w:t>
      </w:r>
    </w:p>
    <w:p>
      <w:pPr>
        <w:spacing w:after="120" w:before="0" w:line="276"/>
      </w:pPr>
      <w:r>
        <w:rPr>
          <w:b/>
          <w:bCs/>
          <w:color w:val="2E5A88"/>
        </w:rPr>
        <w:t xml:space="preserve">Why: </w:t>
      </w:r>
      <w:r>
        <w:t xml:space="preserve">Correlated macro series (USD, VIX, spreads all move together) cause multicollinearity and produce unstable, meaningless betas. Parsimony is more defensible than a high R-squared built from overlapping inputs.</w:t>
      </w:r>
    </w:p>
    <w:p>
      <w:pPr>
        <w:spacing w:after="120" w:before="0" w:line="276"/>
      </w:pPr>
      <w:r>
        <w:rPr>
          <w:b/>
          <w:bCs/>
          <w:color w:val="2E5A88"/>
        </w:rPr>
        <w:t xml:space="preserve">Alternatives considered: </w:t>
      </w:r>
      <w:r>
        <w:t xml:space="preserve">Adding oil / USD / VIX / inflation — rejected unless a factor earns its place for this specific asset.</w:t>
      </w:r>
    </w:p>
    <w:p>
      <w:pPr>
        <w:spacing w:after="120" w:before="0" w:line="276"/>
      </w:pPr>
      <w:r>
        <w:rPr>
          <w:b/>
          <w:bCs/>
          <w:color w:val="2E5A88"/>
        </w:rPr>
        <w:t xml:space="preserve">What would change my mind: </w:t>
      </w:r>
      <w:r>
        <w:t xml:space="preserve">If the chosen asset had a specific, non-overlapping exposure (e.g. an energy name and oil).</w:t>
      </w:r>
    </w:p>
    <w:p>
      <w:pPr>
        <w:pStyle w:val="Heading3"/>
      </w:pPr>
      <w:r>
        <w:t xml:space="preserve">D4 — Geography: Europe, not the US</w:t>
      </w:r>
    </w:p>
    <w:p>
      <w:pPr>
        <w:spacing w:after="120" w:before="0" w:line="276"/>
      </w:pPr>
      <w:r>
        <w:rPr>
          <w:b/>
          <w:bCs/>
          <w:color w:val="2E5A88"/>
        </w:rPr>
        <w:t xml:space="preserve">Decision: </w:t>
      </w:r>
      <w:r>
        <w:t xml:space="preserve">A European subject with European macro and regime data.</w:t>
      </w:r>
    </w:p>
    <w:p>
      <w:pPr>
        <w:spacing w:after="120" w:before="0" w:line="276"/>
      </w:pPr>
      <w:r>
        <w:rPr>
          <w:b/>
          <w:bCs/>
          <w:color w:val="2E5A88"/>
        </w:rPr>
        <w:t xml:space="preserve">Why: </w:t>
      </w:r>
      <w:r>
        <w:t xml:space="preserve">The study targets a euro-area institution and euro-area macro conditions, so working with the data and institutions most relevant to the subject (ECB yield curve, CEPR dating) keeps the whole model in one coherent economic world. A US-macro study is the cleaner textbook exercise, but a euro-area one is the more relevant analysis for the question being asked.</w:t>
      </w:r>
    </w:p>
    <w:p>
      <w:pPr>
        <w:spacing w:after="120" w:before="0" w:line="276"/>
      </w:pPr>
      <w:r>
        <w:rPr>
          <w:b/>
          <w:bCs/>
          <w:color w:val="2E5A88"/>
        </w:rPr>
        <w:t xml:space="preserve">Alternatives considered: </w:t>
      </w:r>
      <w:r>
        <w:t xml:space="preserve">The US route (JPMorgan + FRED + NBER) is technically golden — 25+ years of clean history, official NBER dating, three in-sample recessions. Set aside deliberately to keep the study anchored to euro-area markets. A hybrid (European asset, US/global factors) was kept in reserve only.</w:t>
      </w:r>
    </w:p>
    <w:p>
      <w:pPr>
        <w:spacing w:after="120" w:before="0" w:line="276"/>
      </w:pPr>
      <w:r>
        <w:rPr>
          <w:b/>
          <w:bCs/>
          <w:color w:val="2E5A88"/>
        </w:rPr>
        <w:t xml:space="preserve">What would change my mind: </w:t>
      </w:r>
      <w:r>
        <w:t xml:space="preserve">If European recession dating or factor data proved too thin to support a credible regime split — then reconsider the hybrid, openly.</w:t>
      </w:r>
    </w:p>
    <w:p>
      <w:pPr>
        <w:spacing w:after="120" w:before="0" w:line="276"/>
      </w:pPr>
      <w:r>
        <w:rPr>
          <w:b/>
          <w:bCs/>
          <w:color w:val="C0561F"/>
        </w:rPr>
        <w:t xml:space="preserve">Anticipated challenge: </w:t>
      </w:r>
      <w:r>
        <w:t xml:space="preserve">“Why not use a US bank where the data is cleaner?” — because the study’s purpose is to analyse a euro-area institution, so relevance to euro-area markets outweighs the convenience of a longer, cleaner US sample. The cost (a smaller recession sample) is stated openly as the small-sample caveat.</w:t>
      </w:r>
    </w:p>
    <w:p>
      <w:pPr>
        <w:pStyle w:val="Heading3"/>
      </w:pPr>
      <w:r>
        <w:t xml:space="preserve">D5 — Asset: Deutsche Bank (DE)</w:t>
      </w:r>
    </w:p>
    <w:p>
      <w:pPr>
        <w:spacing w:after="120" w:before="0" w:line="276"/>
      </w:pPr>
      <w:r>
        <w:rPr>
          <w:b/>
          <w:bCs/>
          <w:color w:val="2E5A88"/>
        </w:rPr>
        <w:t xml:space="preserve">Decision: </w:t>
      </w:r>
      <w:r>
        <w:t xml:space="preserve">The single name is Deutsche Bank.</w:t>
      </w:r>
    </w:p>
    <w:p>
      <w:pPr>
        <w:spacing w:after="120" w:before="0" w:line="276"/>
      </w:pPr>
      <w:r>
        <w:rPr>
          <w:b/>
          <w:bCs/>
          <w:color w:val="2E5A88"/>
        </w:rPr>
        <w:t xml:space="preserve">Why: </w:t>
      </w:r>
      <w:r>
        <w:t xml:space="preserve">Germany is the largest euro-area economy and Deutsche Bank is a systemically important, widely followed institution; as a bank it is maximally sensitive to rates, the yield curve and credit spreads, giving the most dramatic regime contrast — exactly what the “static beta lies” thesis needs to land.</w:t>
      </w:r>
    </w:p>
    <w:p>
      <w:pPr>
        <w:spacing w:after="120" w:before="0" w:line="276"/>
      </w:pPr>
      <w:r>
        <w:rPr>
          <w:b/>
          <w:bCs/>
          <w:color w:val="2E5A88"/>
        </w:rPr>
        <w:t xml:space="preserve">Alternatives considered: </w:t>
      </w:r>
      <w:r>
        <w:t xml:space="preserve">ING (NL) — cleaner but less memorable, the safe hedge. JPMorgan (US) — technically golden but rejected on geography (D4).</w:t>
      </w:r>
    </w:p>
    <w:p>
      <w:pPr>
        <w:spacing w:after="120" w:before="0" w:line="276"/>
      </w:pPr>
      <w:r>
        <w:rPr>
          <w:b/>
          <w:bCs/>
          <w:color w:val="2E5A88"/>
        </w:rPr>
        <w:t xml:space="preserve">What would change my mind: </w:t>
      </w:r>
      <w:r>
        <w:t xml:space="preserve">DB carries company-specific noise (scandals, restructurings) that clustered in stress periods and could contaminate the regime signal. Accepted knowingly; if that contamination proved impossible to separate from the macro signal, ING is the fallback.</w:t>
      </w:r>
    </w:p>
    <w:p>
      <w:pPr>
        <w:pStyle w:val="Heading3"/>
      </w:pPr>
      <w:r>
        <w:t xml:space="preserve">D6 — Factors: two lean models, market return excluded</w:t>
      </w:r>
    </w:p>
    <w:p>
      <w:pPr>
        <w:spacing w:after="120" w:before="0" w:line="276"/>
      </w:pPr>
      <w:r>
        <w:rPr>
          <w:b/>
          <w:bCs/>
          <w:color w:val="2E5A88"/>
        </w:rPr>
        <w:t xml:space="preserve">Decision: </w:t>
      </w:r>
      <w:r>
        <w:t xml:space="preserve">Two regressions sharing the credit spread: Model A (headline) = sovereign spread + yield-curve slope (10Y−2Y); Model B (robustness) = sovereign spread + long rate (Δ10Y). Each is estimated full-sample and regime-split. The broad equity-market return is excluded.</w:t>
      </w:r>
    </w:p>
    <w:p>
      <w:pPr>
        <w:spacing w:after="120" w:before="0" w:line="276"/>
      </w:pPr>
      <w:r>
        <w:rPr>
          <w:b/>
          <w:bCs/>
          <w:color w:val="2E5A88"/>
        </w:rPr>
        <w:t xml:space="preserve">Why: </w:t>
      </w:r>
      <w:r>
        <w:t xml:space="preserve">Slope and rate level overlap (the slope is built from rates), so putting both in one regression risks multicollinearity. Splitting them into two models avoids that and turns “which rate measure is right?” into a robustness question. Slope is the headline because borrow-short/lend-long makes it the bank-specific channel (slope is roughly the lending margin).</w:t>
      </w:r>
    </w:p>
    <w:p>
      <w:pPr>
        <w:spacing w:after="120" w:before="0" w:line="276"/>
      </w:pPr>
      <w:r>
        <w:rPr>
          <w:b/>
          <w:bCs/>
          <w:color w:val="2E5A88"/>
        </w:rPr>
        <w:t xml:space="preserve">Alternatives considered: </w:t>
      </w:r>
      <w:r>
        <w:t xml:space="preserve">A single kitchen-sink model with slope + level + market + inflation + oil + FX + VIX (rejected, D3). Market return as a control was rejected as headline because it changes the question — it would residualise away the through-market transmission that is signal, not contamination, for a “total macro sensitivity” question; kept only as a one-line robustness run if pushed.</w:t>
      </w:r>
    </w:p>
    <w:p>
      <w:pPr>
        <w:spacing w:after="120" w:before="0" w:line="276"/>
      </w:pPr>
      <w:r>
        <w:rPr>
          <w:b/>
          <w:bCs/>
          <w:color w:val="2E5A88"/>
        </w:rPr>
        <w:t xml:space="preserve">What would change my mind: </w:t>
      </w:r>
      <w:r>
        <w:t xml:space="preserve">If VIF or a correlation matrix on the real data showed spread and slope overlapping too much even apart; or if the question shifted to DB’s idiosyncratic (market-adjusted) sensitivity, in which case market return belongs in.</w:t>
      </w:r>
    </w:p>
    <w:p>
      <w:pPr>
        <w:pStyle w:val="Heading3"/>
      </w:pPr>
      <w:r>
        <w:t xml:space="preserve">D7 — Regime dating: CEPR-EABCN euro-area committee</w:t>
      </w:r>
    </w:p>
    <w:p>
      <w:pPr>
        <w:spacing w:after="120" w:before="0" w:line="276"/>
      </w:pPr>
      <w:r>
        <w:rPr>
          <w:b/>
          <w:bCs/>
          <w:color w:val="2E5A88"/>
        </w:rPr>
        <w:t xml:space="preserve">Decision: </w:t>
      </w:r>
      <w:r>
        <w:t xml:space="preserve">Define the recession/expansion switch from the CEPR-EABCN euro-area business-cycle dating committee, using its final (revised) peak/trough dates to build a monthly 0/1 dummy. Do not reconstruct real-time vintage dates; state the look-ahead limitation openly.</w:t>
      </w:r>
    </w:p>
    <w:p>
      <w:pPr>
        <w:spacing w:after="120" w:before="0" w:line="276"/>
      </w:pPr>
      <w:r>
        <w:rPr>
          <w:b/>
          <w:bCs/>
          <w:color w:val="2E5A88"/>
        </w:rPr>
        <w:t xml:space="preserve">Why: </w:t>
      </w:r>
      <w:r>
        <w:t xml:space="preserve">The regime must match the world the factors live in. The D6 factors are euro-area (Bund, euro spread, ECB-driven rates), and DB’s risk environment is euro-area + global credit conditions, not German-domestic GDP. CEPR-EABCN is the authoritative external committee (the European NBER), which makes the split defensible rather than data-mined. For an explanatory question (not a live signal), the correct classification is the best account of when the economy actually was in recession.</w:t>
      </w:r>
    </w:p>
    <w:p>
      <w:pPr>
        <w:spacing w:after="120" w:before="0" w:line="276"/>
      </w:pPr>
      <w:r>
        <w:rPr>
          <w:b/>
          <w:bCs/>
          <w:color w:val="2E5A88"/>
        </w:rPr>
        <w:t xml:space="preserve">Alternatives considered: </w:t>
      </w:r>
      <w:r>
        <w:t xml:space="preserve">Germany-specific dating (no equally authoritative committee; mismatches the euro-area factors); real-time vintage reconstruction (disproportionate over-engineering for a single-name explanatory study).</w:t>
      </w:r>
    </w:p>
    <w:p>
      <w:pPr>
        <w:spacing w:after="120" w:before="0" w:line="276"/>
      </w:pPr>
      <w:r>
        <w:rPr>
          <w:b/>
          <w:bCs/>
          <w:color w:val="2E5A88"/>
        </w:rPr>
        <w:t xml:space="preserve">What would change my mind: </w:t>
      </w:r>
      <w:r>
        <w:t xml:space="preserve">If CEPR euro-area dates proved un-sourceable or too coarse to build a clean monthly dummy, fall back to a transparent external proxy and say so — not to eyeballed dates.</w:t>
      </w:r>
    </w:p>
    <w:p>
      <w:pPr>
        <w:pStyle w:val="Heading3"/>
      </w:pPr>
      <w:r>
        <w:t xml:space="preserve">D8 — Frequency monthly; window ~Sept 2004 to present</w:t>
      </w:r>
    </w:p>
    <w:p>
      <w:pPr>
        <w:spacing w:after="120" w:before="0" w:line="276"/>
      </w:pPr>
      <w:r>
        <w:rPr>
          <w:b/>
          <w:bCs/>
          <w:color w:val="2E5A88"/>
        </w:rPr>
        <w:t xml:space="preserve">Decision: </w:t>
      </w:r>
      <w:r>
        <w:t xml:space="preserve">Monthly data — monthly DB return, monthly first-differenced factors, monthly 0/1 regime dummy. The window is the euro era, pinned to where all series are jointly available: ~Sept 2004 (the ECB yield-curve start) to present.</w:t>
      </w:r>
    </w:p>
    <w:p>
      <w:pPr>
        <w:spacing w:after="120" w:before="0" w:line="276"/>
      </w:pPr>
      <w:r>
        <w:rPr>
          <w:b/>
          <w:bCs/>
          <w:color w:val="2E5A88"/>
        </w:rPr>
        <w:t xml:space="preserve">Why: </w:t>
      </w:r>
      <w:r>
        <w:t xml:space="preserve">Daily data multiplies rows but not information — daily readings inside one recession are highly correlated looks at the same episode, with more sentiment noise. Monthly is also the natural alignment: CEPR dates the cycle in months and most macro series are monthly. The window still cleanly spans all three distinct euro-area recession episodes (2008–09 GFC, 2011–13 sovereign-debt crisis, 2020 COVID); we lose only the 1999–2003 expansion run, no recession.</w:t>
      </w:r>
    </w:p>
    <w:p>
      <w:pPr>
        <w:spacing w:after="120" w:before="0" w:line="276"/>
      </w:pPr>
      <w:r>
        <w:rPr>
          <w:b/>
          <w:bCs/>
          <w:color w:val="2E5A88"/>
        </w:rPr>
        <w:t xml:space="preserve">Alternatives considered: </w:t>
      </w:r>
      <w:r>
        <w:t xml:space="preserve">Daily (rejected — apparent sample far exceeds real information, noisier, frequency mismatch); weekly (little gain, more noise); a pre-euro start (rejected — splices two monetary regimes, Deutsche Mark/Bundesbank vs euro/ECB).</w:t>
      </w:r>
    </w:p>
    <w:p>
      <w:pPr>
        <w:spacing w:after="120" w:before="0" w:line="276"/>
      </w:pPr>
      <w:r>
        <w:rPr>
          <w:b/>
          <w:bCs/>
          <w:color w:val="2E5A88"/>
        </w:rPr>
        <w:t xml:space="preserve">What would change my mind: </w:t>
      </w:r>
      <w:r>
        <w:t xml:space="preserve">If a key series existed only at lower frequency or started much later than expected — then state the reduced episode count openly rather than pad it.</w:t>
      </w:r>
    </w:p>
    <w:p>
      <w:pPr>
        <w:pStyle w:val="Heading3"/>
      </w:pPr>
      <w:r>
        <w:t xml:space="preserve">D9 — Build in plain .R scripts; knit RMarkdown only at the end</w:t>
      </w:r>
    </w:p>
    <w:p>
      <w:pPr>
        <w:spacing w:after="120" w:before="0" w:line="276"/>
      </w:pPr>
      <w:r>
        <w:rPr>
          <w:b/>
          <w:bCs/>
          <w:color w:val="2E5A88"/>
        </w:rPr>
        <w:t xml:space="preserve">Decision: </w:t>
      </w:r>
      <w:r>
        <w:t xml:space="preserve">Do the working build as numbered plain .R scripts (00_install … 05_scenarios); assemble the RMarkdown report at the write-up stage. The final deliverable is the knitted RMarkdown report; the working format is .R.</w:t>
      </w:r>
    </w:p>
    <w:p>
      <w:pPr>
        <w:spacing w:after="120" w:before="0" w:line="276"/>
      </w:pPr>
      <w:r>
        <w:rPr>
          <w:b/>
          <w:bCs/>
          <w:color w:val="2E5A88"/>
        </w:rPr>
        <w:t xml:space="preserve">Why: </w:t>
      </w:r>
      <w:r>
        <w:t xml:space="preserve">While learning and iterating, .R scripts run line-by-line, expose every intermediate variable, and give clean git diffs. Knitting on every change adds friction with no payoff until the analysis is settled. This gets both — easy build now, polished interview-facing report at the end.</w:t>
      </w:r>
    </w:p>
    <w:p>
      <w:pPr>
        <w:spacing w:after="120" w:before="0" w:line="276"/>
      </w:pPr>
      <w:r>
        <w:rPr>
          <w:b/>
          <w:bCs/>
          <w:color w:val="2E5A88"/>
        </w:rPr>
        <w:t xml:space="preserve">Alternatives considered: </w:t>
      </w:r>
      <w:r>
        <w:t xml:space="preserve">RMarkdown from day one (rejected — knit-loop friction while debugging); .R only with a plain README (rejected — RMarkdown is the stronger interview artifact).</w:t>
      </w:r>
    </w:p>
    <w:p>
      <w:pPr>
        <w:spacing w:after="120" w:before="0" w:line="276"/>
      </w:pPr>
      <w:r>
        <w:rPr>
          <w:b/>
          <w:bCs/>
          <w:color w:val="2E5A88"/>
        </w:rPr>
        <w:t xml:space="preserve">What would change my mind: </w:t>
      </w:r>
      <w:r>
        <w:t xml:space="preserve">If the analysis had turned out trivially short (a single script), a one-file .Rmd from the start would have been simpler.</w:t>
      </w:r>
    </w:p>
    <w:p>
      <w:pPr>
        <w:pStyle w:val="Heading3"/>
      </w:pPr>
      <w:r>
        <w:t xml:space="preserve">D10 — Data source: ECB Data Portal, manual CSV (was FRED)</w:t>
      </w:r>
    </w:p>
    <w:p>
      <w:pPr>
        <w:spacing w:after="120" w:before="0" w:line="276"/>
      </w:pPr>
      <w:r>
        <w:rPr>
          <w:b/>
          <w:bCs/>
          <w:color w:val="2E5A88"/>
        </w:rPr>
        <w:t xml:space="preserve">Decision: </w:t>
      </w:r>
      <w:r>
        <w:t xml:space="preserve">Pull the euro-area macro series directly from the ECB Data Portal as manually downloaded, repo-committed CSVs. DB’s share price comes from Yahoo (manual CSV).</w:t>
      </w:r>
    </w:p>
    <w:p>
      <w:pPr>
        <w:spacing w:after="120" w:before="0" w:line="276"/>
      </w:pPr>
      <w:r>
        <w:rPr>
          <w:b/>
          <w:bCs/>
          <w:color w:val="2E5A88"/>
        </w:rPr>
        <w:t xml:space="preserve">Why: </w:t>
      </w:r>
      <w:r>
        <w:t xml:space="preserve">The original plan was ICE BofA euro spreads mirrored on FRED. At the data-pull step, FRED was found to have truncated all ICE BofA OAS spread series to a rolling ~3-year window (as of April 2026) — killing the FRED route for the factor that carries the whole thesis. The ECB Data Portal publishes the euro-area yield curve free, no API key, full history, and is the primary euro-area source — a more defensible provenance for a euro study than a US mirror. Manual CSVs are frozen vintages, so the analysis reproduces exactly even as macro data gets revised.</w:t>
      </w:r>
    </w:p>
    <w:p>
      <w:pPr>
        <w:spacing w:after="120" w:before="0" w:line="276"/>
      </w:pPr>
      <w:r>
        <w:rPr>
          <w:b/>
          <w:bCs/>
          <w:color w:val="2E5A88"/>
        </w:rPr>
        <w:t xml:space="preserve">Alternatives considered: </w:t>
      </w:r>
      <w:r>
        <w:t xml:space="preserve">Stay on FRED (rejected — series truncated, factor unusable); the ECB API via a package (rejected — adds a key/dependency for no gain over a frozen CSV); OECD/Eurostat (kept in reserve).</w:t>
      </w:r>
    </w:p>
    <w:p>
      <w:pPr>
        <w:spacing w:after="120" w:before="0" w:line="276"/>
      </w:pPr>
      <w:r>
        <w:rPr>
          <w:b/>
          <w:bCs/>
          <w:color w:val="2E5A88"/>
        </w:rPr>
        <w:t xml:space="preserve">What would change my mind: </w:t>
      </w:r>
      <w:r>
        <w:t xml:space="preserve">If a needed ECB series turned out un-downloadable or too short, source the gap from Eurostat/OECD and log it — not silently switch the whole pipeline back to a mirror.</w:t>
      </w:r>
    </w:p>
    <w:p>
      <w:pPr>
        <w:pStyle w:val="Heading3"/>
      </w:pPr>
      <w:r>
        <w:t xml:space="preserve">D11 — Credit factor: euro sovereign spread (not corporate, not CISS)</w:t>
      </w:r>
    </w:p>
    <w:p>
      <w:pPr>
        <w:spacing w:after="120" w:before="0" w:line="276"/>
      </w:pPr>
      <w:r>
        <w:rPr>
          <w:b/>
          <w:bCs/>
          <w:color w:val="2E5A88"/>
        </w:rPr>
        <w:t xml:space="preserve">Decision: </w:t>
      </w:r>
      <w:r>
        <w:t xml:space="preserve">The credit-risk factor in both models is the euro-area sovereign spread = all-issuer euro 10Y govt yield minus AAA (German) 10Y yield, in basis points, from the ECB yield curve.</w:t>
      </w:r>
    </w:p>
    <w:p>
      <w:pPr>
        <w:spacing w:after="120" w:before="0" w:line="276"/>
      </w:pPr>
      <w:r>
        <w:rPr>
          <w:b/>
          <w:bCs/>
          <w:color w:val="2E5A88"/>
        </w:rPr>
        <w:t xml:space="preserve">Why: </w:t>
      </w:r>
      <w:r>
        <w:t xml:space="preserve">The intended factor was a corporate credit spread, but after D10 no free, maintained euro corporate spread exists. The sovereign spread is the best free, full-history stand-in: it is still a credit spread (a yield gap in bp that widens when risk is repriced, preserving the clean “spread +100bp” scenario), and it has a named bank-specific mechanism — the bank–sovereign “doom loop” (euro banks hold home-sovereign debt and rely on an implicit sovereign backstop, so when the sovereign spread widens, banks like DB are directly hit). The 2011–13 sovereign-debt crisis is one of our three recession episodes and is precisely a sovereign-spread event, so the factor has real in-sample signal.</w:t>
      </w:r>
    </w:p>
    <w:p>
      <w:pPr>
        <w:spacing w:after="120" w:before="0" w:line="276"/>
      </w:pPr>
      <w:r>
        <w:rPr>
          <w:b/>
          <w:bCs/>
          <w:color w:val="2E5A88"/>
        </w:rPr>
        <w:t xml:space="preserve">Alternatives considered: </w:t>
      </w:r>
      <w:r>
        <w:t xml:space="preserve">Euro corporate HY/IG OAS (the original plan — rejected: no free maintained source after FRED truncation); CISS, the ECB systemic-stress index (rejected as headline — a 0–1 index, not a bp price, with no “+10bp” interpretation, and it blends equity/FX/money-market stress that is not credit; kept only as optional robustness).</w:t>
      </w:r>
    </w:p>
    <w:p>
      <w:pPr>
        <w:spacing w:after="120" w:before="0" w:line="276"/>
      </w:pPr>
      <w:r>
        <w:rPr>
          <w:b/>
          <w:bCs/>
          <w:color w:val="2E5A88"/>
        </w:rPr>
        <w:t xml:space="preserve">What would change my mind: </w:t>
      </w:r>
      <w:r>
        <w:t xml:space="preserve">If a free, full-history euro corporate spread surfaced, prefer it as the headline (closer to the mechanism) and demote the sovereign spread to robustness — and say so.</w:t>
      </w:r>
    </w:p>
    <w:p>
      <w:pPr>
        <w:spacing w:after="120" w:before="0" w:line="276"/>
      </w:pPr>
      <w:r>
        <w:rPr>
          <w:b/>
          <w:bCs/>
          <w:color w:val="C0561F"/>
        </w:rPr>
        <w:t xml:space="preserve">Honest caveat on D11 (stated, not hidden): </w:t>
      </w:r>
      <w:r>
        <w:t xml:space="preserve">a sovereign spread prices sovereign default/stress, not direct corporate default risk. It is used as the best free, full-history proxy for euro credit-risk conditions, and the doom-loop channel is exactly why it is a defensible proxy for a bank specifically. The limitation is named rather than glossed over.</w:t>
      </w:r>
    </w:p>
    <w:p>
      <w:r>
        <w:br w:type="page"/>
      </w:r>
    </w:p>
    <w:p>
      <w:pPr>
        <w:pStyle w:val="Heading1"/>
      </w:pPr>
      <w:r>
        <w:t xml:space="preserve">3. Econometric defensibility — the things that could break this, handled</w:t>
      </w:r>
    </w:p>
    <w:p>
      <w:pPr>
        <w:pStyle w:val="Heading2"/>
      </w:pPr>
      <w:r>
        <w:t xml:space="preserve">3.1 Stationarity (why first-differencing was the right call)</w:t>
      </w:r>
    </w:p>
    <w:p>
      <w:pPr>
        <w:spacing w:after="120" w:before="0" w:line="276"/>
      </w:pPr>
      <w:r>
        <w:t xml:space="preserve">Yield and spread </w:t>
      </w:r>
      <w:r>
        <w:rPr>
          <w:i/>
          <w:iCs/>
        </w:rPr>
        <w:t xml:space="preserve">levels</w:t>
      </w:r>
      <w:r>
        <w:t xml:space="preserve"> are non-stationary — they wander — and regressing one wandering series on another manufactures fake relationships (“spurious regression”). So every factor is first-differenced: we model monthly </w:t>
      </w:r>
      <w:r>
        <w:rPr>
          <w:i/>
          <w:iCs/>
        </w:rPr>
        <w:t xml:space="preserve">changes</w:t>
      </w:r>
      <w:r>
        <w:t xml:space="preserve">, not levels. ADF and KPSS tests confirm this empirically, and they are run together on purpose because they carry </w:t>
      </w:r>
      <w:r>
        <w:rPr>
          <w:i/>
          <w:iCs/>
        </w:rPr>
        <w:t xml:space="preserve">opposite</w:t>
      </w:r>
      <w:r>
        <w:t xml:space="preserve"> nulls — ADF’s null is “non-stationary,” KPSS’s is “stationary” — so agreement between them is strong evidence. The levels fail both; the changes and returns we actually model pass both.</w:t>
      </w:r>
    </w:p>
    <w:p>
      <w:pPr>
        <w:pStyle w:val="Heading2"/>
      </w:pPr>
      <w:r>
        <w:t xml:space="preserve">3.2 Serial correlation &amp; heteroskedasticity</w:t>
      </w:r>
    </w:p>
    <w:p>
      <w:pPr>
        <w:spacing w:after="120" w:before="0" w:line="276"/>
      </w:pPr>
      <w:r>
        <w:t xml:space="preserve">Every standard error, p-value and confidence interval in the study uses </w:t>
      </w:r>
      <w:r>
        <w:rPr>
          <w:b/>
          <w:bCs/>
        </w:rPr>
        <w:t xml:space="preserve">Newey-West HAC</w:t>
      </w:r>
      <w:r>
        <w:t xml:space="preserve"> standard errors, robust to both heteroskedasticity and serial correlation in monthly financial data. The same HAC helper is used in every script and in the report, so the scripts and the write-up cannot silently disagree.</w:t>
      </w:r>
    </w:p>
    <w:p>
      <w:pPr>
        <w:pStyle w:val="Heading2"/>
      </w:pPr>
      <w:r>
        <w:t xml:space="preserve">3.3 The regime-split machinery</w:t>
      </w:r>
    </w:p>
    <w:p>
      <w:pPr>
        <w:spacing w:after="120" w:before="0" w:line="276"/>
      </w:pPr>
      <w:r>
        <w:t xml:space="preserve">The regime split interacts every factor with a recession dummy. The interaction coefficient </w:t>
      </w:r>
      <w:r>
        <w:rPr>
          <w:b/>
          <w:bCs/>
        </w:rPr>
        <w:t xml:space="preserve">γ</w:t>
      </w:r>
      <w:r>
        <w:t xml:space="preserve"> </w:t>
      </w:r>
      <w:r>
        <w:rPr>
          <w:i/>
          <w:iCs/>
        </w:rPr>
        <w:t xml:space="preserve">is</w:t>
      </w:r>
      <w:r>
        <w:t xml:space="preserve"> the thesis in one number: γ = (recession beta − expansion beta). A significantly negative γ means the spread beta is steeper in recession. To read each regime’s beta with its own error bar, the same model is fit twice with the dummy flipped (recession, then expansion = 1 − recession) — identical model, relabelled — so each regime’s coefficient prints with its own HAC standard error. The cleanest single check is a joint Wald test that all the recession interactions are zero at once.</w:t>
      </w:r>
    </w:p>
    <w:p>
      <w:pPr>
        <w:pStyle w:val="Heading2"/>
      </w:pPr>
      <w:r>
        <w:t xml:space="preserve">3.4 Small sample — the honest limit</w:t>
      </w:r>
    </w:p>
    <w:p>
      <w:pPr>
        <w:spacing w:after="120" w:before="0" w:line="276"/>
      </w:pPr>
      <w:r>
        <w:t xml:space="preserve">There are only 39 recession months (about 15% of the sample) across </w:t>
      </w:r>
      <w:r>
        <w:rPr>
          <w:b/>
          <w:bCs/>
        </w:rPr>
        <w:t xml:space="preserve">three episodes</w:t>
      </w:r>
      <w:r>
        <w:t xml:space="preserve">. The binding constraint is the number of distinct episodes, not the row count, which is exactly why higher frequency would not help — it just cuts the same three episodes into more correlated rows. The consequence is wide error bars on the recession and γ betas, so they are presented as </w:t>
      </w:r>
      <w:r>
        <w:rPr>
          <w:b/>
          <w:bCs/>
        </w:rPr>
        <w:t xml:space="preserve">directional, not pinpoint</w:t>
      </w:r>
      <w:r>
        <w:t xml:space="preserve">, and the conclusion leans on the formal γ and joint-Wald tests rather than eyeballing a 39-point scatter.</w:t>
      </w:r>
    </w:p>
    <w:p>
      <w:pPr>
        <w:pStyle w:val="Heading2"/>
      </w:pPr>
      <w:r>
        <w:t xml:space="preserve">3.5 Look-ahead in the regime dummy</w:t>
      </w:r>
    </w:p>
    <w:p>
      <w:pPr>
        <w:spacing w:after="120" w:before="0" w:line="276"/>
      </w:pPr>
      <w:r>
        <w:t xml:space="preserve">CEPR recession dates are revised and published with a lag, so the dummy is not a real-time signal. It is the right tool for the question we ask (“did sensitivity differ across regimes?”) but would not have been available live for trading. Stated plainly rather than papered over — and it is only a genuine flaw if one claims a tradable signal, which this study explicitly does not.</w:t>
      </w:r>
    </w:p>
    <w:p>
      <w:pPr>
        <w:pStyle w:val="Heading2"/>
      </w:pPr>
      <w:r>
        <w:t xml:space="preserve">3.6 R-squared, interpreted honestly</w:t>
      </w:r>
    </w:p>
    <w:p>
      <w:pPr>
        <w:spacing w:after="120" w:before="0" w:line="276"/>
      </w:pPr>
      <w:r>
        <w:t xml:space="preserve">R-squared is low and rises only modestly from the full-sample to the regime-split model. That is expected and not a flaw: a single stock’s monthly return is mostly idiosyncratic, and this is an explanatory model of </w:t>
      </w:r>
      <w:r>
        <w:rPr>
          <w:i/>
          <w:iCs/>
        </w:rPr>
        <w:t xml:space="preserve">sensitivity</w:t>
      </w:r>
      <w:r>
        <w:t xml:space="preserve">, not a price forecaster. The nested-model R-squared rise is partly mechanical (more parameters always fit a little better), so it is reported descriptively and is </w:t>
      </w:r>
      <w:r>
        <w:rPr>
          <w:i/>
          <w:iCs/>
        </w:rPr>
        <w:t xml:space="preserve">not</w:t>
      </w:r>
      <w:r>
        <w:t xml:space="preserve"> offered as evidence for the thesis — the γ and Wald tests carry that weight.</w:t>
      </w:r>
    </w:p>
    <w:p>
      <w:pPr>
        <w:pStyle w:val="Heading1"/>
      </w:pPr>
      <w:r>
        <w:t xml:space="preserve">4. What the results say — and how the claim is bounded</w:t>
      </w:r>
    </w:p>
    <w:p>
      <w:pPr>
        <w:spacing w:after="120" w:before="0" w:line="276"/>
      </w:pPr>
      <w:r>
        <w:rPr>
          <w:b/>
          <w:bCs/>
        </w:rPr>
        <w:t xml:space="preserve">Model A (headline). </w:t>
      </w:r>
      <w:r>
        <w:t xml:space="preserve">The spread beta is roughly twice as steep in recession as in expansion. The difference γ is significant under HAC standard errors (the direct test, p &lt; 0.05). The joint Wald test that all recession interactions are zero corroborates it but sits at the 5% borderline (significant at 10%, and below 5% under the fixed-bandwidth HAC in the script). This is reported honestly rather than overstated: the regime split is real, not an artefact of slicing the data, but the joint test sits close enough to 5% to say so plainly. The two regime confidence intervals overlap slightly — but CI overlap is the weaker check; testing the difference directly via γ is what matters, and that clears 5%.</w:t>
      </w:r>
    </w:p>
    <w:p>
      <w:pPr>
        <w:spacing w:after="120" w:before="0" w:line="276"/>
      </w:pPr>
      <w:r>
        <w:rPr>
          <w:b/>
          <w:bCs/>
        </w:rPr>
        <w:t xml:space="preserve">Model B (robustness). </w:t>
      </w:r>
      <w:r>
        <w:t xml:space="preserve">Swapping the slope for the long rate, the spread story survives in </w:t>
      </w:r>
      <w:r>
        <w:rPr>
          <w:i/>
          <w:iCs/>
        </w:rPr>
        <w:t xml:space="preserve">direction</w:t>
      </w:r>
      <w:r>
        <w:t xml:space="preserve"> (recession beta steeper than expansion), but the interaction is only borderline and the joint Wald test is not significant. This is deliberately not hidden: the regime-dependence in Model A is carried by the spread </w:t>
      </w:r>
      <w:r>
        <w:rPr>
          <w:i/>
          <w:iCs/>
        </w:rPr>
        <w:t xml:space="preserve">and</w:t>
      </w:r>
      <w:r>
        <w:t xml:space="preserve"> the slope together, so replacing the slope weakens the joint result. The claim we stand behind is the Model A claim, reported with the Model B caveat attached — not a “every spec wins” overstatement.</w:t>
      </w:r>
    </w:p>
    <w:p>
      <w:pPr>
        <w:spacing w:after="120" w:before="0" w:line="276"/>
      </w:pPr>
      <w:r>
        <w:rPr>
          <w:b/>
          <w:bCs/>
          <w:color w:val="C0561F"/>
        </w:rPr>
        <w:t xml:space="preserve">Why HAC p-values can differ slightly between R and a Python cross-check: </w:t>
      </w:r>
      <w:r>
        <w:t xml:space="preserve">Newey-West requires a bandwidth (lag) choice. Auto-bandwidth and fixed-lag implementations give slightly different p-values around the same point estimate (e.g. γ near 0.04 vs 0.055; joint Wald near 0.04 fixed-lag vs 0.06 auto). Both are legitimate; the study reports the values its own R pipeline produces and notes the sensitivity.</w:t>
      </w:r>
    </w:p>
    <w:p>
      <w:pPr>
        <w:pStyle w:val="Heading1"/>
      </w:pPr>
      <w:r>
        <w:t xml:space="preserve">5. Scenario design — turning betas into money, defensibly</w:t>
      </w:r>
    </w:p>
    <w:p>
      <w:pPr>
        <w:spacing w:after="120" w:before="0" w:line="276"/>
      </w:pPr>
      <w:r>
        <w:t xml:space="preserve">A beta of about −0.005 per basis point is abstract, so the scenario step converts it into “if the spread jumps by X, DB is predicted to move by Y%.” Three choices make that step defensible.</w:t>
      </w:r>
    </w:p>
    <w:p>
      <w:pPr>
        <w:pStyle w:val="ListParagraph"/>
        <w:numPr>
          <w:ilvl w:val="0"/>
          <w:numId w:val="2"/>
        </w:numPr>
        <w:spacing w:after="80" w:line="276"/>
      </w:pPr>
      <w:r>
        <w:rPr>
          <w:b/>
          <w:bCs/>
        </w:rPr>
        <w:t xml:space="preserve">Shock sizes are read off the data, not invented. </w:t>
      </w:r>
      <w:r>
        <w:t xml:space="preserve">The three shocks are anchored to the actual monthly distribution of spread changes: 1 standard deviation (a typical month), the 95th percentile of the absolute move (an adverse month), and the single worst month in the sample (severe).</w:t>
      </w:r>
    </w:p>
    <w:p>
      <w:pPr>
        <w:pStyle w:val="ListParagraph"/>
        <w:numPr>
          <w:ilvl w:val="0"/>
          <w:numId w:val="2"/>
        </w:numPr>
        <w:spacing w:after="80" w:line="276"/>
      </w:pPr>
      <w:r>
        <w:rPr>
          <w:b/>
          <w:bCs/>
        </w:rPr>
        <w:t xml:space="preserve">Percentile and max, not a 2σ / 3σ rule. </w:t>
      </w:r>
      <w:r>
        <w:t xml:space="preserve">The distribution is not a bell curve — it is fat-tailed (excess kurtosis around 4.7 vs 0 for a normal) and right-skewed (spreads blow out faster than they tighten). On a fat-tailed series the Gaussian shortcuts understate the tails, so the 95th percentile and the historical max are read straight off the sorted data, where they are honest regardless of shape. The standard deviation is used only for the mild “typical” case.</w:t>
      </w:r>
    </w:p>
    <w:p>
      <w:pPr>
        <w:pStyle w:val="ListParagraph"/>
        <w:numPr>
          <w:ilvl w:val="0"/>
          <w:numId w:val="2"/>
        </w:numPr>
        <w:spacing w:after="80" w:line="276"/>
      </w:pPr>
      <w:r>
        <w:rPr>
          <w:b/>
          <w:bCs/>
        </w:rPr>
        <w:t xml:space="preserve">The shock is held fixed across regimes. </w:t>
      </w:r>
      <w:r>
        <w:t xml:space="preserve">The thesis is “same shock, bigger hit in recession,” so the only thing allowed to differ between the two bars is the beta. For the same shock, the predicted recession move is roughly double the expansion move — the thesis expressed in return space.</w:t>
      </w:r>
    </w:p>
    <w:p>
      <w:pPr>
        <w:spacing w:after="120" w:before="0" w:line="276"/>
      </w:pPr>
      <w:r>
        <w:rPr>
          <w:b/>
          <w:bCs/>
          <w:color w:val="C0561F"/>
        </w:rPr>
        <w:t xml:space="preserve">Caveat carried onto the chart: </w:t>
      </w:r>
      <w:r>
        <w:t xml:space="preserve">the recession whiskers (95% HAC CIs) are wide because there are only three episodes, so the scenario magnitudes are read as directional, not precise point predictions.</w:t>
      </w:r>
    </w:p>
    <w:p>
      <w:r>
        <w:br w:type="page"/>
      </w:r>
    </w:p>
    <w:p>
      <w:pPr>
        <w:pStyle w:val="Heading1"/>
      </w:pPr>
      <w:r>
        <w:t xml:space="preserve">6. Limitations, in one place</w:t>
      </w:r>
    </w:p>
    <w:p>
      <w:pPr>
        <w:spacing w:after="120" w:before="0" w:line="276"/>
      </w:pPr>
      <w:r>
        <w:t xml:space="preserve">Stated up front so none of them can be sprung in an interview as a surprise:</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400"/>
        <w:gridCol w:w="5626"/>
      </w:tblGrid>
      <w:tr>
        <w:tc>
          <w:tcPr>
            <w:tcW w:type="dxa" w:w="3400"/>
            <w:shd w:fill="D6E2EF" w:val="clear"/>
            <w:tcMar>
              <w:top w:type="dxa" w:w="70"/>
              <w:left w:type="dxa" w:w="110"/>
              <w:bottom w:type="dxa" w:w="70"/>
              <w:right w:type="dxa" w:w="110"/>
            </w:tcMar>
            <w:vAlign w:val="center"/>
          </w:tcPr>
          <w:p>
            <w:pPr>
              <w:spacing w:after="0" w:line="264"/>
            </w:pPr>
            <w:r>
              <w:rPr>
                <w:b/>
                <w:bCs/>
                <w:sz w:val="20"/>
                <w:szCs w:val="20"/>
              </w:rPr>
              <w:t xml:space="preserve">Limitation</w:t>
            </w:r>
          </w:p>
        </w:tc>
        <w:tc>
          <w:tcPr>
            <w:tcW w:type="dxa" w:w="5626"/>
            <w:shd w:fill="D6E2EF" w:val="clear"/>
            <w:tcMar>
              <w:top w:type="dxa" w:w="70"/>
              <w:left w:type="dxa" w:w="110"/>
              <w:bottom w:type="dxa" w:w="70"/>
              <w:right w:type="dxa" w:w="110"/>
            </w:tcMar>
            <w:vAlign w:val="center"/>
          </w:tcPr>
          <w:p>
            <w:pPr>
              <w:spacing w:after="0" w:line="264"/>
            </w:pPr>
            <w:r>
              <w:rPr>
                <w:b/>
                <w:bCs/>
                <w:sz w:val="20"/>
                <w:szCs w:val="20"/>
              </w:rPr>
              <w:t xml:space="preserve">How it is handled</w:t>
            </w:r>
          </w:p>
        </w:tc>
      </w:tr>
      <w:tr>
        <w:tc>
          <w:tcPr>
            <w:tcW w:type="dxa" w:w="3400"/>
            <w:shd w:fill="F2F6FA" w:val="clear"/>
            <w:tcMar>
              <w:top w:type="dxa" w:w="70"/>
              <w:left w:type="dxa" w:w="110"/>
              <w:bottom w:type="dxa" w:w="70"/>
              <w:right w:type="dxa" w:w="110"/>
            </w:tcMar>
            <w:vAlign w:val="center"/>
          </w:tcPr>
          <w:p>
            <w:pPr>
              <w:spacing w:after="0" w:line="264"/>
            </w:pPr>
            <w:r>
              <w:rPr>
                <w:b/>
                <w:bCs/>
                <w:sz w:val="20"/>
                <w:szCs w:val="20"/>
              </w:rPr>
              <w:t xml:space="preserve">Only 3 recession episodes (small sample)</w:t>
            </w:r>
          </w:p>
        </w:tc>
        <w:tc>
          <w:tcPr>
            <w:tcW w:type="dxa" w:w="5626"/>
            <w:tcMar>
              <w:top w:type="dxa" w:w="70"/>
              <w:left w:type="dxa" w:w="110"/>
              <w:bottom w:type="dxa" w:w="70"/>
              <w:right w:type="dxa" w:w="110"/>
            </w:tcMar>
            <w:vAlign w:val="center"/>
          </w:tcPr>
          <w:p>
            <w:pPr>
              <w:spacing w:after="0" w:line="264"/>
            </w:pPr>
            <w:r>
              <w:rPr>
                <w:b w:val="false"/>
                <w:bCs w:val="false"/>
                <w:sz w:val="20"/>
                <w:szCs w:val="20"/>
              </w:rPr>
              <w:t xml:space="preserve">Betas presented as directional; reliance on formal γ and joint-Wald tests, not eyeballing; caveat stated everywhere.</w:t>
            </w:r>
          </w:p>
        </w:tc>
      </w:tr>
      <w:tr>
        <w:tc>
          <w:tcPr>
            <w:tcW w:type="dxa" w:w="3400"/>
            <w:shd w:fill="F2F6FA" w:val="clear"/>
            <w:tcMar>
              <w:top w:type="dxa" w:w="70"/>
              <w:left w:type="dxa" w:w="110"/>
              <w:bottom w:type="dxa" w:w="70"/>
              <w:right w:type="dxa" w:w="110"/>
            </w:tcMar>
            <w:vAlign w:val="center"/>
          </w:tcPr>
          <w:p>
            <w:pPr>
              <w:spacing w:after="0" w:line="264"/>
            </w:pPr>
            <w:r>
              <w:rPr>
                <w:b/>
                <w:bCs/>
                <w:sz w:val="20"/>
                <w:szCs w:val="20"/>
              </w:rPr>
              <w:t xml:space="preserve">Look-ahead in revised CEPR dates</w:t>
            </w:r>
          </w:p>
        </w:tc>
        <w:tc>
          <w:tcPr>
            <w:tcW w:type="dxa" w:w="5626"/>
            <w:tcMar>
              <w:top w:type="dxa" w:w="70"/>
              <w:left w:type="dxa" w:w="110"/>
              <w:bottom w:type="dxa" w:w="70"/>
              <w:right w:type="dxa" w:w="110"/>
            </w:tcMar>
            <w:vAlign w:val="center"/>
          </w:tcPr>
          <w:p>
            <w:pPr>
              <w:spacing w:after="0" w:line="264"/>
            </w:pPr>
            <w:r>
              <w:rPr>
                <w:b w:val="false"/>
                <w:bCs w:val="false"/>
                <w:sz w:val="20"/>
                <w:szCs w:val="20"/>
              </w:rPr>
              <w:t xml:space="preserve">Acknowledged; the dummy is for an explanatory question, not a live trading signal, where look-ahead would be a real flaw.</w:t>
            </w:r>
          </w:p>
        </w:tc>
      </w:tr>
      <w:tr>
        <w:tc>
          <w:tcPr>
            <w:tcW w:type="dxa" w:w="3400"/>
            <w:shd w:fill="F2F6FA" w:val="clear"/>
            <w:tcMar>
              <w:top w:type="dxa" w:w="70"/>
              <w:left w:type="dxa" w:w="110"/>
              <w:bottom w:type="dxa" w:w="70"/>
              <w:right w:type="dxa" w:w="110"/>
            </w:tcMar>
            <w:vAlign w:val="center"/>
          </w:tcPr>
          <w:p>
            <w:pPr>
              <w:spacing w:after="0" w:line="264"/>
            </w:pPr>
            <w:r>
              <w:rPr>
                <w:b/>
                <w:bCs/>
                <w:sz w:val="20"/>
                <w:szCs w:val="20"/>
              </w:rPr>
              <w:t xml:space="preserve">Sovereign spread ≠ corporate spread</w:t>
            </w:r>
          </w:p>
        </w:tc>
        <w:tc>
          <w:tcPr>
            <w:tcW w:type="dxa" w:w="5626"/>
            <w:tcMar>
              <w:top w:type="dxa" w:w="70"/>
              <w:left w:type="dxa" w:w="110"/>
              <w:bottom w:type="dxa" w:w="70"/>
              <w:right w:type="dxa" w:w="110"/>
            </w:tcMar>
            <w:vAlign w:val="center"/>
          </w:tcPr>
          <w:p>
            <w:pPr>
              <w:spacing w:after="0" w:line="264"/>
            </w:pPr>
            <w:r>
              <w:rPr>
                <w:b w:val="false"/>
                <w:bCs w:val="false"/>
                <w:sz w:val="20"/>
                <w:szCs w:val="20"/>
              </w:rPr>
              <w:t xml:space="preserve">Named explicitly; justified via the bank–sovereign doom-loop channel as a defensible free proxy; would prefer a corporate spread if one were freely available.</w:t>
            </w:r>
          </w:p>
        </w:tc>
      </w:tr>
      <w:tr>
        <w:tc>
          <w:tcPr>
            <w:tcW w:type="dxa" w:w="3400"/>
            <w:shd w:fill="F2F6FA" w:val="clear"/>
            <w:tcMar>
              <w:top w:type="dxa" w:w="70"/>
              <w:left w:type="dxa" w:w="110"/>
              <w:bottom w:type="dxa" w:w="70"/>
              <w:right w:type="dxa" w:w="110"/>
            </w:tcMar>
            <w:vAlign w:val="center"/>
          </w:tcPr>
          <w:p>
            <w:pPr>
              <w:spacing w:after="0" w:line="264"/>
            </w:pPr>
            <w:r>
              <w:rPr>
                <w:b/>
                <w:bCs/>
                <w:sz w:val="20"/>
                <w:szCs w:val="20"/>
              </w:rPr>
              <w:t xml:space="preserve">DB company-specific noise in stress periods</w:t>
            </w:r>
          </w:p>
        </w:tc>
        <w:tc>
          <w:tcPr>
            <w:tcW w:type="dxa" w:w="5626"/>
            <w:tcMar>
              <w:top w:type="dxa" w:w="70"/>
              <w:left w:type="dxa" w:w="110"/>
              <w:bottom w:type="dxa" w:w="70"/>
              <w:right w:type="dxa" w:w="110"/>
            </w:tcMar>
            <w:vAlign w:val="center"/>
          </w:tcPr>
          <w:p>
            <w:pPr>
              <w:spacing w:after="0" w:line="264"/>
            </w:pPr>
            <w:r>
              <w:rPr>
                <w:b w:val="false"/>
                <w:bCs w:val="false"/>
                <w:sz w:val="20"/>
                <w:szCs w:val="20"/>
              </w:rPr>
              <w:t xml:space="preserve">Accepted knowingly (D5); ING is the fallback if it proved inseparable from the macro signal.</w:t>
            </w:r>
          </w:p>
        </w:tc>
      </w:tr>
      <w:tr>
        <w:tc>
          <w:tcPr>
            <w:tcW w:type="dxa" w:w="3400"/>
            <w:shd w:fill="F2F6FA" w:val="clear"/>
            <w:tcMar>
              <w:top w:type="dxa" w:w="70"/>
              <w:left w:type="dxa" w:w="110"/>
              <w:bottom w:type="dxa" w:w="70"/>
              <w:right w:type="dxa" w:w="110"/>
            </w:tcMar>
            <w:vAlign w:val="center"/>
          </w:tcPr>
          <w:p>
            <w:pPr>
              <w:spacing w:after="0" w:line="264"/>
            </w:pPr>
            <w:r>
              <w:rPr>
                <w:b/>
                <w:bCs/>
                <w:sz w:val="20"/>
                <w:szCs w:val="20"/>
              </w:rPr>
              <w:t xml:space="preserve">Model B joint test not significant</w:t>
            </w:r>
          </w:p>
        </w:tc>
        <w:tc>
          <w:tcPr>
            <w:tcW w:type="dxa" w:w="5626"/>
            <w:tcMar>
              <w:top w:type="dxa" w:w="70"/>
              <w:left w:type="dxa" w:w="110"/>
              <w:bottom w:type="dxa" w:w="70"/>
              <w:right w:type="dxa" w:w="110"/>
            </w:tcMar>
            <w:vAlign w:val="center"/>
          </w:tcPr>
          <w:p>
            <w:pPr>
              <w:spacing w:after="0" w:line="264"/>
            </w:pPr>
            <w:r>
              <w:rPr>
                <w:b w:val="false"/>
                <w:bCs w:val="false"/>
                <w:sz w:val="20"/>
                <w:szCs w:val="20"/>
              </w:rPr>
              <w:t xml:space="preserve">Reported, not hidden; the standing claim is Model A with the Model B caveat attached.</w:t>
            </w:r>
          </w:p>
        </w:tc>
      </w:tr>
      <w:tr>
        <w:tc>
          <w:tcPr>
            <w:tcW w:type="dxa" w:w="3400"/>
            <w:shd w:fill="F2F6FA" w:val="clear"/>
            <w:tcMar>
              <w:top w:type="dxa" w:w="70"/>
              <w:left w:type="dxa" w:w="110"/>
              <w:bottom w:type="dxa" w:w="70"/>
              <w:right w:type="dxa" w:w="110"/>
            </w:tcMar>
            <w:vAlign w:val="center"/>
          </w:tcPr>
          <w:p>
            <w:pPr>
              <w:spacing w:after="0" w:line="264"/>
            </w:pPr>
            <w:r>
              <w:rPr>
                <w:b/>
                <w:bCs/>
                <w:sz w:val="20"/>
                <w:szCs w:val="20"/>
              </w:rPr>
              <w:t xml:space="preserve">Low R-squared</w:t>
            </w:r>
          </w:p>
        </w:tc>
        <w:tc>
          <w:tcPr>
            <w:tcW w:type="dxa" w:w="5626"/>
            <w:tcMar>
              <w:top w:type="dxa" w:w="70"/>
              <w:left w:type="dxa" w:w="110"/>
              <w:bottom w:type="dxa" w:w="70"/>
              <w:right w:type="dxa" w:w="110"/>
            </w:tcMar>
            <w:vAlign w:val="center"/>
          </w:tcPr>
          <w:p>
            <w:pPr>
              <w:spacing w:after="0" w:line="264"/>
            </w:pPr>
            <w:r>
              <w:rPr>
                <w:b w:val="false"/>
                <w:bCs w:val="false"/>
                <w:sz w:val="20"/>
                <w:szCs w:val="20"/>
              </w:rPr>
              <w:t xml:space="preserve">Expected for single-stock monthly returns; this is a sensitivity model, not a forecaster; nested R-squared rise treated as descriptive only.</w:t>
            </w:r>
          </w:p>
        </w:tc>
      </w:tr>
    </w:tbl>
    <w:p>
      <w:pPr>
        <w:pStyle w:val="Heading1"/>
      </w:pPr>
      <w:r>
        <w:t xml:space="preserve">7. Standing rules the project was held to</w:t>
      </w:r>
    </w:p>
    <w:p>
      <w:pPr>
        <w:pStyle w:val="ListParagraph"/>
        <w:numPr>
          <w:ilvl w:val="0"/>
          <w:numId w:val="2"/>
        </w:numPr>
        <w:spacing w:after="80" w:line="276"/>
      </w:pPr>
      <w:r>
        <w:t xml:space="preserve">No invented numbers — every series traced to source (ID, frequency, date range, vintage) in Sources.md before it enters the model.</w:t>
      </w:r>
    </w:p>
    <w:p>
      <w:pPr>
        <w:pStyle w:val="ListParagraph"/>
        <w:numPr>
          <w:ilvl w:val="0"/>
          <w:numId w:val="2"/>
        </w:numPr>
        <w:spacing w:after="80" w:line="276"/>
      </w:pPr>
      <w:r>
        <w:t xml:space="preserve">Every modelling choice documented in the form “I did X because I believe Y, and here is what would change my mind.”</w:t>
      </w:r>
    </w:p>
    <w:p>
      <w:pPr>
        <w:pStyle w:val="ListParagraph"/>
        <w:numPr>
          <w:ilvl w:val="0"/>
          <w:numId w:val="2"/>
        </w:numPr>
        <w:spacing w:after="80" w:line="276"/>
      </w:pPr>
      <w:r>
        <w:t xml:space="preserve">Mechanism named before estimation, so the regime split is a hypothesis test, not data-mining.</w:t>
      </w:r>
    </w:p>
    <w:p>
      <w:pPr>
        <w:pStyle w:val="ListParagraph"/>
        <w:numPr>
          <w:ilvl w:val="0"/>
          <w:numId w:val="2"/>
        </w:numPr>
        <w:spacing w:after="80" w:line="276"/>
      </w:pPr>
      <w:r>
        <w:t xml:space="preserve">Every result verified — numbers reproduced and signs sanity-checked against economic logic.</w:t>
      </w:r>
    </w:p>
    <w:p>
      <w:pPr>
        <w:pStyle w:val="ListParagraph"/>
        <w:numPr>
          <w:ilvl w:val="0"/>
          <w:numId w:val="2"/>
        </w:numPr>
        <w:spacing w:after="80" w:line="276"/>
      </w:pPr>
      <w:r>
        <w:t xml:space="preserve">Honest reporting of borderline results rather than rounding them into a cleaner story.</w:t>
      </w:r>
    </w:p>
    <w:p>
      <w:pPr>
        <w:pBdr>
          <w:top w:val="single" w:color="BBBBBB" w:sz="4" w:space="4"/>
        </w:pBdr>
        <w:spacing w:before="240"/>
      </w:pPr>
      <w:r>
        <w:rPr>
          <w:i/>
          <w:iCs/>
          <w:color w:val="595959"/>
          <w:sz w:val="18"/>
          <w:szCs w:val="18"/>
        </w:rPr>
        <w:t xml:space="preserve">Companion files: README.md (overview, results, reproduce steps), DATA_SOURCES.md (data provenance ledger), report.Rmd / report.html (the knitted analysis).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Macro Shock Analyser — Methodology &amp; Defensibility Notes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2E5A88"/>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1F1F"/>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C056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 Shock Analyser — Methodology &amp; Defensibility Notes</dc:title>
  <dc:creator>Treeti Sarkar</dc:creator>
  <cp:lastModifiedBy>Un-named</cp:lastModifiedBy>
  <cp:revision>1</cp:revision>
  <dcterms:created xsi:type="dcterms:W3CDTF">2026-06-27T19:54:17.136Z</dcterms:created>
  <dcterms:modified xsi:type="dcterms:W3CDTF">2026-06-27T19:54:17.137Z</dcterms:modified>
</cp:coreProperties>
</file>

<file path=docProps/custom.xml><?xml version="1.0" encoding="utf-8"?>
<Properties xmlns="http://schemas.openxmlformats.org/officeDocument/2006/custom-properties" xmlns:vt="http://schemas.openxmlformats.org/officeDocument/2006/docPropsVTypes"/>
</file>