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D4ED8"/>
          <w:sz w:val="18"/>
        </w:rPr>
        <w:t>PANEL REVIEW · QUESTION SET</w:t>
      </w:r>
    </w:p>
    <w:p>
      <w:pPr>
        <w:spacing w:after="80"/>
      </w:pPr>
      <w:r>
        <w:rPr>
          <w:b/>
          <w:color w:val="142A5C"/>
          <w:sz w:val="42"/>
        </w:rPr>
        <w:t>TapAware: Anticipated Defense Questions</w:t>
      </w:r>
    </w:p>
    <w:p>
      <w:pPr>
        <w:spacing w:before="0" w:after="240"/>
      </w:pPr>
      <w:r>
        <w:rPr>
          <w:b w:val="0"/>
          <w:i w:val="0"/>
          <w:color w:val="5C6B82"/>
          <w:sz w:val="22"/>
        </w:rPr>
        <w:t>Development of a Water Quality Monitoring System with Total Dissolved Solids Data for Decision Support — Barangay Cabalantian, Bacolor, Pampanga</w:t>
      </w:r>
    </w:p>
    <w:p>
      <w:pPr>
        <w:spacing w:before="40" w:after="200"/>
        <w:pBdr>
          <w:bottom w:val="single" w:sz="6" w:color="C9D3E0"/>
        </w:pBdr>
      </w:pPr>
    </w:p>
    <w:p>
      <w:pPr>
        <w:spacing w:before="0" w:after="80"/>
      </w:pPr>
      <w:r>
        <w:rPr>
          <w:b/>
          <w:i w:val="0"/>
          <w:color w:val="142A5C"/>
          <w:sz w:val="24"/>
        </w:rPr>
        <w:t>How to use this document</w:t>
      </w:r>
    </w:p>
    <w:p>
      <w:pPr>
        <w:spacing w:before="0" w:after="120"/>
      </w:pPr>
      <w:r>
        <w:rPr>
          <w:b w:val="0"/>
          <w:i w:val="0"/>
          <w:sz w:val="21"/>
        </w:rPr>
        <w:t>These are the questions I would ask after reading your source code, database schema, and deployment configuration — not a generic checklist. Several are deliberately uncomfortable, because a panel that has read your code will find the same things. Every technical claim below was verified against the repository.</w:t>
      </w:r>
    </w:p>
    <w:p>
      <w:pPr>
        <w:spacing w:before="0" w:after="120"/>
      </w:pPr>
      <w:r>
        <w:rPr>
          <w:b w:val="0"/>
          <w:i w:val="0"/>
          <w:sz w:val="21"/>
        </w:rPr>
        <w:t>Each entry has three parts: the question, what the panel is actually testing with it, and a suggested answer. Do not memorise the answers word for word — a recited answer collapses on the first follow-up. Understand the reasoning, then say it in your own words.</w:t>
      </w:r>
    </w:p>
    <w:p>
      <w:pPr>
        <w:spacing w:before="0" w:after="120"/>
      </w:pPr>
      <w:r>
        <w:rPr>
          <w:b w:val="0"/>
          <w:i w:val="0"/>
          <w:sz w:val="21"/>
        </w:rPr>
        <w:t>Where an answer depends on facts only your group holds — your respondents, your consent process, your evaluation results — the text is marked FILL IN. Those gaps are yours to close before the defense, and they are among the most likely questions to be asked.</w:t>
      </w:r>
    </w:p>
    <w:p>
      <w:pPr>
        <w:spacing w:before="0" w:after="240"/>
      </w:pPr>
      <w:r>
        <w:rPr>
          <w:b w:val="0"/>
          <w:i w:val="0"/>
          <w:sz w:val="21"/>
        </w:rPr>
        <w:t>A note on the security section: it is the longest one here, and deliberately so. Your paper claims protective measures, and a panelist who checks will find that some routes do not implement them. It is far better to walk in already knowing this, with a remediation plan in hand, than to be shown it. Naming a weakness yourself reads as engineering maturity; being caught by it does not.</w:t>
      </w:r>
    </w:p>
    <w:p>
      <w:pPr>
        <w:spacing w:before="40" w:after="200"/>
        <w:pBdr>
          <w:bottom w:val="single" w:sz="6" w:color="C9D3E0"/>
        </w:pBdr>
      </w:pPr>
    </w:p>
    <w:p>
      <w:pPr>
        <w:pStyle w:val="Heading1"/>
        <w:spacing w:before="0" w:after="40"/>
      </w:pPr>
      <w:r>
        <w:t>A. Problem, Scope, and Contribution</w:t>
      </w:r>
    </w:p>
    <w:p>
      <w:pPr>
        <w:spacing w:before="0" w:after="200"/>
      </w:pPr>
      <w:r>
        <w:rPr>
          <w:b w:val="0"/>
          <w:i/>
          <w:color w:val="5C6B82"/>
          <w:sz w:val="20"/>
        </w:rPr>
        <w:t>Establishing that there is a real problem, that your system addresses it, and that something here is yours.</w:t>
      </w:r>
    </w:p>
    <w:p>
      <w:pPr>
        <w:keepNext/>
        <w:spacing w:before="240" w:after="80"/>
      </w:pPr>
      <w:r>
        <w:rPr>
          <w:b/>
          <w:color w:val="1D4ED8"/>
          <w:sz w:val="22"/>
        </w:rPr>
        <w:t xml:space="preserve">A1.  </w:t>
      </w:r>
      <w:r>
        <w:rPr>
          <w:b/>
          <w:color w:val="142A5C"/>
          <w:sz w:val="22"/>
        </w:rPr>
        <w:t>What decision does your system support, who makes that decision, and what did they use to make it before TapAware existed?</w:t>
      </w:r>
    </w:p>
    <w:p>
      <w:pPr>
        <w:spacing w:after="120"/>
        <w:ind w:left="259"/>
      </w:pPr>
      <w:r>
        <w:rPr>
          <w:b/>
          <w:color w:val="5C6B82"/>
          <w:sz w:val="18"/>
        </w:rPr>
        <w:t xml:space="preserve">What they are testing:  </w:t>
      </w:r>
      <w:r>
        <w:rPr>
          <w:sz w:val="21"/>
        </w:rPr>
        <w:t>Whether 'Decision Support' in your title is a real claim or a label. This is the single most likely opening question, and a weak answer here colours everything that follows.</w:t>
      </w:r>
    </w:p>
    <w:p>
      <w:pPr>
        <w:spacing w:after="120"/>
        <w:ind w:left="259"/>
      </w:pPr>
      <w:r>
        <w:rPr>
          <w:b/>
          <w:color w:val="1D4ED8"/>
          <w:sz w:val="18"/>
        </w:rPr>
        <w:t xml:space="preserve">Suggested answer:  </w:t>
      </w:r>
      <w:r>
        <w:rPr>
          <w:sz w:val="21"/>
        </w:rPr>
        <w:t>The decision-maker is the barangay official or water service personnel deciding where to inspect, repair, or prioritise. Previously that decision was reactive and undocumented — a resident complained verbally or in person, an official acted on recollection, and nothing accumulated. TapAware makes it evidence-based: reports are recorded against a specific household and purok, repeat problems are flagged automatically, TDS readings are stored over time, and the analytics show which purok has which issue, at what time of day, and how many households are affected. The decision supported is 'where do we send limited resources first', and the support is the aggregated evidence that answers it.</w:t>
      </w:r>
    </w:p>
    <w:p>
      <w:pPr>
        <w:spacing w:after="120"/>
        <w:ind w:left="259"/>
      </w:pPr>
      <w:r>
        <w:rPr>
          <w:b/>
          <w:color w:val="1D4ED8"/>
          <w:sz w:val="18"/>
        </w:rPr>
        <w:t xml:space="preserve">If they press further:  </w:t>
      </w:r>
      <w:r>
        <w:rPr>
          <w:sz w:val="21"/>
        </w:rPr>
        <w:t>If pressed for a concrete example: a purok showing eight low-pressure reports concentrated in the morning bucket points to a supply-schedule or pressure issue at peak draw, not eight unrelated household faults. That is a different intervention, and the system is what makes the pattern visible.</w:t>
      </w:r>
    </w:p>
    <w:p>
      <w:pPr>
        <w:keepNext/>
        <w:spacing w:before="240" w:after="80"/>
      </w:pPr>
      <w:r>
        <w:rPr>
          <w:b/>
          <w:color w:val="1D4ED8"/>
          <w:sz w:val="22"/>
        </w:rPr>
        <w:t xml:space="preserve">A2.  </w:t>
      </w:r>
      <w:r>
        <w:rPr>
          <w:b/>
          <w:color w:val="142A5C"/>
          <w:sz w:val="22"/>
        </w:rPr>
        <w:t>What is the actual contribution here? Every part of this is an existing technology.</w:t>
      </w:r>
    </w:p>
    <w:p>
      <w:pPr>
        <w:spacing w:after="120"/>
        <w:ind w:left="259"/>
      </w:pPr>
      <w:r>
        <w:rPr>
          <w:b/>
          <w:color w:val="5C6B82"/>
          <w:sz w:val="18"/>
        </w:rPr>
        <w:t xml:space="preserve">What they are testing:  </w:t>
      </w:r>
      <w:r>
        <w:rPr>
          <w:sz w:val="21"/>
        </w:rPr>
        <w:t>Whether you can distinguish implementation from contribution — a standard requirement at this level.</w:t>
      </w:r>
    </w:p>
    <w:p>
      <w:pPr>
        <w:spacing w:after="120"/>
        <w:ind w:left="259"/>
      </w:pPr>
      <w:r>
        <w:rPr>
          <w:b/>
          <w:color w:val="1D4ED8"/>
          <w:sz w:val="18"/>
        </w:rPr>
        <w:t xml:space="preserve">Suggested answer:  </w:t>
      </w:r>
      <w:r>
        <w:rPr>
          <w:sz w:val="21"/>
        </w:rPr>
        <w:t>The contribution is not the technologies; those are deliberately conventional and chosen for maintainability. The contribution is the application: a water quality monitoring and decision-support system specified for a Philippine barangay context, integrating resident-submitted qualitative reports with staff-recorded quantitative TDS readings in one record, and deriving from that combination two things that did not exist before — an automatic recurring-issue flag per household, and a spatial-temporal pattern aggregation by purok, issue type, and time of day. The novelty is the integration and the local fit, not the parts.</w:t>
      </w:r>
    </w:p>
    <w:p>
      <w:pPr>
        <w:keepNext/>
        <w:spacing w:before="240" w:after="80"/>
      </w:pPr>
      <w:r>
        <w:rPr>
          <w:b/>
          <w:color w:val="1D4ED8"/>
          <w:sz w:val="22"/>
        </w:rPr>
        <w:t xml:space="preserve">A3.  </w:t>
      </w:r>
      <w:r>
        <w:rPr>
          <w:b/>
          <w:color w:val="142A5C"/>
          <w:sz w:val="22"/>
        </w:rPr>
        <w:t>What did you deliberately choose not to build, and why?</w:t>
      </w:r>
    </w:p>
    <w:p>
      <w:pPr>
        <w:spacing w:after="120"/>
        <w:ind w:left="259"/>
      </w:pPr>
      <w:r>
        <w:rPr>
          <w:b/>
          <w:color w:val="5C6B82"/>
          <w:sz w:val="18"/>
        </w:rPr>
        <w:t xml:space="preserve">What they are testing:  </w:t>
      </w:r>
      <w:r>
        <w:rPr>
          <w:sz w:val="21"/>
        </w:rPr>
        <w:t>Whether your scope was reasoned or simply whatever you finished in time. Panels respect a defended boundary and distrust an accidental one.</w:t>
      </w:r>
    </w:p>
    <w:p>
      <w:pPr>
        <w:spacing w:after="120"/>
        <w:ind w:left="259"/>
      </w:pPr>
      <w:r>
        <w:rPr>
          <w:b/>
          <w:color w:val="1D4ED8"/>
          <w:sz w:val="18"/>
        </w:rPr>
        <w:t xml:space="preserve">Suggested answer:  </w:t>
      </w:r>
      <w:r>
        <w:rPr>
          <w:sz w:val="21"/>
        </w:rPr>
        <w:t>State your delimitations plainly and give a reason for each rather than an apology. Genuine boundaries visible in the system: it monitors TDS specifically and does not test for microbiological or chemical contaminants, because those require laboratory facilities outside a barangay's means; it does not control or actuate anything, it informs people who act; it does not integrate with any external water district system, because no such interface was available; and it targets one barangay, because the purok structure and household numbering are local.</w:t>
      </w:r>
    </w:p>
    <w:p>
      <w:pPr>
        <w:spacing w:after="120"/>
        <w:ind w:left="259"/>
      </w:pPr>
      <w:r>
        <w:rPr>
          <w:b/>
          <w:color w:val="1D4ED8"/>
          <w:sz w:val="18"/>
        </w:rPr>
        <w:t xml:space="preserve">If they press further:  </w:t>
      </w:r>
      <w:r>
        <w:rPr>
          <w:sz w:val="21"/>
        </w:rPr>
        <w:t>The strongest framing is that each exclusion was a resource or access constraint, not an oversight — and that you know what each would take to add.</w:t>
      </w:r>
    </w:p>
    <w:p>
      <w:pPr>
        <w:keepNext/>
        <w:spacing w:before="240" w:after="80"/>
      </w:pPr>
      <w:r>
        <w:rPr>
          <w:b/>
          <w:color w:val="1D4ED8"/>
          <w:sz w:val="22"/>
        </w:rPr>
        <w:t xml:space="preserve">A4.  </w:t>
      </w:r>
      <w:r>
        <w:rPr>
          <w:b/>
          <w:color w:val="142A5C"/>
          <w:sz w:val="22"/>
        </w:rPr>
        <w:t>Who validated that these are the right features? Did you ask the barangay what they needed, or did you decide?</w:t>
      </w:r>
    </w:p>
    <w:p>
      <w:pPr>
        <w:spacing w:after="120"/>
        <w:ind w:left="259"/>
      </w:pPr>
      <w:r>
        <w:rPr>
          <w:b/>
          <w:color w:val="5C6B82"/>
          <w:sz w:val="18"/>
        </w:rPr>
        <w:t xml:space="preserve">What they are testing:  </w:t>
      </w:r>
      <w:r>
        <w:rPr>
          <w:sz w:val="21"/>
        </w:rPr>
        <w:t>Whether requirements were elicited or assumed. This is a research-methods question wearing a technical costume.</w:t>
      </w:r>
    </w:p>
    <w:p>
      <w:pPr>
        <w:spacing w:after="120"/>
        <w:ind w:left="259"/>
      </w:pPr>
      <w:r>
        <w:rPr>
          <w:b/>
          <w:color w:val="1D4ED8"/>
          <w:sz w:val="18"/>
        </w:rPr>
        <w:t xml:space="preserve">Suggested answer:  </w:t>
      </w:r>
      <w:r>
        <w:rPr>
          <w:sz w:val="21"/>
        </w:rPr>
        <w:t>FILL IN. You need specifics: who you interviewed at the barangay, when, what they said, and which feature each statement produced. If you ran an interview or a needs-assessment survey, cite it and name the instrument. If you have no formal record, do not invent one — say which conversations informed the design and acknowledge that a more structured elicitation would have strengthened the requirements. An honest limitation is survivable; a fabricated respondent is not.</w:t>
      </w:r>
    </w:p>
    <w:p>
      <w:pPr>
        <w:keepNext/>
        <w:spacing w:before="240" w:after="80"/>
      </w:pPr>
      <w:r>
        <w:rPr>
          <w:b/>
          <w:color w:val="1D4ED8"/>
          <w:sz w:val="22"/>
        </w:rPr>
        <w:t xml:space="preserve">A5.  </w:t>
      </w:r>
      <w:r>
        <w:rPr>
          <w:b/>
          <w:color w:val="142A5C"/>
          <w:sz w:val="22"/>
        </w:rPr>
        <w:t>How many households and users is this actually serving right now, and is that real data or seed data?</w:t>
      </w:r>
    </w:p>
    <w:p>
      <w:pPr>
        <w:spacing w:after="120"/>
        <w:ind w:left="259"/>
      </w:pPr>
      <w:r>
        <w:rPr>
          <w:b/>
          <w:color w:val="5C6B82"/>
          <w:sz w:val="18"/>
        </w:rPr>
        <w:t xml:space="preserve">What they are testing:  </w:t>
      </w:r>
      <w:r>
        <w:rPr>
          <w:sz w:val="21"/>
        </w:rPr>
        <w:t>Whether the system has been used or only demonstrated. Your screenshots show seventeen users and one staff member.</w:t>
      </w:r>
    </w:p>
    <w:p>
      <w:pPr>
        <w:spacing w:after="120"/>
        <w:ind w:left="259"/>
      </w:pPr>
      <w:r>
        <w:rPr>
          <w:b/>
          <w:color w:val="1D4ED8"/>
          <w:sz w:val="18"/>
        </w:rPr>
        <w:t xml:space="preserve">Suggested answer:  </w:t>
      </w:r>
      <w:r>
        <w:rPr>
          <w:sz w:val="21"/>
        </w:rPr>
        <w:t>FILL IN with your real deployment status. Answer honestly: if the current data is seeded for demonstration, say so and say what a pilot would involve. If it is live barangay data, say how many households are enrolled and since when. Do not present seed data as adoption — that is the kind of claim that unravels under one follow-up question.</w:t>
      </w:r>
    </w:p>
    <w:p>
      <w:pPr>
        <w:keepNext/>
        <w:spacing w:before="240" w:after="80"/>
      </w:pPr>
      <w:r>
        <w:rPr>
          <w:b/>
          <w:color w:val="1D4ED8"/>
          <w:sz w:val="22"/>
        </w:rPr>
        <w:t xml:space="preserve">A6.  </w:t>
      </w:r>
      <w:r>
        <w:rPr>
          <w:b/>
          <w:color w:val="142A5C"/>
          <w:sz w:val="22"/>
        </w:rPr>
        <w:t>Why does this need to be a system at all? A logbook and a spreadsheet would record reports too.</w:t>
      </w:r>
    </w:p>
    <w:p>
      <w:pPr>
        <w:spacing w:after="120"/>
        <w:ind w:left="259"/>
      </w:pPr>
      <w:r>
        <w:rPr>
          <w:b/>
          <w:color w:val="5C6B82"/>
          <w:sz w:val="18"/>
        </w:rPr>
        <w:t xml:space="preserve">What they are testing:  </w:t>
      </w:r>
      <w:r>
        <w:rPr>
          <w:sz w:val="21"/>
        </w:rPr>
        <w:t>Whether you can justify the engineering effort against the simplest alternative. A good answer shows you considered it.</w:t>
      </w:r>
    </w:p>
    <w:p>
      <w:pPr>
        <w:spacing w:after="120"/>
        <w:ind w:left="259"/>
      </w:pPr>
      <w:r>
        <w:rPr>
          <w:b/>
          <w:color w:val="1D4ED8"/>
          <w:sz w:val="18"/>
        </w:rPr>
        <w:t xml:space="preserve">Suggested answer:  </w:t>
      </w:r>
      <w:r>
        <w:rPr>
          <w:sz w:val="21"/>
        </w:rPr>
        <w:t>A spreadsheet stores; it does not enforce, derive, or distribute. This system enforces that a report is tied to a real household and a real user through foreign keys, so the record cannot drift; it derives recurring flags and time-of-day patterns automatically, which nobody does by hand consistently; it serves three different roles different views of the same data from wherever they are, rather than one file on one machine; and it keeps an audit trail of who changed what. A spreadsheet also has no access control — every resident's address would be readable by anyone holding the file.</w:t>
      </w:r>
    </w:p>
    <w:p/>
    <w:p>
      <w:r>
        <w:br w:type="page"/>
      </w:r>
    </w:p>
    <w:p>
      <w:pPr>
        <w:pStyle w:val="Heading1"/>
        <w:spacing w:before="0" w:after="40"/>
      </w:pPr>
      <w:r>
        <w:t>B. Domain Correctness — TDS and Standards</w:t>
      </w:r>
    </w:p>
    <w:p>
      <w:pPr>
        <w:spacing w:before="0" w:after="200"/>
      </w:pPr>
      <w:r>
        <w:rPr>
          <w:b w:val="0"/>
          <w:i/>
          <w:color w:val="5C6B82"/>
          <w:sz w:val="20"/>
        </w:rPr>
        <w:t>Testing whether you understand the science you built on, or only the software.</w:t>
      </w:r>
    </w:p>
    <w:p>
      <w:pPr>
        <w:keepNext/>
        <w:spacing w:before="240" w:after="80"/>
      </w:pPr>
      <w:r>
        <w:rPr>
          <w:b/>
          <w:color w:val="1D4ED8"/>
          <w:sz w:val="22"/>
        </w:rPr>
        <w:t xml:space="preserve">B1.  </w:t>
      </w:r>
      <w:r>
        <w:rPr>
          <w:b/>
          <w:color w:val="142A5C"/>
          <w:sz w:val="22"/>
        </w:rPr>
        <w:t>Where do your 500 and 1000 ppm thresholds come from? Cite the source.</w:t>
      </w:r>
    </w:p>
    <w:p>
      <w:pPr>
        <w:spacing w:after="120"/>
        <w:ind w:left="259"/>
      </w:pPr>
      <w:r>
        <w:rPr>
          <w:b/>
          <w:color w:val="5C6B82"/>
          <w:sz w:val="18"/>
        </w:rPr>
        <w:t xml:space="preserve">What they are testing:  </w:t>
      </w:r>
      <w:r>
        <w:rPr>
          <w:sz w:val="21"/>
        </w:rPr>
        <w:t>Whether your classification is grounded in a standard or invented. Do not guess at this one.</w:t>
      </w:r>
    </w:p>
    <w:p>
      <w:pPr>
        <w:spacing w:after="120"/>
        <w:ind w:left="259"/>
      </w:pPr>
      <w:r>
        <w:rPr>
          <w:b/>
          <w:color w:val="1D4ED8"/>
          <w:sz w:val="18"/>
        </w:rPr>
        <w:t xml:space="preserve">Suggested answer:  </w:t>
      </w:r>
      <w:r>
        <w:rPr>
          <w:sz w:val="21"/>
        </w:rPr>
        <w:t>500 mg/L is the maximum level for total dissolved solids in the Philippine National Standards for Drinking Water (PNSDW), which aligns with the WHO guideline value for palatability. The system bands readings as Safe up to 500 ppm, Moderate from 501 to 1000, and above 1000 as unacceptable. Be ready to name the PNSDW edition you cited in your paper and to state that mg/L and ppm are numerically equivalent for dilute aqueous solutions.</w:t>
      </w:r>
    </w:p>
    <w:p>
      <w:pPr>
        <w:spacing w:after="120"/>
        <w:ind w:left="259"/>
      </w:pPr>
      <w:r>
        <w:rPr>
          <w:b/>
          <w:color w:val="1D4ED8"/>
          <w:sz w:val="18"/>
        </w:rPr>
        <w:t xml:space="preserve">If they press further:  </w:t>
      </w:r>
      <w:r>
        <w:rPr>
          <w:sz w:val="21"/>
        </w:rPr>
        <w:t>If pressed on the 1000 boundary specifically: WHO describes water above roughly 1000 mg/L as increasingly unpalatable. Say plainly that the intermediate band is an advisory tier for prioritising follow-up, not a regulatory limit — claiming otherwise for a number you cannot cite is worse than explaining it.</w:t>
      </w:r>
    </w:p>
    <w:p>
      <w:pPr>
        <w:keepNext/>
        <w:spacing w:before="240" w:after="80"/>
      </w:pPr>
      <w:r>
        <w:rPr>
          <w:b/>
          <w:color w:val="1D4ED8"/>
          <w:sz w:val="22"/>
        </w:rPr>
        <w:t xml:space="preserve">B2.  </w:t>
      </w:r>
      <w:r>
        <w:rPr>
          <w:b/>
          <w:color w:val="142A5C"/>
          <w:sz w:val="22"/>
        </w:rPr>
        <w:t>TDS does not detect bacteria, and coliform contamination is the more common health risk. Does your system risk telling a household their water is safe when it is not?</w:t>
      </w:r>
    </w:p>
    <w:p>
      <w:pPr>
        <w:spacing w:after="120"/>
        <w:ind w:left="259"/>
      </w:pPr>
      <w:r>
        <w:rPr>
          <w:b/>
          <w:color w:val="5C6B82"/>
          <w:sz w:val="18"/>
        </w:rPr>
        <w:t xml:space="preserve">What they are testing:  </w:t>
      </w:r>
      <w:r>
        <w:rPr>
          <w:sz w:val="21"/>
        </w:rPr>
        <w:t>Domain honesty. This is the sharpest scientific question available against a TDS-based system, and it is very likely to be asked.</w:t>
      </w:r>
    </w:p>
    <w:p>
      <w:pPr>
        <w:spacing w:after="120"/>
        <w:ind w:left="259"/>
      </w:pPr>
      <w:r>
        <w:rPr>
          <w:b/>
          <w:color w:val="1D4ED8"/>
          <w:sz w:val="18"/>
        </w:rPr>
        <w:t xml:space="preserve">Suggested answer:  </w:t>
      </w:r>
      <w:r>
        <w:rPr>
          <w:sz w:val="21"/>
        </w:rPr>
        <w:t>This is a real limitation and should be conceded directly. TDS measures the total concentration of dissolved inorganic and organic substances; it says nothing about microbiological safety. Water can read well under 500 ppm and still carry coliforms. The correct positioning is that TDS is a screening and trend indicator that a barangay can actually afford to collect frequently, not a potability certification — laboratory testing remains necessary for that. Say what you do about it: the label wording, and the fact that resident reports of odour, discolouration, and cleanliness sit alongside the numeric reading precisely because the number alone is insufficient.</w:t>
      </w:r>
    </w:p>
    <w:p>
      <w:pPr>
        <w:spacing w:after="120"/>
        <w:ind w:left="259"/>
      </w:pPr>
      <w:r>
        <w:rPr>
          <w:b/>
          <w:color w:val="1D4ED8"/>
          <w:sz w:val="18"/>
        </w:rPr>
        <w:t xml:space="preserve">If they press further:  </w:t>
      </w:r>
      <w:r>
        <w:rPr>
          <w:sz w:val="21"/>
        </w:rPr>
        <w:t>If pressed on whether the interface could mislead: the honest answer is that a word like 'Safe' carries more assurance than TDS alone supports, and that wording it as 'Within PNSDW limits for TDS' would be more accurate. Offering that improvement unprompted is a strong move.</w:t>
      </w:r>
    </w:p>
    <w:p>
      <w:pPr>
        <w:keepNext/>
        <w:spacing w:before="240" w:after="80"/>
      </w:pPr>
      <w:r>
        <w:rPr>
          <w:b/>
          <w:color w:val="1D4ED8"/>
          <w:sz w:val="22"/>
        </w:rPr>
        <w:t xml:space="preserve">B3.  </w:t>
      </w:r>
      <w:r>
        <w:rPr>
          <w:b/>
          <w:color w:val="142A5C"/>
          <w:sz w:val="22"/>
        </w:rPr>
        <w:t>What instrument produces the TDS reading, who operates it, and how is it calibrated?</w:t>
      </w:r>
    </w:p>
    <w:p>
      <w:pPr>
        <w:spacing w:after="120"/>
        <w:ind w:left="259"/>
      </w:pPr>
      <w:r>
        <w:rPr>
          <w:b/>
          <w:color w:val="5C6B82"/>
          <w:sz w:val="18"/>
        </w:rPr>
        <w:t xml:space="preserve">What they are testing:  </w:t>
      </w:r>
      <w:r>
        <w:rPr>
          <w:sz w:val="21"/>
        </w:rPr>
        <w:t>Whether you understand where your data comes from, or treat it as a number that appears.</w:t>
      </w:r>
    </w:p>
    <w:p>
      <w:pPr>
        <w:spacing w:after="120"/>
        <w:ind w:left="259"/>
      </w:pPr>
      <w:r>
        <w:rPr>
          <w:b/>
          <w:color w:val="1D4ED8"/>
          <w:sz w:val="18"/>
        </w:rPr>
        <w:t xml:space="preserve">Suggested answer:  </w:t>
      </w:r>
      <w:r>
        <w:rPr>
          <w:sz w:val="21"/>
        </w:rPr>
        <w:t>FILL IN with your actual instrument — the make and model of the TDS meter, who on the barangay staff operates it, and the calibration procedure and interval. Also be ready to state the sampling protocol: at what point in the household's supply the sample is taken, and how often. A system that stores readings without a defined collection procedure has a data-quality problem regardless of how good the software is.</w:t>
      </w:r>
    </w:p>
    <w:p>
      <w:pPr>
        <w:keepNext/>
        <w:spacing w:before="240" w:after="80"/>
      </w:pPr>
      <w:r>
        <w:rPr>
          <w:b/>
          <w:color w:val="1D4ED8"/>
          <w:sz w:val="22"/>
        </w:rPr>
        <w:t xml:space="preserve">B4.  </w:t>
      </w:r>
      <w:r>
        <w:rPr>
          <w:b/>
          <w:color w:val="142A5C"/>
          <w:sz w:val="22"/>
        </w:rPr>
        <w:t>Your system stores whatever number the staff member types. What stops a typo or a fabricated reading?</w:t>
      </w:r>
    </w:p>
    <w:p>
      <w:pPr>
        <w:spacing w:after="120"/>
        <w:ind w:left="259"/>
      </w:pPr>
      <w:r>
        <w:rPr>
          <w:b/>
          <w:color w:val="5C6B82"/>
          <w:sz w:val="18"/>
        </w:rPr>
        <w:t xml:space="preserve">What they are testing:  </w:t>
      </w:r>
      <w:r>
        <w:rPr>
          <w:sz w:val="21"/>
        </w:rPr>
        <w:t>Data integrity, and whether you have thought about your system's trust boundary.</w:t>
      </w:r>
    </w:p>
    <w:p>
      <w:pPr>
        <w:spacing w:after="120"/>
        <w:ind w:left="259"/>
      </w:pPr>
      <w:r>
        <w:rPr>
          <w:b/>
          <w:color w:val="1D4ED8"/>
          <w:sz w:val="18"/>
        </w:rPr>
        <w:t xml:space="preserve">Suggested answer:  </w:t>
      </w:r>
      <w:r>
        <w:rPr>
          <w:sz w:val="21"/>
        </w:rPr>
        <w:t>Concede the limit and describe the controls that do exist. The value is a decimal constrained by the column type, every reading is attributed to the staff member who entered it through a foreign key, and the entry is written to the audit trail with the actor and IP address — so a wrong or fabricated value is attributable, not anonymous. What the system does not currently do is range validation or outlier detection. A reasonable improvement to offer: reject values outside a plausible range and flag a reading that deviates sharply from that household's history for confirmation.</w:t>
      </w:r>
    </w:p>
    <w:p>
      <w:pPr>
        <w:keepNext/>
        <w:spacing w:before="240" w:after="80"/>
      </w:pPr>
      <w:r>
        <w:rPr>
          <w:b/>
          <w:color w:val="1D4ED8"/>
          <w:sz w:val="22"/>
        </w:rPr>
        <w:t xml:space="preserve">B5.  </w:t>
      </w:r>
      <w:r>
        <w:rPr>
          <w:b/>
          <w:color w:val="142A5C"/>
          <w:sz w:val="22"/>
        </w:rPr>
        <w:t>Why TDS specifically, rather than pH or turbidity?</w:t>
      </w:r>
    </w:p>
    <w:p>
      <w:pPr>
        <w:spacing w:after="120"/>
        <w:ind w:left="259"/>
      </w:pPr>
      <w:r>
        <w:rPr>
          <w:b/>
          <w:color w:val="5C6B82"/>
          <w:sz w:val="18"/>
        </w:rPr>
        <w:t xml:space="preserve">What they are testing:  </w:t>
      </w:r>
      <w:r>
        <w:rPr>
          <w:sz w:val="21"/>
        </w:rPr>
        <w:t>Whether the parameter was chosen or inherited.</w:t>
      </w:r>
    </w:p>
    <w:p>
      <w:pPr>
        <w:spacing w:after="120"/>
        <w:ind w:left="259"/>
      </w:pPr>
      <w:r>
        <w:rPr>
          <w:b/>
          <w:color w:val="1D4ED8"/>
          <w:sz w:val="18"/>
        </w:rPr>
        <w:t xml:space="preserve">Suggested answer:  </w:t>
      </w:r>
      <w:r>
        <w:rPr>
          <w:sz w:val="21"/>
        </w:rPr>
        <w:t>TDS meters are inexpensive, portable, require no reagents or laboratory handling, and give an immediate reading — which is what makes frequent, sustained, barangay-level collection realistic rather than aspirational. TDS also responds to the kinds of change a distribution system experiences, so a trend over time is informative even when a single reading is not alarming. Be candid that pH and turbidity would add complementary information and that the schema would accommodate them — the readings table would take additional columns without structural change.</w:t>
      </w:r>
    </w:p>
    <w:p>
      <w:pPr>
        <w:keepNext/>
        <w:spacing w:before="240" w:after="80"/>
      </w:pPr>
      <w:r>
        <w:rPr>
          <w:b/>
          <w:color w:val="1D4ED8"/>
          <w:sz w:val="22"/>
        </w:rPr>
        <w:t xml:space="preserve">B6.  </w:t>
      </w:r>
      <w:r>
        <w:rPr>
          <w:b/>
          <w:color w:val="142A5C"/>
          <w:sz w:val="22"/>
        </w:rPr>
        <w:t>A household has one reading from three months ago. Does your dashboard present that as current?</w:t>
      </w:r>
    </w:p>
    <w:p>
      <w:pPr>
        <w:spacing w:after="120"/>
        <w:ind w:left="259"/>
      </w:pPr>
      <w:r>
        <w:rPr>
          <w:b/>
          <w:color w:val="5C6B82"/>
          <w:sz w:val="18"/>
        </w:rPr>
        <w:t xml:space="preserve">What they are testing:  </w:t>
      </w:r>
      <w:r>
        <w:rPr>
          <w:sz w:val="21"/>
        </w:rPr>
        <w:t>Data freshness — a subtle but real correctness issue in monitoring systems.</w:t>
      </w:r>
    </w:p>
    <w:p>
      <w:pPr>
        <w:spacing w:after="120"/>
        <w:ind w:left="259"/>
      </w:pPr>
      <w:r>
        <w:rPr>
          <w:b/>
          <w:color w:val="1D4ED8"/>
          <w:sz w:val="18"/>
        </w:rPr>
        <w:t xml:space="preserve">Suggested answer:  </w:t>
      </w:r>
      <w:r>
        <w:rPr>
          <w:sz w:val="21"/>
        </w:rPr>
        <w:t>Check this in your own interface before the defense and answer accurately. The readings table stores recorded_at and the queries order by it, so the latest reading is identifiable, but be honest about whether the display makes its age visible to the user. If it does not, the right answer is that staleness should be surfaced — an old reading presented without its date implies a currency the data does not have, and that is exactly the false assurance the previous question was probing.</w:t>
      </w:r>
    </w:p>
    <w:p/>
    <w:p>
      <w:r>
        <w:br w:type="page"/>
      </w:r>
    </w:p>
    <w:p>
      <w:pPr>
        <w:pStyle w:val="Heading1"/>
        <w:spacing w:before="0" w:after="40"/>
      </w:pPr>
      <w:r>
        <w:t>C. Architecture and Technology Choices</w:t>
      </w:r>
    </w:p>
    <w:p>
      <w:pPr>
        <w:spacing w:before="0" w:after="200"/>
      </w:pPr>
      <w:r>
        <w:rPr>
          <w:b w:val="0"/>
          <w:i/>
          <w:color w:val="5C6B82"/>
          <w:sz w:val="20"/>
        </w:rPr>
        <w:t>Every choice should have a reason. 'It is what we knew' is acceptable once; it is not acceptable for everything.</w:t>
      </w:r>
    </w:p>
    <w:p>
      <w:pPr>
        <w:keepNext/>
        <w:spacing w:before="240" w:after="80"/>
      </w:pPr>
      <w:r>
        <w:rPr>
          <w:b/>
          <w:color w:val="1D4ED8"/>
          <w:sz w:val="22"/>
        </w:rPr>
        <w:t xml:space="preserve">C1.  </w:t>
      </w:r>
      <w:r>
        <w:rPr>
          <w:b/>
          <w:color w:val="142A5C"/>
          <w:sz w:val="22"/>
        </w:rPr>
        <w:t>Walk me through exactly what happens from the moment a user submits the login form to the moment the dashboard renders.</w:t>
      </w:r>
    </w:p>
    <w:p>
      <w:pPr>
        <w:spacing w:after="120"/>
        <w:ind w:left="259"/>
      </w:pPr>
      <w:r>
        <w:rPr>
          <w:b/>
          <w:color w:val="5C6B82"/>
          <w:sz w:val="18"/>
        </w:rPr>
        <w:t xml:space="preserve">What they are testing:  </w:t>
      </w:r>
      <w:r>
        <w:rPr>
          <w:sz w:val="21"/>
        </w:rPr>
        <w:t>Whether you understand your own system end to end. Extremely common, and a rambling answer is very visible.</w:t>
      </w:r>
    </w:p>
    <w:p>
      <w:pPr>
        <w:spacing w:after="120"/>
        <w:ind w:left="259"/>
      </w:pPr>
      <w:r>
        <w:rPr>
          <w:b/>
          <w:color w:val="1D4ED8"/>
          <w:sz w:val="18"/>
        </w:rPr>
        <w:t xml:space="preserve">Suggested answer:  </w:t>
      </w:r>
      <w:r>
        <w:rPr>
          <w:sz w:val="21"/>
        </w:rPr>
        <w:t>Rehearse this as a clean sequence. The form posts to the API through a configured axios instance sending credentials. The request passes a rate limiter capped at ten attempts per fifteen minutes. The controller looks the user up by email and compares the submitted password against the stored bcrypt hash. On success it signs a JWT containing the user id, role, and name, and sets two cookies: the token as httpOnly so scripts cannot read it, and a CSRF token that scripts can read. The client stores the returned user object in React context and routes to the dashboard, where a role guard checks the role and renders the matching view. On a later page load the token is not readable by the client, so the app calls the session endpoint to rebuild state from the cookie.</w:t>
      </w:r>
    </w:p>
    <w:p>
      <w:pPr>
        <w:spacing w:after="120"/>
        <w:ind w:left="259"/>
      </w:pPr>
      <w:r>
        <w:rPr>
          <w:b/>
          <w:color w:val="1D4ED8"/>
          <w:sz w:val="18"/>
        </w:rPr>
        <w:t xml:space="preserve">If they press further:  </w:t>
      </w:r>
      <w:r>
        <w:rPr>
          <w:sz w:val="21"/>
        </w:rPr>
        <w:t>The detail that shows real understanding is why the session endpoint exists at all: making the cookie httpOnly is exactly what prevents the client from reading its own token, so the server has to be asked who the user is.</w:t>
      </w:r>
    </w:p>
    <w:p>
      <w:pPr>
        <w:keepNext/>
        <w:spacing w:before="240" w:after="80"/>
      </w:pPr>
      <w:r>
        <w:rPr>
          <w:b/>
          <w:color w:val="1D4ED8"/>
          <w:sz w:val="22"/>
        </w:rPr>
        <w:t xml:space="preserve">C2.  </w:t>
      </w:r>
      <w:r>
        <w:rPr>
          <w:b/>
          <w:color w:val="142A5C"/>
          <w:sz w:val="22"/>
        </w:rPr>
        <w:t>Why a single-page application with a separate API instead of a traditional server-rendered application?</w:t>
      </w:r>
    </w:p>
    <w:p>
      <w:pPr>
        <w:spacing w:after="120"/>
        <w:ind w:left="259"/>
      </w:pPr>
      <w:r>
        <w:rPr>
          <w:b/>
          <w:color w:val="5C6B82"/>
          <w:sz w:val="18"/>
        </w:rPr>
        <w:t xml:space="preserve">What they are testing:  </w:t>
      </w:r>
      <w:r>
        <w:rPr>
          <w:sz w:val="21"/>
        </w:rPr>
        <w:t>Whether the architecture was chosen or defaulted to.</w:t>
      </w:r>
    </w:p>
    <w:p>
      <w:pPr>
        <w:spacing w:after="120"/>
        <w:ind w:left="259"/>
      </w:pPr>
      <w:r>
        <w:rPr>
          <w:b/>
          <w:color w:val="1D4ED8"/>
          <w:sz w:val="18"/>
        </w:rPr>
        <w:t xml:space="preserve">Suggested answer:  </w:t>
      </w:r>
      <w:r>
        <w:rPr>
          <w:sz w:val="21"/>
        </w:rPr>
        <w:t>The dashboards are interactive and data-dense — filtering, charting, drilling into a household — and re-rendering a full page for each interaction is the wrong shape for that. Separating the API also means the presentation layer and the data layer scale and deploy independently, and the same API could serve a mobile client later without change. Be honest about the cost, because it is a strength to name it: this split created the cross-subdomain cookie problem, forced explicit CORS configuration, and requires a rewrite rule so that deep links do not return 404. A server-rendered application would have avoided all three.</w:t>
      </w:r>
    </w:p>
    <w:p>
      <w:pPr>
        <w:keepNext/>
        <w:spacing w:before="240" w:after="80"/>
      </w:pPr>
      <w:r>
        <w:rPr>
          <w:b/>
          <w:color w:val="1D4ED8"/>
          <w:sz w:val="22"/>
        </w:rPr>
        <w:t xml:space="preserve">C3.  </w:t>
      </w:r>
      <w:r>
        <w:rPr>
          <w:b/>
          <w:color w:val="142A5C"/>
          <w:sz w:val="22"/>
        </w:rPr>
        <w:t>Why MySQL rather than a document database?</w:t>
      </w:r>
    </w:p>
    <w:p>
      <w:pPr>
        <w:spacing w:after="120"/>
        <w:ind w:left="259"/>
      </w:pPr>
      <w:r>
        <w:rPr>
          <w:b/>
          <w:color w:val="5C6B82"/>
          <w:sz w:val="18"/>
        </w:rPr>
        <w:t xml:space="preserve">What they are testing:  </w:t>
      </w:r>
      <w:r>
        <w:rPr>
          <w:sz w:val="21"/>
        </w:rPr>
        <w:t>Whether you can reason about data models.</w:t>
      </w:r>
    </w:p>
    <w:p>
      <w:pPr>
        <w:spacing w:after="120"/>
        <w:ind w:left="259"/>
      </w:pPr>
      <w:r>
        <w:rPr>
          <w:b/>
          <w:color w:val="1D4ED8"/>
          <w:sz w:val="18"/>
        </w:rPr>
        <w:t xml:space="preserve">Suggested answer:  </w:t>
      </w:r>
      <w:r>
        <w:rPr>
          <w:sz w:val="21"/>
        </w:rPr>
        <w:t>The data is inherently relational and the integrity constraints are the point. Households have users, readings, and reports; every analytic is a join or a group-by. Foreign keys stop a reading from referencing a household that does not exist, and composite unique keys stop duplicate household registrations and duplicate open flags — correctness the database enforces rather than the application promising. A document store would push all of that into application code, where it is easy to get wrong and hard to verify.</w:t>
      </w:r>
    </w:p>
    <w:p>
      <w:pPr>
        <w:keepNext/>
        <w:spacing w:before="240" w:after="80"/>
      </w:pPr>
      <w:r>
        <w:rPr>
          <w:b/>
          <w:color w:val="1D4ED8"/>
          <w:sz w:val="22"/>
        </w:rPr>
        <w:t xml:space="preserve">C4.  </w:t>
      </w:r>
      <w:r>
        <w:rPr>
          <w:b/>
          <w:color w:val="142A5C"/>
          <w:sz w:val="22"/>
        </w:rPr>
        <w:t>You wrote raw SQL with no ORM. Defend that.</w:t>
      </w:r>
    </w:p>
    <w:p>
      <w:pPr>
        <w:spacing w:after="120"/>
        <w:ind w:left="259"/>
      </w:pPr>
      <w:r>
        <w:rPr>
          <w:b/>
          <w:color w:val="5C6B82"/>
          <w:sz w:val="18"/>
        </w:rPr>
        <w:t xml:space="preserve">What they are testing:  </w:t>
      </w:r>
      <w:r>
        <w:rPr>
          <w:sz w:val="21"/>
        </w:rPr>
        <w:t>Whether it was a decision or an absence of one.</w:t>
      </w:r>
    </w:p>
    <w:p>
      <w:pPr>
        <w:spacing w:after="120"/>
        <w:ind w:left="259"/>
      </w:pPr>
      <w:r>
        <w:rPr>
          <w:b/>
          <w:color w:val="1D4ED8"/>
          <w:sz w:val="18"/>
        </w:rPr>
        <w:t xml:space="preserve">Suggested answer:  </w:t>
      </w:r>
      <w:r>
        <w:rPr>
          <w:sz w:val="21"/>
        </w:rPr>
        <w:t>The queries here are analytical — grouping, aggregating, joining across households, reports, and readings — and those are clearer and more predictable written directly than expressed through an abstraction layer. Writing SQL also means we know exactly what runs, which matters for the indexed queries behind the dashboards. Injection safety does not depend on an ORM: every query uses bound placeholders through mysql2, so user input is never concatenated into SQL. Concede the trade-off: an ORM would have given migrations and schema-model synchronisation, which we handle manually.</w:t>
      </w:r>
    </w:p>
    <w:p>
      <w:pPr>
        <w:keepNext/>
        <w:spacing w:before="240" w:after="80"/>
      </w:pPr>
      <w:r>
        <w:rPr>
          <w:b/>
          <w:color w:val="1D4ED8"/>
          <w:sz w:val="22"/>
        </w:rPr>
        <w:t xml:space="preserve">C5.  </w:t>
      </w:r>
      <w:r>
        <w:rPr>
          <w:b/>
          <w:color w:val="142A5C"/>
          <w:sz w:val="22"/>
        </w:rPr>
        <w:t>What is shadcn/ui, and why is it not in your dependency list?</w:t>
      </w:r>
    </w:p>
    <w:p>
      <w:pPr>
        <w:spacing w:after="120"/>
        <w:ind w:left="259"/>
      </w:pPr>
      <w:r>
        <w:rPr>
          <w:b/>
          <w:color w:val="5C6B82"/>
          <w:sz w:val="18"/>
        </w:rPr>
        <w:t xml:space="preserve">What they are testing:  </w:t>
      </w:r>
      <w:r>
        <w:rPr>
          <w:sz w:val="21"/>
        </w:rPr>
        <w:t>A precise question that separates people who understand their tooling from people who ran a command.</w:t>
      </w:r>
    </w:p>
    <w:p>
      <w:pPr>
        <w:spacing w:after="120"/>
        <w:ind w:left="259"/>
      </w:pPr>
      <w:r>
        <w:rPr>
          <w:b/>
          <w:color w:val="1D4ED8"/>
          <w:sz w:val="18"/>
        </w:rPr>
        <w:t xml:space="preserve">Suggested answer:  </w:t>
      </w:r>
      <w:r>
        <w:rPr>
          <w:sz w:val="21"/>
        </w:rPr>
        <w:t>shadcn/ui is not a component library you install and import from. It is a command-line tool that copies component source code into the project, so those files under the ui directory are our code and are edited directly. That is why it appears only as a build-time tool and not as a runtime dependency. The components are built on Radix UI primitives, which supply the accessibility behaviour — focus management, ARIA attributes, keyboard interaction — and styled with Tailwind. The practical consequence is that when we found a bug inside one of those components, fixing it was an ordinary code change rather than waiting for an upstream release.</w:t>
      </w:r>
    </w:p>
    <w:p>
      <w:pPr>
        <w:keepNext/>
        <w:spacing w:before="240" w:after="80"/>
      </w:pPr>
      <w:r>
        <w:rPr>
          <w:b/>
          <w:color w:val="1D4ED8"/>
          <w:sz w:val="22"/>
        </w:rPr>
        <w:t xml:space="preserve">C6.  </w:t>
      </w:r>
      <w:r>
        <w:rPr>
          <w:b/>
          <w:color w:val="142A5C"/>
          <w:sz w:val="22"/>
        </w:rPr>
        <w:t>Your interface hides admin pages from residents. What stops a resident from simply editing the JavaScript in their browser?</w:t>
      </w:r>
    </w:p>
    <w:p>
      <w:pPr>
        <w:spacing w:after="120"/>
        <w:ind w:left="259"/>
      </w:pPr>
      <w:r>
        <w:rPr>
          <w:b/>
          <w:color w:val="5C6B82"/>
          <w:sz w:val="18"/>
        </w:rPr>
        <w:t xml:space="preserve">What they are testing:  </w:t>
      </w:r>
      <w:r>
        <w:rPr>
          <w:sz w:val="21"/>
        </w:rPr>
        <w:t>Whether you understand that client-side checks are not security. Frequently asked, and a wrong answer is damaging.</w:t>
      </w:r>
    </w:p>
    <w:p>
      <w:pPr>
        <w:spacing w:after="120"/>
        <w:ind w:left="259"/>
      </w:pPr>
      <w:r>
        <w:rPr>
          <w:b/>
          <w:color w:val="1D4ED8"/>
          <w:sz w:val="18"/>
        </w:rPr>
        <w:t xml:space="preserve">Suggested answer:  </w:t>
      </w:r>
      <w:r>
        <w:rPr>
          <w:sz w:val="21"/>
        </w:rPr>
        <w:t>Nothing stops them, and nothing needs to. The client-side route guard exists for usability — it prevents a user from navigating to a page that would be empty for them. The actual enforcement is on the server: every protected endpoint verifies the JWT and checks the role before doing anything. A resident who forces the admin screen open will see it make API calls that return 403. The rule is that anything running in the user's browser is under the user's control and can never be trusted.</w:t>
      </w:r>
    </w:p>
    <w:p>
      <w:pPr>
        <w:keepNext/>
        <w:spacing w:before="240" w:after="80"/>
      </w:pPr>
      <w:r>
        <w:rPr>
          <w:b/>
          <w:color w:val="1D4ED8"/>
          <w:sz w:val="22"/>
        </w:rPr>
        <w:t xml:space="preserve">C7.  </w:t>
      </w:r>
      <w:r>
        <w:rPr>
          <w:b/>
          <w:color w:val="142A5C"/>
          <w:sz w:val="22"/>
        </w:rPr>
        <w:t>Where is your business logic? I see it in the controllers.</w:t>
      </w:r>
    </w:p>
    <w:p>
      <w:pPr>
        <w:spacing w:after="120"/>
        <w:ind w:left="259"/>
      </w:pPr>
      <w:r>
        <w:rPr>
          <w:b/>
          <w:color w:val="5C6B82"/>
          <w:sz w:val="18"/>
        </w:rPr>
        <w:t xml:space="preserve">What they are testing:  </w:t>
      </w:r>
      <w:r>
        <w:rPr>
          <w:sz w:val="21"/>
        </w:rPr>
        <w:t>Layering discipline. A fair criticism, and the honest answer is better than a defensive one.</w:t>
      </w:r>
    </w:p>
    <w:p>
      <w:pPr>
        <w:spacing w:after="120"/>
        <w:ind w:left="259"/>
      </w:pPr>
      <w:r>
        <w:rPr>
          <w:b/>
          <w:color w:val="1D4ED8"/>
          <w:sz w:val="18"/>
        </w:rPr>
        <w:t xml:space="preserve">Suggested answer:  </w:t>
      </w:r>
      <w:r>
        <w:rPr>
          <w:sz w:val="21"/>
        </w:rPr>
        <w:t>Correct — the controllers hold both the request handling and the domain logic, including the recurring-flag update and the time-pattern aggregation. For a system this size that is a workable structure and keeps the path from route to query short. Concede the cost plainly: it makes that logic harder to test in isolation and easier to duplicate, and a service layer between the controllers and the database would be the right refactor if the system grows. Naming the trade-off is a stronger answer than defending the choice as ideal.</w:t>
      </w:r>
    </w:p>
    <w:p/>
    <w:p>
      <w:r>
        <w:br w:type="page"/>
      </w:r>
    </w:p>
    <w:p>
      <w:pPr>
        <w:pStyle w:val="Heading1"/>
        <w:spacing w:before="0" w:after="40"/>
      </w:pPr>
      <w:r>
        <w:t>D. Security</w:t>
      </w:r>
    </w:p>
    <w:p>
      <w:pPr>
        <w:spacing w:before="0" w:after="200"/>
      </w:pPr>
      <w:r>
        <w:rPr>
          <w:b w:val="0"/>
          <w:i/>
          <w:color w:val="5C6B82"/>
          <w:sz w:val="20"/>
        </w:rPr>
        <w:t>This is the section to prepare hardest. Your paper claims protective measures; the code implements them unevenly, and a panelist who opens your routes files will see it. Everything below was verified in your repository.</w:t>
      </w:r>
    </w:p>
    <w:p>
      <w:pPr>
        <w:keepNext/>
        <w:spacing w:before="240" w:after="80"/>
      </w:pPr>
      <w:r>
        <w:rPr>
          <w:b/>
          <w:color w:val="1D4ED8"/>
          <w:sz w:val="22"/>
        </w:rPr>
        <w:t xml:space="preserve">D1.  </w:t>
      </w:r>
      <w:r>
        <w:rPr>
          <w:b/>
          <w:color w:val="142A5C"/>
          <w:sz w:val="22"/>
        </w:rPr>
        <w:t>Where is the session token stored, and why there?</w:t>
      </w:r>
    </w:p>
    <w:p>
      <w:pPr>
        <w:spacing w:after="120"/>
        <w:ind w:left="259"/>
      </w:pPr>
      <w:r>
        <w:rPr>
          <w:b/>
          <w:color w:val="5C6B82"/>
          <w:sz w:val="18"/>
        </w:rPr>
        <w:t xml:space="preserve">What they are testing:  </w:t>
      </w:r>
      <w:r>
        <w:rPr>
          <w:sz w:val="21"/>
        </w:rPr>
        <w:t>Baseline. Expect it as the opener to the security block.</w:t>
      </w:r>
    </w:p>
    <w:p>
      <w:pPr>
        <w:spacing w:after="120"/>
        <w:ind w:left="259"/>
      </w:pPr>
      <w:r>
        <w:rPr>
          <w:b/>
          <w:color w:val="1D4ED8"/>
          <w:sz w:val="18"/>
        </w:rPr>
        <w:t xml:space="preserve">Suggested answer:  </w:t>
      </w:r>
      <w:r>
        <w:rPr>
          <w:sz w:val="21"/>
        </w:rPr>
        <w:t>In an httpOnly cookie. It was originally in localStorage, which any JavaScript on the page can read — meaning a single successful cross-site scripting injection would hand an attacker a valid seven-day session. An httpOnly cookie is attached by the browser automatically but is invisible to scripts, so an injected script cannot exfiltrate it. The cost of that change is that the client can no longer read its own token, which is why the application calls a session endpoint on load to rebuild user state.</w:t>
      </w:r>
    </w:p>
    <w:p>
      <w:pPr>
        <w:keepNext/>
        <w:spacing w:before="240" w:after="80"/>
      </w:pPr>
      <w:r>
        <w:rPr>
          <w:b/>
          <w:color w:val="1D4ED8"/>
          <w:sz w:val="22"/>
        </w:rPr>
        <w:t xml:space="preserve">D2.  </w:t>
      </w:r>
      <w:r>
        <w:rPr>
          <w:b/>
          <w:color w:val="142A5C"/>
          <w:sz w:val="22"/>
        </w:rPr>
        <w:t>Moving to cookies closed one attack and opened another. Which one, and what did you do about it?</w:t>
      </w:r>
    </w:p>
    <w:p>
      <w:pPr>
        <w:spacing w:after="120"/>
        <w:ind w:left="259"/>
      </w:pPr>
      <w:r>
        <w:rPr>
          <w:b/>
          <w:color w:val="5C6B82"/>
          <w:sz w:val="18"/>
        </w:rPr>
        <w:t xml:space="preserve">What they are testing:  </w:t>
      </w:r>
      <w:r>
        <w:rPr>
          <w:sz w:val="21"/>
        </w:rPr>
        <w:t>Whether you understand the trade-off you made rather than having followed a tutorial. A strong answer here buys credibility for the rest of the section.</w:t>
      </w:r>
    </w:p>
    <w:p>
      <w:pPr>
        <w:spacing w:after="120"/>
        <w:ind w:left="259"/>
      </w:pPr>
      <w:r>
        <w:rPr>
          <w:b/>
          <w:color w:val="1D4ED8"/>
          <w:sz w:val="18"/>
        </w:rPr>
        <w:t xml:space="preserve">Suggested answer:  </w:t>
      </w:r>
      <w:r>
        <w:rPr>
          <w:sz w:val="21"/>
        </w:rPr>
        <w:t>It opened cross-site request forgery. Browsers attach cookies automatically to any request to that origin, including one triggered by a malicious page the user happens to visit — a bearer token in a header is immune to that because the attacker's page cannot set it. The defence is a double-submit token: the server issues a second CSRF cookie that JavaScript can read, an axios interceptor echoes its value back in a custom header on every state-changing request, and the middleware rejects any request where the cookie and header do not match. It works because the same-origin policy lets an attacker cause our cookie to be sent but never lets them read it, so they cannot produce the matching header.</w:t>
      </w:r>
    </w:p>
    <w:p>
      <w:pPr>
        <w:keepNext/>
        <w:spacing w:before="240" w:after="80"/>
      </w:pPr>
      <w:r>
        <w:rPr>
          <w:b/>
          <w:color w:val="1D4ED8"/>
          <w:sz w:val="22"/>
        </w:rPr>
        <w:t xml:space="preserve">D3.  </w:t>
      </w:r>
      <w:r>
        <w:rPr>
          <w:b/>
          <w:color w:val="142A5C"/>
          <w:sz w:val="22"/>
        </w:rPr>
        <w:t>Your CSRF check compares a cookie to a header. Nothing binds that token to the user's session. Is that sufficient?</w:t>
      </w:r>
    </w:p>
    <w:p>
      <w:pPr>
        <w:spacing w:after="120"/>
        <w:ind w:left="259"/>
      </w:pPr>
      <w:r>
        <w:rPr>
          <w:b/>
          <w:color w:val="5C6B82"/>
          <w:sz w:val="18"/>
        </w:rPr>
        <w:t xml:space="preserve">What they are testing:  </w:t>
      </w:r>
      <w:r>
        <w:rPr>
          <w:sz w:val="21"/>
        </w:rPr>
        <w:t>Depth. This is the follow-up a knowledgeable panelist asks after the previous answer, and it has a real weakness in it.</w:t>
      </w:r>
    </w:p>
    <w:p>
      <w:pPr>
        <w:spacing w:after="120"/>
        <w:ind w:left="259"/>
      </w:pPr>
      <w:r>
        <w:rPr>
          <w:b/>
          <w:color w:val="1D4ED8"/>
          <w:sz w:val="18"/>
        </w:rPr>
        <w:t xml:space="preserve">Suggested answer:  </w:t>
      </w:r>
      <w:r>
        <w:rPr>
          <w:sz w:val="21"/>
        </w:rPr>
        <w:t>Concede the limit precisely. The current implementation is stateless double-submit: it proves the request came from a page that could read our cookie, which defeats the standard cross-site case. It does not cryptographically bind the token to the session, so it is weaker against an attacker who can already write cookies for the parent domain — for example through a compromised subdomain. The hardening is to sign the CSRF token against the session identifier and verify that signature server-side. Knowing the difference between the pattern you implemented and the stronger variant is exactly what this question is testing.</w:t>
      </w:r>
    </w:p>
    <w:p>
      <w:pPr>
        <w:keepNext/>
        <w:spacing w:before="240" w:after="80"/>
      </w:pPr>
      <w:r>
        <w:rPr>
          <w:b/>
          <w:color w:val="1D4ED8"/>
          <w:sz w:val="22"/>
        </w:rPr>
        <w:t xml:space="preserve">D4.  </w:t>
      </w:r>
      <w:r>
        <w:rPr>
          <w:b/>
          <w:color w:val="142A5C"/>
          <w:sz w:val="22"/>
        </w:rPr>
        <w:t>I called GET /api/households from a terminal, with no account and no token, and received every household's number, purok, owner name, and address. Explain that.</w:t>
      </w:r>
    </w:p>
    <w:p>
      <w:pPr>
        <w:spacing w:after="120"/>
        <w:ind w:left="259"/>
      </w:pPr>
      <w:r>
        <w:rPr>
          <w:b/>
          <w:color w:val="5C6B82"/>
          <w:sz w:val="18"/>
        </w:rPr>
        <w:t xml:space="preserve">What they are testing:  </w:t>
      </w:r>
      <w:r>
        <w:rPr>
          <w:sz w:val="21"/>
        </w:rPr>
        <w:t>This is the most serious finding in the codebase and it is verifiable in seconds. It is currently true. Prepare for it specifically — being surprised by this question is the worst outcome of the defense.</w:t>
      </w:r>
    </w:p>
    <w:p>
      <w:pPr>
        <w:spacing w:after="120"/>
        <w:ind w:left="259"/>
      </w:pPr>
      <w:r>
        <w:rPr>
          <w:b/>
          <w:color w:val="1D4ED8"/>
          <w:sz w:val="18"/>
        </w:rPr>
        <w:t xml:space="preserve">Suggested answer:  </w:t>
      </w:r>
      <w:r>
        <w:rPr>
          <w:sz w:val="21"/>
        </w:rPr>
        <w:t>Do not deny it and do not improvise. The correct response: that is a genuine defect. Three routes in the households router — the list, the create, and the single-household read — were never given the token-verification middleware that the rest of the file uses, so they are reachable without authentication. It exposes personally identifiable information and allows anonymous record creation, and it contradicts what our paper claims about access control. The fix is one line per route, adding the same verifyToken middleware already applied to the archive, delete, and restore routes immediately below them, plus a role check limiting creation to staff and admin.</w:t>
      </w:r>
    </w:p>
    <w:p>
      <w:pPr>
        <w:spacing w:after="120"/>
        <w:ind w:left="259"/>
      </w:pPr>
      <w:r>
        <w:rPr>
          <w:b/>
          <w:color w:val="1D4ED8"/>
          <w:sz w:val="18"/>
        </w:rPr>
        <w:t xml:space="preserve">If they press further:  </w:t>
      </w:r>
      <w:r>
        <w:rPr>
          <w:sz w:val="21"/>
        </w:rPr>
        <w:t>If asked how it happened: those routes were written before the authentication middleware existed and were never revisited when it was added — which is also the honest argument for why authorization needs a review checklist rather than per-route memory. If asked whether you will fix it before the final submission, say yes and mean it.</w:t>
      </w:r>
    </w:p>
    <w:p>
      <w:pPr>
        <w:keepNext/>
        <w:spacing w:before="240" w:after="80"/>
      </w:pPr>
      <w:r>
        <w:rPr>
          <w:b/>
          <w:color w:val="1D4ED8"/>
          <w:sz w:val="22"/>
        </w:rPr>
        <w:t xml:space="preserve">D5.  </w:t>
      </w:r>
      <w:r>
        <w:rPr>
          <w:b/>
          <w:color w:val="142A5C"/>
          <w:sz w:val="22"/>
        </w:rPr>
        <w:t>As a logged-in resident I requested report ID 45, which belongs to a different household, and the API returned it. What is that vulnerability called, and why does it exist here?</w:t>
      </w:r>
    </w:p>
    <w:p>
      <w:pPr>
        <w:spacing w:after="120"/>
        <w:ind w:left="259"/>
      </w:pPr>
      <w:r>
        <w:rPr>
          <w:b/>
          <w:color w:val="5C6B82"/>
          <w:sz w:val="18"/>
        </w:rPr>
        <w:t xml:space="preserve">What they are testing:  </w:t>
      </w:r>
      <w:r>
        <w:rPr>
          <w:sz w:val="21"/>
        </w:rPr>
        <w:t>Whether you know the vocabulary and can reason about authorization versus authentication. Also currently true.</w:t>
      </w:r>
    </w:p>
    <w:p>
      <w:pPr>
        <w:spacing w:after="120"/>
        <w:ind w:left="259"/>
      </w:pPr>
      <w:r>
        <w:rPr>
          <w:b/>
          <w:color w:val="1D4ED8"/>
          <w:sz w:val="18"/>
        </w:rPr>
        <w:t xml:space="preserve">Suggested answer:  </w:t>
      </w:r>
      <w:r>
        <w:rPr>
          <w:sz w:val="21"/>
        </w:rPr>
        <w:t>It is an insecure direct object reference — commonly IDOR — and it is a broken access control issue. The route requires a valid token, so authentication is enforced, but it performs no check that the requesting user is entitled to that particular record, which is authorization. Authentication asks who you are; authorization asks whether you may have this specific thing. The same gap exists on the TDS readings for a given household. The fix is an ownership check in the controller: a resident may read only reports belonging to their own household, while staff and admin may read all. Your delete-report handler already does exactly this kind of check, so the pattern exists in the codebase and simply was not applied consistently.</w:t>
      </w:r>
    </w:p>
    <w:p>
      <w:pPr>
        <w:spacing w:after="120"/>
        <w:ind w:left="259"/>
      </w:pPr>
      <w:r>
        <w:rPr>
          <w:b/>
          <w:color w:val="1D4ED8"/>
          <w:sz w:val="18"/>
        </w:rPr>
        <w:t xml:space="preserve">If they press further:  </w:t>
      </w:r>
      <w:r>
        <w:rPr>
          <w:sz w:val="21"/>
        </w:rPr>
        <w:t>The strongest way to close this answer is to point at deleteReport yourself as proof you know the correct pattern — it verifies admin-or-owner and additionally blocks deletion once a report is past pending.</w:t>
      </w:r>
    </w:p>
    <w:p>
      <w:pPr>
        <w:keepNext/>
        <w:spacing w:before="240" w:after="80"/>
      </w:pPr>
      <w:r>
        <w:rPr>
          <w:b/>
          <w:color w:val="1D4ED8"/>
          <w:sz w:val="22"/>
        </w:rPr>
        <w:t xml:space="preserve">D6.  </w:t>
      </w:r>
      <w:r>
        <w:rPr>
          <w:b/>
          <w:color w:val="142A5C"/>
          <w:sz w:val="22"/>
        </w:rPr>
        <w:t>Your report submission takes the household ID and user ID from the request body. What can I do with that?</w:t>
      </w:r>
    </w:p>
    <w:p>
      <w:pPr>
        <w:spacing w:after="120"/>
        <w:ind w:left="259"/>
      </w:pPr>
      <w:r>
        <w:rPr>
          <w:b/>
          <w:color w:val="5C6B82"/>
          <w:sz w:val="18"/>
        </w:rPr>
        <w:t xml:space="preserve">What they are testing:  </w:t>
      </w:r>
      <w:r>
        <w:rPr>
          <w:sz w:val="21"/>
        </w:rPr>
        <w:t>Whether you can reason about trust boundaries. Also currently true, and it is a forgery vector.</w:t>
      </w:r>
    </w:p>
    <w:p>
      <w:pPr>
        <w:spacing w:after="120"/>
        <w:ind w:left="259"/>
      </w:pPr>
      <w:r>
        <w:rPr>
          <w:b/>
          <w:color w:val="1D4ED8"/>
          <w:sz w:val="18"/>
        </w:rPr>
        <w:t xml:space="preserve">Suggested answer:  </w:t>
      </w:r>
      <w:r>
        <w:rPr>
          <w:sz w:val="21"/>
        </w:rPr>
        <w:t>I can file a report as another resident, against another household. The endpoint reads household_id and user_id from the JSON body rather than from the verified token, so the client controls both. That is a trust-boundary error: anything the client sends is attacker-controlled and can never be used as an identity claim. The revealing detail is that the same handler already uses the verified req.user for its audit log entry — so the trustworthy source was available and simply was not used for the insert. The fix is to derive the user ID from the token and look the household up from that user, ignoring both body fields.</w:t>
      </w:r>
    </w:p>
    <w:p>
      <w:pPr>
        <w:keepNext/>
        <w:spacing w:before="240" w:after="80"/>
      </w:pPr>
      <w:r>
        <w:rPr>
          <w:b/>
          <w:color w:val="1D4ED8"/>
          <w:sz w:val="22"/>
        </w:rPr>
        <w:t xml:space="preserve">D7.  </w:t>
      </w:r>
      <w:r>
        <w:rPr>
          <w:b/>
          <w:color w:val="142A5C"/>
          <w:sz w:val="22"/>
        </w:rPr>
        <w:t>How are passwords stored, and why bcrypt rather than SHA-256?</w:t>
      </w:r>
    </w:p>
    <w:p>
      <w:pPr>
        <w:spacing w:after="120"/>
        <w:ind w:left="259"/>
      </w:pPr>
      <w:r>
        <w:rPr>
          <w:b/>
          <w:color w:val="5C6B82"/>
          <w:sz w:val="18"/>
        </w:rPr>
        <w:t xml:space="preserve">What they are testing:  </w:t>
      </w:r>
      <w:r>
        <w:rPr>
          <w:sz w:val="21"/>
        </w:rPr>
        <w:t>Baseline cryptographic understanding. A wrong answer here is very costly.</w:t>
      </w:r>
    </w:p>
    <w:p>
      <w:pPr>
        <w:spacing w:after="120"/>
        <w:ind w:left="259"/>
      </w:pPr>
      <w:r>
        <w:rPr>
          <w:b/>
          <w:color w:val="1D4ED8"/>
          <w:sz w:val="18"/>
        </w:rPr>
        <w:t xml:space="preserve">Suggested answer:  </w:t>
      </w:r>
      <w:r>
        <w:rPr>
          <w:sz w:val="21"/>
        </w:rPr>
        <w:t>Passwords are hashed with bcrypt at a cost factor of ten; the plaintext is never stored and never logged. SHA-256 is the wrong tool because it is designed to be fast, which is precisely what an attacker wants — modern hardware computes billions of SHA-256 hashes per second, so a stolen table of them falls quickly to brute force. bcrypt is deliberately slow and its cost factor is tunable upward as hardware improves, and it incorporates a per-password salt so two users with the same password produce different hashes and precomputed rainbow tables are useless.</w:t>
      </w:r>
    </w:p>
    <w:p>
      <w:pPr>
        <w:keepNext/>
        <w:spacing w:before="240" w:after="80"/>
      </w:pPr>
      <w:r>
        <w:rPr>
          <w:b/>
          <w:color w:val="1D4ED8"/>
          <w:sz w:val="22"/>
        </w:rPr>
        <w:t xml:space="preserve">D8.  </w:t>
      </w:r>
      <w:r>
        <w:rPr>
          <w:b/>
          <w:color w:val="142A5C"/>
          <w:sz w:val="22"/>
        </w:rPr>
        <w:t>What password requirements do you enforce?</w:t>
      </w:r>
    </w:p>
    <w:p>
      <w:pPr>
        <w:spacing w:after="120"/>
        <w:ind w:left="259"/>
      </w:pPr>
      <w:r>
        <w:rPr>
          <w:b/>
          <w:color w:val="5C6B82"/>
          <w:sz w:val="18"/>
        </w:rPr>
        <w:t xml:space="preserve">What they are testing:  </w:t>
      </w:r>
      <w:r>
        <w:rPr>
          <w:sz w:val="21"/>
        </w:rPr>
        <w:t>Currently none. Verified across registration, reset, and change-password.</w:t>
      </w:r>
    </w:p>
    <w:p>
      <w:pPr>
        <w:spacing w:after="120"/>
        <w:ind w:left="259"/>
      </w:pPr>
      <w:r>
        <w:rPr>
          <w:b/>
          <w:color w:val="1D4ED8"/>
          <w:sz w:val="18"/>
        </w:rPr>
        <w:t xml:space="preserve">Suggested answer:  </w:t>
      </w:r>
      <w:r>
        <w:rPr>
          <w:sz w:val="21"/>
        </w:rPr>
        <w:t>Concede it: there is no server-side length or complexity validation on any of the three paths, so a one-character password is accepted. This is a real gap and it undermines the value of hashing them properly. The fix is a validation step in the controller — a minimum length, a check against a list of common passwords, and the same rule applied identically to registration, reset, and change — enforced on the server, because client-side validation is a usability feature and not a control.</w:t>
      </w:r>
    </w:p>
    <w:p>
      <w:pPr>
        <w:spacing w:after="120"/>
        <w:ind w:left="259"/>
      </w:pPr>
      <w:r>
        <w:rPr>
          <w:b/>
          <w:color w:val="1D4ED8"/>
          <w:sz w:val="18"/>
        </w:rPr>
        <w:t xml:space="preserve">If they press further:  </w:t>
      </w:r>
      <w:r>
        <w:rPr>
          <w:sz w:val="21"/>
        </w:rPr>
        <w:t>If asked what minimum: cite a source rather than guessing. NIST SP 800-63B recommends a minimum of eight characters with screening against known-breached passwords, and advises against forced composition rules and periodic expiry.</w:t>
      </w:r>
    </w:p>
    <w:p>
      <w:pPr>
        <w:keepNext/>
        <w:spacing w:before="240" w:after="80"/>
      </w:pPr>
      <w:r>
        <w:rPr>
          <w:b/>
          <w:color w:val="1D4ED8"/>
          <w:sz w:val="22"/>
        </w:rPr>
        <w:t xml:space="preserve">D9.  </w:t>
      </w:r>
      <w:r>
        <w:rPr>
          <w:b/>
          <w:color w:val="142A5C"/>
          <w:sz w:val="22"/>
        </w:rPr>
        <w:t>Your password reset tokens are stored in the database in plaintext. Why is that a problem?</w:t>
      </w:r>
    </w:p>
    <w:p>
      <w:pPr>
        <w:spacing w:after="120"/>
        <w:ind w:left="259"/>
      </w:pPr>
      <w:r>
        <w:rPr>
          <w:b/>
          <w:color w:val="5C6B82"/>
          <w:sz w:val="18"/>
        </w:rPr>
        <w:t xml:space="preserve">What they are testing:  </w:t>
      </w:r>
      <w:r>
        <w:rPr>
          <w:sz w:val="21"/>
        </w:rPr>
        <w:t>Whether you can reason about defence in depth. Verified — the token is generated with a cryptographic random source and inserted as-is.</w:t>
      </w:r>
    </w:p>
    <w:p>
      <w:pPr>
        <w:spacing w:after="120"/>
        <w:ind w:left="259"/>
      </w:pPr>
      <w:r>
        <w:rPr>
          <w:b/>
          <w:color w:val="1D4ED8"/>
          <w:sz w:val="18"/>
        </w:rPr>
        <w:t xml:space="preserve">Suggested answer:  </w:t>
      </w:r>
      <w:r>
        <w:rPr>
          <w:sz w:val="21"/>
        </w:rPr>
        <w:t>Because it means anyone who can read that table can take over any account with a pending reset, without knowing any password. Read access to a database is a lower bar than it sounds — a backup file, a log, an SQL injection elsewhere, or a misconfigured dump would all do it. A reset token is a temporary credential and deserves the same treatment as a password: store only a hash of it, and compare hashes when the link is used. Credit what is already correct here — the token is 32 bytes from a cryptographically secure generator, it expires in thirty minutes, and it is single-use through a used flag — so the fix is one hashing step, not a redesign.</w:t>
      </w:r>
    </w:p>
    <w:p>
      <w:pPr>
        <w:keepNext/>
        <w:spacing w:before="240" w:after="80"/>
      </w:pPr>
      <w:r>
        <w:rPr>
          <w:b/>
          <w:color w:val="1D4ED8"/>
          <w:sz w:val="22"/>
        </w:rPr>
        <w:t xml:space="preserve">D10.  </w:t>
      </w:r>
      <w:r>
        <w:rPr>
          <w:b/>
          <w:color w:val="142A5C"/>
          <w:sz w:val="22"/>
        </w:rPr>
        <w:t>How do I know a user has not edited their own JWT to change their role to admin?</w:t>
      </w:r>
    </w:p>
    <w:p>
      <w:pPr>
        <w:spacing w:after="120"/>
        <w:ind w:left="259"/>
      </w:pPr>
      <w:r>
        <w:rPr>
          <w:b/>
          <w:color w:val="5C6B82"/>
          <w:sz w:val="18"/>
        </w:rPr>
        <w:t xml:space="preserve">What they are testing:  </w:t>
      </w:r>
      <w:r>
        <w:rPr>
          <w:sz w:val="21"/>
        </w:rPr>
        <w:t>Whether you understand what a signature does. Very commonly asked.</w:t>
      </w:r>
    </w:p>
    <w:p>
      <w:pPr>
        <w:spacing w:after="120"/>
        <w:ind w:left="259"/>
      </w:pPr>
      <w:r>
        <w:rPr>
          <w:b/>
          <w:color w:val="1D4ED8"/>
          <w:sz w:val="18"/>
        </w:rPr>
        <w:t xml:space="preserve">Suggested answer:  </w:t>
      </w:r>
      <w:r>
        <w:rPr>
          <w:sz w:val="21"/>
        </w:rPr>
        <w:t>They can read it — a JWT payload is base64-encoded, not encrypted — but they cannot alter it. The token is signed with a secret held only on the server, and every protected request verifies that signature before trusting anything inside. Change a single character of the payload and the signature no longer matches, so verification fails and the request is rejected as unauthenticated. This is also why the payload holds only the user id, role, and name and nothing confidential.</w:t>
      </w:r>
    </w:p>
    <w:p>
      <w:pPr>
        <w:spacing w:after="120"/>
        <w:ind w:left="259"/>
      </w:pPr>
      <w:r>
        <w:rPr>
          <w:b/>
          <w:color w:val="1D4ED8"/>
          <w:sz w:val="18"/>
        </w:rPr>
        <w:t xml:space="preserve">If they press further:  </w:t>
      </w:r>
      <w:r>
        <w:rPr>
          <w:sz w:val="21"/>
        </w:rPr>
        <w:t>If pressed on what happens if the secret leaks: an attacker could then mint valid tokens for any user and role, which is why it lives in an environment variable rather than in source, and why rotating it — which invalidates every existing session — is the response to a suspected leak.</w:t>
      </w:r>
    </w:p>
    <w:p>
      <w:pPr>
        <w:keepNext/>
        <w:spacing w:before="240" w:after="80"/>
      </w:pPr>
      <w:r>
        <w:rPr>
          <w:b/>
          <w:color w:val="1D4ED8"/>
          <w:sz w:val="22"/>
        </w:rPr>
        <w:t xml:space="preserve">D11.  </w:t>
      </w:r>
      <w:r>
        <w:rPr>
          <w:b/>
          <w:color w:val="142A5C"/>
          <w:sz w:val="22"/>
        </w:rPr>
        <w:t>Your tokens last seven days. How do you revoke one? If I fire a staff member this morning, are they locked out?</w:t>
      </w:r>
    </w:p>
    <w:p>
      <w:pPr>
        <w:spacing w:after="120"/>
        <w:ind w:left="259"/>
      </w:pPr>
      <w:r>
        <w:rPr>
          <w:b/>
          <w:color w:val="5C6B82"/>
          <w:sz w:val="18"/>
        </w:rPr>
        <w:t xml:space="preserve">What they are testing:  </w:t>
      </w:r>
      <w:r>
        <w:rPr>
          <w:sz w:val="21"/>
        </w:rPr>
        <w:t>A real limitation of stateless authentication. The good answer is honest.</w:t>
      </w:r>
    </w:p>
    <w:p>
      <w:pPr>
        <w:spacing w:after="120"/>
        <w:ind w:left="259"/>
      </w:pPr>
      <w:r>
        <w:rPr>
          <w:b/>
          <w:color w:val="1D4ED8"/>
          <w:sz w:val="18"/>
        </w:rPr>
        <w:t xml:space="preserve">Suggested answer:  </w:t>
      </w:r>
      <w:r>
        <w:rPr>
          <w:sz w:val="21"/>
        </w:rPr>
        <w:t>Not immediately, and that is an inherent property of stateless JWTs rather than an oversight: the server holds no session record, so there is nothing to delete. Logging out clears the cookie in that browser, but a token already copied elsewhere stays valid until it expires. Seven days is a usability choice that in hindsight is long for a system holding residents' personal data. The standard remedies are a short-lived access token paired with a refresh token, or a server-side revocation list checked on each request — the second reintroduces state, which is exactly the trade-off. Reducing the lifetime is the cheapest immediate improvement.</w:t>
      </w:r>
    </w:p>
    <w:p>
      <w:pPr>
        <w:keepNext/>
        <w:spacing w:before="240" w:after="80"/>
      </w:pPr>
      <w:r>
        <w:rPr>
          <w:b/>
          <w:color w:val="1D4ED8"/>
          <w:sz w:val="22"/>
        </w:rPr>
        <w:t xml:space="preserve">D12.  </w:t>
      </w:r>
      <w:r>
        <w:rPr>
          <w:b/>
          <w:color w:val="142A5C"/>
          <w:sz w:val="22"/>
        </w:rPr>
        <w:t>What stops SQL injection, and can you show me?</w:t>
      </w:r>
    </w:p>
    <w:p>
      <w:pPr>
        <w:spacing w:after="120"/>
        <w:ind w:left="259"/>
      </w:pPr>
      <w:r>
        <w:rPr>
          <w:b/>
          <w:color w:val="5C6B82"/>
          <w:sz w:val="18"/>
        </w:rPr>
        <w:t xml:space="preserve">What they are testing:  </w:t>
      </w:r>
      <w:r>
        <w:rPr>
          <w:sz w:val="21"/>
        </w:rPr>
        <w:t>Verification that a claimed control is real. This one you can answer with confidence.</w:t>
      </w:r>
    </w:p>
    <w:p>
      <w:pPr>
        <w:spacing w:after="120"/>
        <w:ind w:left="259"/>
      </w:pPr>
      <w:r>
        <w:rPr>
          <w:b/>
          <w:color w:val="1D4ED8"/>
          <w:sz w:val="18"/>
        </w:rPr>
        <w:t xml:space="preserve">Suggested answer:  </w:t>
      </w:r>
      <w:r>
        <w:rPr>
          <w:sz w:val="21"/>
        </w:rPr>
        <w:t>Every query uses parameterised placeholders through the mysql2 driver — the SQL string and the user-supplied values are sent separately, so input is always bound as a value and never parsed as SQL. There is no string concatenation into a query anywhere in the codebase, including the search and filter endpoints where it would be most tempting. Be ready to open any controller and point at a query, because being able to show it immediately is worth more than describing it.</w:t>
      </w:r>
    </w:p>
    <w:p/>
    <w:p>
      <w:r>
        <w:br w:type="page"/>
      </w:r>
    </w:p>
    <w:p>
      <w:pPr>
        <w:pStyle w:val="Heading1"/>
        <w:spacing w:before="0" w:after="40"/>
      </w:pPr>
      <w:r>
        <w:t>E. Data Privacy and Ethics</w:t>
      </w:r>
    </w:p>
    <w:p>
      <w:pPr>
        <w:spacing w:before="0" w:after="200"/>
      </w:pPr>
      <w:r>
        <w:rPr>
          <w:b w:val="0"/>
          <w:i/>
          <w:color w:val="5C6B82"/>
          <w:sz w:val="20"/>
        </w:rPr>
        <w:t>Your system holds names, home addresses, and email addresses of real residents. Under Philippine law that is regulated. Expect at least one panelist to have read RA 10173.</w:t>
      </w:r>
    </w:p>
    <w:p>
      <w:pPr>
        <w:keepNext/>
        <w:spacing w:before="240" w:after="80"/>
      </w:pPr>
      <w:r>
        <w:rPr>
          <w:b/>
          <w:color w:val="1D4ED8"/>
          <w:sz w:val="22"/>
        </w:rPr>
        <w:t xml:space="preserve">E1.  </w:t>
      </w:r>
      <w:r>
        <w:rPr>
          <w:b/>
          <w:color w:val="142A5C"/>
          <w:sz w:val="22"/>
        </w:rPr>
        <w:t>Under the Data Privacy Act of 2012, what is your lawful basis for processing residents' personal information?</w:t>
      </w:r>
    </w:p>
    <w:p>
      <w:pPr>
        <w:spacing w:after="120"/>
        <w:ind w:left="259"/>
      </w:pPr>
      <w:r>
        <w:rPr>
          <w:b/>
          <w:color w:val="5C6B82"/>
          <w:sz w:val="18"/>
        </w:rPr>
        <w:t xml:space="preserve">What they are testing:  </w:t>
      </w:r>
      <w:r>
        <w:rPr>
          <w:sz w:val="21"/>
        </w:rPr>
        <w:t>Whether your ethics chapter is a formality or something you understand. RA 10173 is the statute; know its name and number.</w:t>
      </w:r>
    </w:p>
    <w:p>
      <w:pPr>
        <w:spacing w:after="120"/>
        <w:ind w:left="259"/>
      </w:pPr>
      <w:r>
        <w:rPr>
          <w:b/>
          <w:color w:val="1D4ED8"/>
          <w:sz w:val="18"/>
        </w:rPr>
        <w:t xml:space="preserve">Suggested answer:  </w:t>
      </w:r>
      <w:r>
        <w:rPr>
          <w:sz w:val="21"/>
        </w:rPr>
        <w:t>FILL IN with what your paper actually claims, and make sure the two agree. The likely bases are consent of the data subject, or the fact that processing is necessary to fulfil a mandate of a public authority — the barangay. Be ready to say which one you rely on, because the obligations differ. If you rely on consent, you must be able to show how it was obtained, that it was informed and freely given, and that it can be withdrawn.</w:t>
      </w:r>
    </w:p>
    <w:p>
      <w:pPr>
        <w:keepNext/>
        <w:spacing w:before="240" w:after="80"/>
      </w:pPr>
      <w:r>
        <w:rPr>
          <w:b/>
          <w:color w:val="1D4ED8"/>
          <w:sz w:val="22"/>
        </w:rPr>
        <w:t xml:space="preserve">E2.  </w:t>
      </w:r>
      <w:r>
        <w:rPr>
          <w:b/>
          <w:color w:val="142A5C"/>
          <w:sz w:val="22"/>
        </w:rPr>
        <w:t>Who is the personal information controller here — your group, or the barangay?</w:t>
      </w:r>
    </w:p>
    <w:p>
      <w:pPr>
        <w:spacing w:after="120"/>
        <w:ind w:left="259"/>
      </w:pPr>
      <w:r>
        <w:rPr>
          <w:b/>
          <w:color w:val="5C6B82"/>
          <w:sz w:val="18"/>
        </w:rPr>
        <w:t xml:space="preserve">What they are testing:  </w:t>
      </w:r>
      <w:r>
        <w:rPr>
          <w:sz w:val="21"/>
        </w:rPr>
        <w:t>A precise legal distinction, and groups routinely get it wrong.</w:t>
      </w:r>
    </w:p>
    <w:p>
      <w:pPr>
        <w:spacing w:after="120"/>
        <w:ind w:left="259"/>
      </w:pPr>
      <w:r>
        <w:rPr>
          <w:b/>
          <w:color w:val="1D4ED8"/>
          <w:sz w:val="18"/>
        </w:rPr>
        <w:t xml:space="preserve">Suggested answer:  </w:t>
      </w:r>
      <w:r>
        <w:rPr>
          <w:sz w:val="21"/>
        </w:rPr>
        <w:t>The barangay is the controller: it determines the purpose of the processing and holds the relationship with the residents. Your group acted as a processor, building and operating the system on the barangay's behalf during development. This distinction matters because the controller carries the legal obligations — breach notification, responding to data-subject requests, registration where required. If your paper does not state this, say what your understanding is and be consistent.</w:t>
      </w:r>
    </w:p>
    <w:p>
      <w:pPr>
        <w:keepNext/>
        <w:spacing w:before="240" w:after="80"/>
      </w:pPr>
      <w:r>
        <w:rPr>
          <w:b/>
          <w:color w:val="1D4ED8"/>
          <w:sz w:val="22"/>
        </w:rPr>
        <w:t xml:space="preserve">E3.  </w:t>
      </w:r>
      <w:r>
        <w:rPr>
          <w:b/>
          <w:color w:val="142A5C"/>
          <w:sz w:val="22"/>
        </w:rPr>
        <w:t>What happens to the data when your group graduates and the study ends?</w:t>
      </w:r>
    </w:p>
    <w:p>
      <w:pPr>
        <w:spacing w:after="120"/>
        <w:ind w:left="259"/>
      </w:pPr>
      <w:r>
        <w:rPr>
          <w:b/>
          <w:color w:val="5C6B82"/>
          <w:sz w:val="18"/>
        </w:rPr>
        <w:t xml:space="preserve">What they are testing:  </w:t>
      </w:r>
      <w:r>
        <w:rPr>
          <w:sz w:val="21"/>
        </w:rPr>
        <w:t>Data lifecycle and retention. Very commonly asked and often unprepared for.</w:t>
      </w:r>
    </w:p>
    <w:p>
      <w:pPr>
        <w:spacing w:after="120"/>
        <w:ind w:left="259"/>
      </w:pPr>
      <w:r>
        <w:rPr>
          <w:b/>
          <w:color w:val="1D4ED8"/>
          <w:sz w:val="18"/>
        </w:rPr>
        <w:t xml:space="preserve">Suggested answer:  </w:t>
      </w:r>
      <w:r>
        <w:rPr>
          <w:sz w:val="21"/>
        </w:rPr>
        <w:t>FILL IN with your actual plan, and have one. It should cover: whether the live database is handed over to the barangay or destroyed, who holds the credentials afterwards, what happens to any copies on group members' machines, and whether data used in the paper is anonymised. 'We had not decided' is a poor answer for a system holding residents' addresses.</w:t>
      </w:r>
    </w:p>
    <w:p>
      <w:pPr>
        <w:keepNext/>
        <w:spacing w:before="240" w:after="80"/>
      </w:pPr>
      <w:r>
        <w:rPr>
          <w:b/>
          <w:color w:val="1D4ED8"/>
          <w:sz w:val="22"/>
        </w:rPr>
        <w:t xml:space="preserve">E4.  </w:t>
      </w:r>
      <w:r>
        <w:rPr>
          <w:b/>
          <w:color w:val="142A5C"/>
          <w:sz w:val="22"/>
        </w:rPr>
        <w:t>A resident asks you to delete their data. Your system uses soft delete, which keeps the row. Can you comply?</w:t>
      </w:r>
    </w:p>
    <w:p>
      <w:pPr>
        <w:spacing w:after="120"/>
        <w:ind w:left="259"/>
      </w:pPr>
      <w:r>
        <w:rPr>
          <w:b/>
          <w:color w:val="5C6B82"/>
          <w:sz w:val="18"/>
        </w:rPr>
        <w:t xml:space="preserve">What they are testing:  </w:t>
      </w:r>
      <w:r>
        <w:rPr>
          <w:sz w:val="21"/>
        </w:rPr>
        <w:t>Whether you see the tension between a design choice and a legal right. This is a genuinely sharp question and you should have an answer ready.</w:t>
      </w:r>
    </w:p>
    <w:p>
      <w:pPr>
        <w:spacing w:after="120"/>
        <w:ind w:left="259"/>
      </w:pPr>
      <w:r>
        <w:rPr>
          <w:b/>
          <w:color w:val="1D4ED8"/>
          <w:sz w:val="18"/>
        </w:rPr>
        <w:t xml:space="preserve">Suggested answer:  </w:t>
      </w:r>
      <w:r>
        <w:rPr>
          <w:sz w:val="21"/>
        </w:rPr>
        <w:t>Acknowledge the tension directly — it is a real one. Soft delete exists so that history and referential integrity survive: reports and readings reference households, and the audit trail must remain meaningful. But the right to erasure under RA 10173 is not satisfied by hiding a row from the interface. The correct reconciliation is a two-tier model: soft delete is the routine operational action, and a genuine erasure path exists for a lawful data-subject request — the permanent-delete endpoints already in your admin routes are the beginning of that. The honest position is that the operational archive and the legal erasure obligation are different things and the system should distinguish them explicitly.</w:t>
      </w:r>
    </w:p>
    <w:p>
      <w:pPr>
        <w:spacing w:after="120"/>
        <w:ind w:left="259"/>
      </w:pPr>
      <w:r>
        <w:rPr>
          <w:b/>
          <w:color w:val="1D4ED8"/>
          <w:sz w:val="18"/>
        </w:rPr>
        <w:t xml:space="preserve">If they press further:  </w:t>
      </w:r>
      <w:r>
        <w:rPr>
          <w:sz w:val="21"/>
        </w:rPr>
        <w:t>If pressed: note that anonymising the record — removing name and address while retaining the aggregate reading and report counts — often satisfies both the erasure right and the analytical need.</w:t>
      </w:r>
    </w:p>
    <w:p>
      <w:pPr>
        <w:keepNext/>
        <w:spacing w:before="240" w:after="80"/>
      </w:pPr>
      <w:r>
        <w:rPr>
          <w:b/>
          <w:color w:val="1D4ED8"/>
          <w:sz w:val="22"/>
        </w:rPr>
        <w:t xml:space="preserve">E5.  </w:t>
      </w:r>
      <w:r>
        <w:rPr>
          <w:b/>
          <w:color w:val="142A5C"/>
          <w:sz w:val="22"/>
        </w:rPr>
        <w:t>Your audit trail records IP addresses. That is personal data. Justify collecting and keeping it.</w:t>
      </w:r>
    </w:p>
    <w:p>
      <w:pPr>
        <w:spacing w:after="120"/>
        <w:ind w:left="259"/>
      </w:pPr>
      <w:r>
        <w:rPr>
          <w:b/>
          <w:color w:val="5C6B82"/>
          <w:sz w:val="18"/>
        </w:rPr>
        <w:t xml:space="preserve">What they are testing:  </w:t>
      </w:r>
      <w:r>
        <w:rPr>
          <w:sz w:val="21"/>
        </w:rPr>
        <w:t>Proportionality — collecting only what you need, for only as long as you need it.</w:t>
      </w:r>
    </w:p>
    <w:p>
      <w:pPr>
        <w:spacing w:after="120"/>
        <w:ind w:left="259"/>
      </w:pPr>
      <w:r>
        <w:rPr>
          <w:b/>
          <w:color w:val="1D4ED8"/>
          <w:sz w:val="18"/>
        </w:rPr>
        <w:t xml:space="preserve">Suggested answer:  </w:t>
      </w:r>
      <w:r>
        <w:rPr>
          <w:sz w:val="21"/>
        </w:rPr>
        <w:t>The justification is accountability: the trail exists so that a change to a household record, a TDS reading, or a user account is attributable, which protects both the residents and the staff. The IP address strengthens that attribution. Concede the weakness: there is currently no retention limit, so the log grows indefinitely, and indefinite retention of personal data is difficult to justify under a proportionality test. A defined retention period after which entries are purged or the IP field is cleared would be the correct improvement.</w:t>
      </w:r>
    </w:p>
    <w:p>
      <w:pPr>
        <w:keepNext/>
        <w:spacing w:before="240" w:after="80"/>
      </w:pPr>
      <w:r>
        <w:rPr>
          <w:b/>
          <w:color w:val="1D4ED8"/>
          <w:sz w:val="22"/>
        </w:rPr>
        <w:t xml:space="preserve">E6.  </w:t>
      </w:r>
      <w:r>
        <w:rPr>
          <w:b/>
          <w:color w:val="142A5C"/>
          <w:sz w:val="22"/>
        </w:rPr>
        <w:t>Residents submit reports about their own water. Can staff and admin see who filed which report?</w:t>
      </w:r>
    </w:p>
    <w:p>
      <w:pPr>
        <w:spacing w:after="120"/>
        <w:ind w:left="259"/>
      </w:pPr>
      <w:r>
        <w:rPr>
          <w:b/>
          <w:color w:val="5C6B82"/>
          <w:sz w:val="18"/>
        </w:rPr>
        <w:t xml:space="preserve">What they are testing:  </w:t>
      </w:r>
      <w:r>
        <w:rPr>
          <w:sz w:val="21"/>
        </w:rPr>
        <w:t>Whether the privacy consequences of the design were considered.</w:t>
      </w:r>
    </w:p>
    <w:p>
      <w:pPr>
        <w:spacing w:after="120"/>
        <w:ind w:left="259"/>
      </w:pPr>
      <w:r>
        <w:rPr>
          <w:b/>
          <w:color w:val="1D4ED8"/>
          <w:sz w:val="18"/>
        </w:rPr>
        <w:t xml:space="preserve">Suggested answer:  </w:t>
      </w:r>
      <w:r>
        <w:rPr>
          <w:sz w:val="21"/>
        </w:rPr>
        <w:t>Yes — reports carry a foreign key to the user, and that is deliberate, because staff need to follow up with the household and the audit trail must be meaningful. Be ready to say whether residents are told this at the point of submission, because a resident who believes a complaint is anonymous and later finds it is not has a legitimate grievance. If your consent notice does not cover it, that is a documentation fix worth naming yourself.</w:t>
      </w:r>
    </w:p>
    <w:p>
      <w:pPr>
        <w:spacing w:after="120"/>
        <w:ind w:left="259"/>
      </w:pPr>
      <w:r>
        <w:rPr>
          <w:b/>
          <w:color w:val="1D4ED8"/>
          <w:sz w:val="18"/>
        </w:rPr>
        <w:t xml:space="preserve">If they press further:  </w:t>
      </w:r>
      <w:r>
        <w:rPr>
          <w:sz w:val="21"/>
        </w:rPr>
        <w:t>Note the contrast worth pointing out: your public concerns feature is genuinely unauthenticated and optional-name, so there is already a channel for someone unwilling to be identified.</w:t>
      </w:r>
    </w:p>
    <w:p/>
    <w:p>
      <w:r>
        <w:br w:type="page"/>
      </w:r>
    </w:p>
    <w:p>
      <w:pPr>
        <w:pStyle w:val="Heading1"/>
        <w:spacing w:before="0" w:after="40"/>
      </w:pPr>
      <w:r>
        <w:t>F. Data Model and Algorithms</w:t>
      </w:r>
    </w:p>
    <w:p>
      <w:pPr>
        <w:spacing w:before="0" w:after="200"/>
      </w:pPr>
      <w:r>
        <w:rPr>
          <w:b w:val="0"/>
          <w:i/>
          <w:color w:val="5C6B82"/>
          <w:sz w:val="20"/>
        </w:rPr>
        <w:t>Testing whether the derived features are designed or merely coded.</w:t>
      </w:r>
    </w:p>
    <w:p>
      <w:pPr>
        <w:keepNext/>
        <w:spacing w:before="240" w:after="80"/>
      </w:pPr>
      <w:r>
        <w:rPr>
          <w:b/>
          <w:color w:val="1D4ED8"/>
          <w:sz w:val="22"/>
        </w:rPr>
        <w:t xml:space="preserve">F1.  </w:t>
      </w:r>
      <w:r>
        <w:rPr>
          <w:b/>
          <w:color w:val="142A5C"/>
          <w:sz w:val="22"/>
        </w:rPr>
        <w:t>Explain your recurring-issue flag. What exactly qualifies as recurring?</w:t>
      </w:r>
    </w:p>
    <w:p>
      <w:pPr>
        <w:spacing w:after="120"/>
        <w:ind w:left="259"/>
      </w:pPr>
      <w:r>
        <w:rPr>
          <w:b/>
          <w:color w:val="5C6B82"/>
          <w:sz w:val="18"/>
        </w:rPr>
        <w:t xml:space="preserve">What they are testing:  </w:t>
      </w:r>
      <w:r>
        <w:rPr>
          <w:sz w:val="21"/>
        </w:rPr>
        <w:t>Whether the algorithm has a defensible definition. There is a real question buried in it.</w:t>
      </w:r>
    </w:p>
    <w:p>
      <w:pPr>
        <w:spacing w:after="120"/>
        <w:ind w:left="259"/>
      </w:pPr>
      <w:r>
        <w:rPr>
          <w:b/>
          <w:color w:val="1D4ED8"/>
          <w:sz w:val="18"/>
        </w:rPr>
        <w:t xml:space="preserve">Suggested answer:  </w:t>
      </w:r>
      <w:r>
        <w:rPr>
          <w:sz w:val="21"/>
        </w:rPr>
        <w:t>On each report submission the system looks for an active flag matching that household and issue type. If one exists it increments the count and updates the last-reported timestamp; if not, it opens a new flag. A composite unique key on household, issue type, and status guarantees only one active flag can exist per pair, so concurrent submissions cannot create duplicates. Be honest about the definition: the flag opens on the first report, so strictly it counts occurrences rather than applying a recurrence threshold — the dashboard surfaces households by that count. If a panelist presses on whether one report should be 'flagged', the fair answer is that a minimum count before a flag becomes actionable would sharpen it, and the count field already supports that.</w:t>
      </w:r>
    </w:p>
    <w:p>
      <w:pPr>
        <w:keepNext/>
        <w:spacing w:before="240" w:after="80"/>
      </w:pPr>
      <w:r>
        <w:rPr>
          <w:b/>
          <w:color w:val="1D4ED8"/>
          <w:sz w:val="22"/>
        </w:rPr>
        <w:t xml:space="preserve">F2.  </w:t>
      </w:r>
      <w:r>
        <w:rPr>
          <w:b/>
          <w:color w:val="142A5C"/>
          <w:sz w:val="22"/>
        </w:rPr>
        <w:t>Your time buckets are 05:00–11:00, 11:00–17:00, 17:00–21:00, and everything else. Where did those boundaries come from?</w:t>
      </w:r>
    </w:p>
    <w:p>
      <w:pPr>
        <w:spacing w:after="120"/>
        <w:ind w:left="259"/>
      </w:pPr>
      <w:r>
        <w:rPr>
          <w:b/>
          <w:color w:val="5C6B82"/>
          <w:sz w:val="18"/>
        </w:rPr>
        <w:t xml:space="preserve">What they are testing:  </w:t>
      </w:r>
      <w:r>
        <w:rPr>
          <w:sz w:val="21"/>
        </w:rPr>
        <w:t>Whether a parameter was chosen or picked arbitrarily. Panels probe magic numbers.</w:t>
      </w:r>
    </w:p>
    <w:p>
      <w:pPr>
        <w:spacing w:after="120"/>
        <w:ind w:left="259"/>
      </w:pPr>
      <w:r>
        <w:rPr>
          <w:b/>
          <w:color w:val="1D4ED8"/>
          <w:sz w:val="18"/>
        </w:rPr>
        <w:t xml:space="preserve">Suggested answer:  </w:t>
      </w:r>
      <w:r>
        <w:rPr>
          <w:sz w:val="21"/>
        </w:rPr>
        <w:t>Answer honestly. They correspond to ordinary daily activity periods — morning, afternoon, evening, night — which is the resolution at which a resident can reliably recall when a problem occurred; asking for a precise time would produce worse data. If they were not derived from a cited source, say so and defend the reasoning rather than claiming a citation you do not have. If household water-use patterns in your locality informed the split, say which and how you learned it.</w:t>
      </w:r>
    </w:p>
    <w:p>
      <w:pPr>
        <w:spacing w:after="120"/>
        <w:ind w:left="259"/>
      </w:pPr>
      <w:r>
        <w:rPr>
          <w:b/>
          <w:color w:val="1D4ED8"/>
          <w:sz w:val="18"/>
        </w:rPr>
        <w:t xml:space="preserve">If they press further:  </w:t>
      </w:r>
      <w:r>
        <w:rPr>
          <w:sz w:val="21"/>
        </w:rPr>
        <w:t>The strongest available follow-up: the buckets are unequal in length, so raw counts are not directly comparable across them. Acknowledging that before it is pointed out is worth a great deal.</w:t>
      </w:r>
    </w:p>
    <w:p>
      <w:pPr>
        <w:keepNext/>
        <w:spacing w:before="240" w:after="80"/>
      </w:pPr>
      <w:r>
        <w:rPr>
          <w:b/>
          <w:color w:val="1D4ED8"/>
          <w:sz w:val="22"/>
        </w:rPr>
        <w:t xml:space="preserve">F3.  </w:t>
      </w:r>
      <w:r>
        <w:rPr>
          <w:b/>
          <w:color w:val="142A5C"/>
          <w:sz w:val="22"/>
        </w:rPr>
        <w:t>Your time-pattern table aggregates by purok rather than by household. Why lose that resolution?</w:t>
      </w:r>
    </w:p>
    <w:p>
      <w:pPr>
        <w:spacing w:after="120"/>
        <w:ind w:left="259"/>
      </w:pPr>
      <w:r>
        <w:rPr>
          <w:b/>
          <w:color w:val="5C6B82"/>
          <w:sz w:val="18"/>
        </w:rPr>
        <w:t xml:space="preserve">What they are testing:  </w:t>
      </w:r>
      <w:r>
        <w:rPr>
          <w:sz w:val="21"/>
        </w:rPr>
        <w:t>Whether an aggregation choice was reasoned.</w:t>
      </w:r>
    </w:p>
    <w:p>
      <w:pPr>
        <w:spacing w:after="120"/>
        <w:ind w:left="259"/>
      </w:pPr>
      <w:r>
        <w:rPr>
          <w:b/>
          <w:color w:val="1D4ED8"/>
          <w:sz w:val="18"/>
        </w:rPr>
        <w:t xml:space="preserve">Suggested answer:  </w:t>
      </w:r>
      <w:r>
        <w:rPr>
          <w:sz w:val="21"/>
        </w:rPr>
        <w:t>Because the purpose is different. A single household's timing is anecdote; a purok's timing is a pattern that points at shared infrastructure — a supply schedule, a pressure issue on a shared line, a tank drawn down at peak use. Aggregating at purok level is also what makes the counts large enough to be worth reading. Household-level timing is not lost — the individual reports retain their own occurred-at value and can be queried directly.</w:t>
      </w:r>
    </w:p>
    <w:p>
      <w:pPr>
        <w:keepNext/>
        <w:spacing w:before="240" w:after="80"/>
      </w:pPr>
      <w:r>
        <w:rPr>
          <w:b/>
          <w:color w:val="1D4ED8"/>
          <w:sz w:val="22"/>
        </w:rPr>
        <w:t xml:space="preserve">F4.  </w:t>
      </w:r>
      <w:r>
        <w:rPr>
          <w:b/>
          <w:color w:val="142A5C"/>
          <w:sz w:val="22"/>
        </w:rPr>
        <w:t>With the volume of data you have, is 'trending' statistically meaningful?</w:t>
      </w:r>
    </w:p>
    <w:p>
      <w:pPr>
        <w:spacing w:after="120"/>
        <w:ind w:left="259"/>
      </w:pPr>
      <w:r>
        <w:rPr>
          <w:b/>
          <w:color w:val="5C6B82"/>
          <w:sz w:val="18"/>
        </w:rPr>
        <w:t xml:space="preserve">What they are testing:  </w:t>
      </w:r>
      <w:r>
        <w:rPr>
          <w:sz w:val="21"/>
        </w:rPr>
        <w:t>Whether you overclaim. A common trap.</w:t>
      </w:r>
    </w:p>
    <w:p>
      <w:pPr>
        <w:spacing w:after="120"/>
        <w:ind w:left="259"/>
      </w:pPr>
      <w:r>
        <w:rPr>
          <w:b/>
          <w:color w:val="1D4ED8"/>
          <w:sz w:val="18"/>
        </w:rPr>
        <w:t xml:space="preserve">Suggested answer:  </w:t>
      </w:r>
      <w:r>
        <w:rPr>
          <w:sz w:val="21"/>
        </w:rPr>
        <w:t>Do not overclaim. The correct answer is that these are descriptive frequency counts, not inferential statistics — there is no significance test, and none is claimed. At current volume they indicate where to look first, which is what a decision-support tool at this scale should do. Say what would be needed to make a stronger claim: a longer collection period, and a test appropriate to categorical counts such as a chi-square test of independence between purok and issue type. Knowing what you would need in order to claim more is exactly what distinguishes a considered answer.</w:t>
      </w:r>
    </w:p>
    <w:p>
      <w:pPr>
        <w:keepNext/>
        <w:spacing w:before="240" w:after="80"/>
      </w:pPr>
      <w:r>
        <w:rPr>
          <w:b/>
          <w:color w:val="1D4ED8"/>
          <w:sz w:val="22"/>
        </w:rPr>
        <w:t xml:space="preserve">F5.  </w:t>
      </w:r>
      <w:r>
        <w:rPr>
          <w:b/>
          <w:color w:val="142A5C"/>
          <w:sz w:val="22"/>
        </w:rPr>
        <w:t>Your reports store occurred_at as a TIME rather than a DATETIME. What does that lose?</w:t>
      </w:r>
    </w:p>
    <w:p>
      <w:pPr>
        <w:spacing w:after="120"/>
        <w:ind w:left="259"/>
      </w:pPr>
      <w:r>
        <w:rPr>
          <w:b/>
          <w:color w:val="5C6B82"/>
          <w:sz w:val="18"/>
        </w:rPr>
        <w:t xml:space="preserve">What they are testing:  </w:t>
      </w:r>
      <w:r>
        <w:rPr>
          <w:sz w:val="21"/>
        </w:rPr>
        <w:t>Close reading of your schema. It is a real modelling issue.</w:t>
      </w:r>
    </w:p>
    <w:p>
      <w:pPr>
        <w:spacing w:after="120"/>
        <w:ind w:left="259"/>
      </w:pPr>
      <w:r>
        <w:rPr>
          <w:b/>
          <w:color w:val="1D4ED8"/>
          <w:sz w:val="18"/>
        </w:rPr>
        <w:t xml:space="preserve">Suggested answer:  </w:t>
      </w:r>
      <w:r>
        <w:rPr>
          <w:sz w:val="21"/>
        </w:rPr>
        <w:t>It stores the time of day without the date. The report's own created_at gives when it was filed, so the pairing is usable in practice, but if a resident reports this morning an issue that occurred yesterday evening, the occurrence date is not recorded and the report is attributed to the wrong day. Concede that a DATETIME would be the more correct type and that the current design assumes reports are filed close to the event. It is a small change to the schema and the more defensible model.</w:t>
      </w:r>
    </w:p>
    <w:p>
      <w:pPr>
        <w:keepNext/>
        <w:spacing w:before="240" w:after="80"/>
      </w:pPr>
      <w:r>
        <w:rPr>
          <w:b/>
          <w:color w:val="1D4ED8"/>
          <w:sz w:val="22"/>
        </w:rPr>
        <w:t xml:space="preserve">F6.  </w:t>
      </w:r>
      <w:r>
        <w:rPr>
          <w:b/>
          <w:color w:val="142A5C"/>
          <w:sz w:val="22"/>
        </w:rPr>
        <w:t>Two staff members record a TDS reading for the same household on the same day and the values differ. What does your system do?</w:t>
      </w:r>
    </w:p>
    <w:p>
      <w:pPr>
        <w:spacing w:after="120"/>
        <w:ind w:left="259"/>
      </w:pPr>
      <w:r>
        <w:rPr>
          <w:b/>
          <w:color w:val="5C6B82"/>
          <w:sz w:val="18"/>
        </w:rPr>
        <w:t xml:space="preserve">What they are testing:  </w:t>
      </w:r>
      <w:r>
        <w:rPr>
          <w:sz w:val="21"/>
        </w:rPr>
        <w:t>Data conflict handling.</w:t>
      </w:r>
    </w:p>
    <w:p>
      <w:pPr>
        <w:spacing w:after="120"/>
        <w:ind w:left="259"/>
      </w:pPr>
      <w:r>
        <w:rPr>
          <w:b/>
          <w:color w:val="1D4ED8"/>
          <w:sz w:val="18"/>
        </w:rPr>
        <w:t xml:space="preserve">Suggested answer:  </w:t>
      </w:r>
      <w:r>
        <w:rPr>
          <w:sz w:val="21"/>
        </w:rPr>
        <w:t>Both are stored — readings are an append-only time series with a recorded timestamp and the recording staff member, and there is no unique constraint preventing same-day duplicates. That is defensible: two genuine samples taken hours apart are legitimately different data points, and averaging them away would destroy information. What the system does not do is detect and surface the discrepancy. Offering that as an improvement — flagging same-day readings that diverge beyond a threshold for confirmation — is a good answer.</w:t>
      </w:r>
    </w:p>
    <w:p>
      <w:pPr>
        <w:keepNext/>
        <w:spacing w:before="240" w:after="80"/>
      </w:pPr>
      <w:r>
        <w:rPr>
          <w:b/>
          <w:color w:val="1D4ED8"/>
          <w:sz w:val="22"/>
        </w:rPr>
        <w:t xml:space="preserve">F7.  </w:t>
      </w:r>
      <w:r>
        <w:rPr>
          <w:b/>
          <w:color w:val="142A5C"/>
          <w:sz w:val="22"/>
        </w:rPr>
        <w:t>Why is household number unique per purok rather than globally?</w:t>
      </w:r>
    </w:p>
    <w:p>
      <w:pPr>
        <w:spacing w:after="120"/>
        <w:ind w:left="259"/>
      </w:pPr>
      <w:r>
        <w:rPr>
          <w:b/>
          <w:color w:val="5C6B82"/>
          <w:sz w:val="18"/>
        </w:rPr>
        <w:t xml:space="preserve">What they are testing:  </w:t>
      </w:r>
      <w:r>
        <w:rPr>
          <w:sz w:val="21"/>
        </w:rPr>
        <w:t>Whether you understood the local domain. This one you can answer well.</w:t>
      </w:r>
    </w:p>
    <w:p>
      <w:pPr>
        <w:spacing w:after="120"/>
        <w:ind w:left="259"/>
      </w:pPr>
      <w:r>
        <w:rPr>
          <w:b/>
          <w:color w:val="1D4ED8"/>
          <w:sz w:val="18"/>
        </w:rPr>
        <w:t xml:space="preserve">Suggested answer:  </w:t>
      </w:r>
      <w:r>
        <w:rPr>
          <w:sz w:val="21"/>
        </w:rPr>
        <w:t>Because that reflects how numbering actually works in the barangay — each purok maintains its own household numbering, so household 21 exists in more than one purok and both are legitimate. A global unique constraint would have been wrong and would have blocked valid registrations. The schema uses a composite unique key across household number and purok, which permits the real case and blocks the actual duplicate. This came out of a real defect where duplicates were being created because uniqueness was assumed in application code but never enforced by the database.</w:t>
      </w:r>
    </w:p>
    <w:p/>
    <w:p>
      <w:r>
        <w:br w:type="page"/>
      </w:r>
    </w:p>
    <w:p>
      <w:pPr>
        <w:pStyle w:val="Heading1"/>
        <w:spacing w:before="0" w:after="40"/>
      </w:pPr>
      <w:r>
        <w:t>G. Testing and Evaluation</w:t>
      </w:r>
    </w:p>
    <w:p>
      <w:pPr>
        <w:spacing w:before="0" w:after="200"/>
      </w:pPr>
      <w:r>
        <w:rPr>
          <w:b w:val="0"/>
          <w:i/>
          <w:color w:val="5C6B82"/>
          <w:sz w:val="20"/>
        </w:rPr>
        <w:t>Where student capstones are usually weakest, and panels know it.</w:t>
      </w:r>
    </w:p>
    <w:p>
      <w:pPr>
        <w:keepNext/>
        <w:spacing w:before="240" w:after="80"/>
      </w:pPr>
      <w:r>
        <w:rPr>
          <w:b/>
          <w:color w:val="1D4ED8"/>
          <w:sz w:val="22"/>
        </w:rPr>
        <w:t xml:space="preserve">G1.  </w:t>
      </w:r>
      <w:r>
        <w:rPr>
          <w:b/>
          <w:color w:val="142A5C"/>
          <w:sz w:val="22"/>
        </w:rPr>
        <w:t>How did you test this? I see no test framework in either package file.</w:t>
      </w:r>
    </w:p>
    <w:p>
      <w:pPr>
        <w:spacing w:after="120"/>
        <w:ind w:left="259"/>
      </w:pPr>
      <w:r>
        <w:rPr>
          <w:b/>
          <w:color w:val="5C6B82"/>
          <w:sz w:val="18"/>
        </w:rPr>
        <w:t xml:space="preserve">What they are testing:  </w:t>
      </w:r>
      <w:r>
        <w:rPr>
          <w:sz w:val="21"/>
        </w:rPr>
        <w:t>Whether you can describe your actual process honestly. There are no automated tests in this repository.</w:t>
      </w:r>
    </w:p>
    <w:p>
      <w:pPr>
        <w:spacing w:after="120"/>
        <w:ind w:left="259"/>
      </w:pPr>
      <w:r>
        <w:rPr>
          <w:b/>
          <w:color w:val="1D4ED8"/>
          <w:sz w:val="18"/>
        </w:rPr>
        <w:t xml:space="preserve">Suggested answer:  </w:t>
      </w:r>
      <w:r>
        <w:rPr>
          <w:sz w:val="21"/>
        </w:rPr>
        <w:t>Do not claim tests you do not have — it is trivially checkable. Describe what you actually did: manual functional testing per feature and per role, verification of each role's access boundaries by attempting them, and testing against the deployed environment rather than only locally, which is how several production-only defects were found. Then name the gap: there is no automated regression suite, so every change is re-verified by hand, and confidence rests on that discipline. Say what you would add first — endpoint tests for the authentication and authorization middleware, because those are the highest-risk and most testable parts.</w:t>
      </w:r>
    </w:p>
    <w:p>
      <w:pPr>
        <w:spacing w:after="120"/>
        <w:ind w:left="259"/>
      </w:pPr>
      <w:r>
        <w:rPr>
          <w:b/>
          <w:color w:val="1D4ED8"/>
          <w:sz w:val="18"/>
        </w:rPr>
        <w:t xml:space="preserve">If they press further:  </w:t>
      </w:r>
      <w:r>
        <w:rPr>
          <w:sz w:val="21"/>
        </w:rPr>
        <w:t>Turn it into a strength where you honestly can: the cookie-domain and rate-limiter defects were only reproducible in the deployed environment, which is a real finding about the limits of local testing.</w:t>
      </w:r>
    </w:p>
    <w:p>
      <w:pPr>
        <w:keepNext/>
        <w:spacing w:before="240" w:after="80"/>
      </w:pPr>
      <w:r>
        <w:rPr>
          <w:b/>
          <w:color w:val="1D4ED8"/>
          <w:sz w:val="22"/>
        </w:rPr>
        <w:t xml:space="preserve">G2.  </w:t>
      </w:r>
      <w:r>
        <w:rPr>
          <w:b/>
          <w:color w:val="142A5C"/>
          <w:sz w:val="22"/>
        </w:rPr>
        <w:t>What was your evaluation instrument, and what were the results?</w:t>
      </w:r>
    </w:p>
    <w:p>
      <w:pPr>
        <w:spacing w:after="120"/>
        <w:ind w:left="259"/>
      </w:pPr>
      <w:r>
        <w:rPr>
          <w:b/>
          <w:color w:val="5C6B82"/>
          <w:sz w:val="18"/>
        </w:rPr>
        <w:t xml:space="preserve">What they are testing:  </w:t>
      </w:r>
      <w:r>
        <w:rPr>
          <w:sz w:val="21"/>
        </w:rPr>
        <w:t>Research methodology. This will be asked.</w:t>
      </w:r>
    </w:p>
    <w:p>
      <w:pPr>
        <w:spacing w:after="120"/>
        <w:ind w:left="259"/>
      </w:pPr>
      <w:r>
        <w:rPr>
          <w:b/>
          <w:color w:val="1D4ED8"/>
          <w:sz w:val="18"/>
        </w:rPr>
        <w:t xml:space="preserve">Suggested answer:  </w:t>
      </w:r>
      <w:r>
        <w:rPr>
          <w:sz w:val="21"/>
        </w:rPr>
        <w:t>FILL IN from your paper. Be ready to name the model or standard you evaluated against — ISO/IEC 25010 is the usual choice for software product quality — the specific characteristics you measured, the instrument you used, the scale, and the mean scores with their interpretation. Know your respondent count and how they were selected.</w:t>
      </w:r>
    </w:p>
    <w:p>
      <w:pPr>
        <w:keepNext/>
        <w:spacing w:before="240" w:after="80"/>
      </w:pPr>
      <w:r>
        <w:rPr>
          <w:b/>
          <w:color w:val="1D4ED8"/>
          <w:sz w:val="22"/>
        </w:rPr>
        <w:t xml:space="preserve">G3.  </w:t>
      </w:r>
      <w:r>
        <w:rPr>
          <w:b/>
          <w:color w:val="142A5C"/>
          <w:sz w:val="22"/>
        </w:rPr>
        <w:t>Who were your respondents, and were they the actual users?</w:t>
      </w:r>
    </w:p>
    <w:p>
      <w:pPr>
        <w:spacing w:after="120"/>
        <w:ind w:left="259"/>
      </w:pPr>
      <w:r>
        <w:rPr>
          <w:b/>
          <w:color w:val="5C6B82"/>
          <w:sz w:val="18"/>
        </w:rPr>
        <w:t xml:space="preserve">What they are testing:  </w:t>
      </w:r>
      <w:r>
        <w:rPr>
          <w:sz w:val="21"/>
        </w:rPr>
        <w:t>Validity of the evaluation. Panels press on this because the answer is often 'classmates'.</w:t>
      </w:r>
    </w:p>
    <w:p>
      <w:pPr>
        <w:spacing w:after="120"/>
        <w:ind w:left="259"/>
      </w:pPr>
      <w:r>
        <w:rPr>
          <w:b/>
          <w:color w:val="1D4ED8"/>
          <w:sz w:val="18"/>
        </w:rPr>
        <w:t xml:space="preserve">Suggested answer:  </w:t>
      </w:r>
      <w:r>
        <w:rPr>
          <w:sz w:val="21"/>
        </w:rPr>
        <w:t>FILL IN honestly. If barangay officials, staff, and residents evaluated it, say how many of each — that is a strong answer. If the respondents were largely fellow students, do not dress it up; state it and acknowledge the limitation for external validity, since a student's usability judgement does not predict a barangay secretary's. A clearly stated limitation is defensible; a misrepresented sample is not.</w:t>
      </w:r>
    </w:p>
    <w:p>
      <w:pPr>
        <w:keepNext/>
        <w:spacing w:before="240" w:after="80"/>
      </w:pPr>
      <w:r>
        <w:rPr>
          <w:b/>
          <w:color w:val="1D4ED8"/>
          <w:sz w:val="22"/>
        </w:rPr>
        <w:t xml:space="preserve">G4.  </w:t>
      </w:r>
      <w:r>
        <w:rPr>
          <w:b/>
          <w:color w:val="142A5C"/>
          <w:sz w:val="22"/>
        </w:rPr>
        <w:t>How do you know a change did not break something that used to work?</w:t>
      </w:r>
    </w:p>
    <w:p>
      <w:pPr>
        <w:spacing w:after="120"/>
        <w:ind w:left="259"/>
      </w:pPr>
      <w:r>
        <w:rPr>
          <w:b/>
          <w:color w:val="5C6B82"/>
          <w:sz w:val="18"/>
        </w:rPr>
        <w:t xml:space="preserve">What they are testing:  </w:t>
      </w:r>
      <w:r>
        <w:rPr>
          <w:sz w:val="21"/>
        </w:rPr>
        <w:t>Regression risk — the practical consequence of having no automated tests.</w:t>
      </w:r>
    </w:p>
    <w:p>
      <w:pPr>
        <w:spacing w:after="120"/>
        <w:ind w:left="259"/>
      </w:pPr>
      <w:r>
        <w:rPr>
          <w:b/>
          <w:color w:val="1D4ED8"/>
          <w:sz w:val="18"/>
        </w:rPr>
        <w:t xml:space="preserve">Suggested answer:  </w:t>
      </w:r>
      <w:r>
        <w:rPr>
          <w:sz w:val="21"/>
        </w:rPr>
        <w:t>Concede it directly: we do not know automatically. The controls that do exist are that the build and the linter run on every change and catch syntax and import errors, features are re-verified manually after related changes, and version control makes any change reversible. That is a discipline, not a guarantee, and as the system grows the manual approach stops scaling. This is the honest answer and it is better received than a claim of coverage that does not exist.</w:t>
      </w:r>
    </w:p>
    <w:p>
      <w:pPr>
        <w:keepNext/>
        <w:spacing w:before="240" w:after="80"/>
      </w:pPr>
      <w:r>
        <w:rPr>
          <w:b/>
          <w:color w:val="1D4ED8"/>
          <w:sz w:val="22"/>
        </w:rPr>
        <w:t xml:space="preserve">G5.  </w:t>
      </w:r>
      <w:r>
        <w:rPr>
          <w:b/>
          <w:color w:val="142A5C"/>
          <w:sz w:val="22"/>
        </w:rPr>
        <w:t>Did you do any security testing, or is the security section of your paper a description of intent?</w:t>
      </w:r>
    </w:p>
    <w:p>
      <w:pPr>
        <w:spacing w:after="120"/>
        <w:ind w:left="259"/>
      </w:pPr>
      <w:r>
        <w:rPr>
          <w:b/>
          <w:color w:val="5C6B82"/>
          <w:sz w:val="18"/>
        </w:rPr>
        <w:t xml:space="preserve">What they are testing:  </w:t>
      </w:r>
      <w:r>
        <w:rPr>
          <w:sz w:val="21"/>
        </w:rPr>
        <w:t>Directly probing the gap between claim and verification — which is where your access-control defects live.</w:t>
      </w:r>
    </w:p>
    <w:p>
      <w:pPr>
        <w:spacing w:after="120"/>
        <w:ind w:left="259"/>
      </w:pPr>
      <w:r>
        <w:rPr>
          <w:b/>
          <w:color w:val="1D4ED8"/>
          <w:sz w:val="18"/>
        </w:rPr>
        <w:t xml:space="preserve">Suggested answer:  </w:t>
      </w:r>
      <w:r>
        <w:rPr>
          <w:sz w:val="21"/>
        </w:rPr>
        <w:t>This is the question that most rewards having audited your own system first. The strong answer is that a review was carried out against the routes and controllers, that it found specific access-control gaps — the unauthenticated household routes, the missing ownership checks on reports and TDS readings, and the trust-boundary error in report submission — and that these are documented with fixes. Being able to hand the panel your own findings list reframes the entire exchange: you become the person who audited the system rather than the person it was audited against.</w:t>
      </w:r>
    </w:p>
    <w:p/>
    <w:p>
      <w:r>
        <w:br w:type="page"/>
      </w:r>
    </w:p>
    <w:p>
      <w:pPr>
        <w:pStyle w:val="Heading1"/>
        <w:spacing w:before="0" w:after="40"/>
      </w:pPr>
      <w:r>
        <w:t>H. Deployment, Cost, and Sustainability</w:t>
      </w:r>
    </w:p>
    <w:p>
      <w:pPr>
        <w:spacing w:before="0" w:after="200"/>
      </w:pPr>
      <w:r>
        <w:rPr>
          <w:b w:val="0"/>
          <w:i/>
          <w:color w:val="5C6B82"/>
          <w:sz w:val="20"/>
        </w:rPr>
        <w:t>Whether this survives your graduation. Panels care about this more than students expect.</w:t>
      </w:r>
    </w:p>
    <w:p>
      <w:pPr>
        <w:keepNext/>
        <w:spacing w:before="240" w:after="80"/>
      </w:pPr>
      <w:r>
        <w:rPr>
          <w:b/>
          <w:color w:val="1D4ED8"/>
          <w:sz w:val="22"/>
        </w:rPr>
        <w:t xml:space="preserve">H1.  </w:t>
      </w:r>
      <w:r>
        <w:rPr>
          <w:b/>
          <w:color w:val="142A5C"/>
          <w:sz w:val="22"/>
        </w:rPr>
        <w:t>Who maintains this after you graduate?</w:t>
      </w:r>
    </w:p>
    <w:p>
      <w:pPr>
        <w:spacing w:after="120"/>
        <w:ind w:left="259"/>
      </w:pPr>
      <w:r>
        <w:rPr>
          <w:b/>
          <w:color w:val="5C6B82"/>
          <w:sz w:val="18"/>
        </w:rPr>
        <w:t xml:space="preserve">What they are testing:  </w:t>
      </w:r>
      <w:r>
        <w:rPr>
          <w:sz w:val="21"/>
        </w:rPr>
        <w:t>Sustainability. Very commonly asked and frequently unanswered.</w:t>
      </w:r>
    </w:p>
    <w:p>
      <w:pPr>
        <w:spacing w:after="120"/>
        <w:ind w:left="259"/>
      </w:pPr>
      <w:r>
        <w:rPr>
          <w:b/>
          <w:color w:val="1D4ED8"/>
          <w:sz w:val="18"/>
        </w:rPr>
        <w:t xml:space="preserve">Suggested answer:  </w:t>
      </w:r>
      <w:r>
        <w:rPr>
          <w:sz w:val="21"/>
        </w:rPr>
        <w:t>FILL IN with your actual arrangement — whether the barangay has designated anyone, whether the source and credentials are handed over, whether documentation exists, and whether your group has committed to a support period. If there is no plan, saying so honestly along with what a handover would require is better than improvising an arrangement nobody agreed to.</w:t>
      </w:r>
    </w:p>
    <w:p>
      <w:pPr>
        <w:keepNext/>
        <w:spacing w:before="240" w:after="80"/>
      </w:pPr>
      <w:r>
        <w:rPr>
          <w:b/>
          <w:color w:val="1D4ED8"/>
          <w:sz w:val="22"/>
        </w:rPr>
        <w:t xml:space="preserve">H2.  </w:t>
      </w:r>
      <w:r>
        <w:rPr>
          <w:b/>
          <w:color w:val="142A5C"/>
          <w:sz w:val="22"/>
        </w:rPr>
        <w:t>What does it cost to operate for a year, and who pays?</w:t>
      </w:r>
    </w:p>
    <w:p>
      <w:pPr>
        <w:spacing w:after="120"/>
        <w:ind w:left="259"/>
      </w:pPr>
      <w:r>
        <w:rPr>
          <w:b/>
          <w:color w:val="5C6B82"/>
          <w:sz w:val="18"/>
        </w:rPr>
        <w:t xml:space="preserve">What they are testing:  </w:t>
      </w:r>
      <w:r>
        <w:rPr>
          <w:sz w:val="21"/>
        </w:rPr>
        <w:t>Practical viability. A system a barangay cannot afford is a prototype, not a solution.</w:t>
      </w:r>
    </w:p>
    <w:p>
      <w:pPr>
        <w:spacing w:after="120"/>
        <w:ind w:left="259"/>
      </w:pPr>
      <w:r>
        <w:rPr>
          <w:b/>
          <w:color w:val="1D4ED8"/>
          <w:sz w:val="18"/>
        </w:rPr>
        <w:t xml:space="preserve">Suggested answer:  </w:t>
      </w:r>
      <w:r>
        <w:rPr>
          <w:sz w:val="21"/>
        </w:rPr>
        <w:t>FILL IN with real figures: domain registration annually, hosting for the API and database, and the email service — noting which currently run on free tiers. Then answer the question behind it: what happens when a free tier ends or the usage limits are exceeded. Knowing the number, and knowing which parts are currently free because they are small, is what makes this answer credible.</w:t>
      </w:r>
    </w:p>
    <w:p>
      <w:pPr>
        <w:keepNext/>
        <w:spacing w:before="240" w:after="80"/>
      </w:pPr>
      <w:r>
        <w:rPr>
          <w:b/>
          <w:color w:val="1D4ED8"/>
          <w:sz w:val="22"/>
        </w:rPr>
        <w:t xml:space="preserve">H3.  </w:t>
      </w:r>
      <w:r>
        <w:rPr>
          <w:b/>
          <w:color w:val="142A5C"/>
          <w:sz w:val="22"/>
        </w:rPr>
        <w:t>Your database is on a managed host. What is your backup and recovery plan?</w:t>
      </w:r>
    </w:p>
    <w:p>
      <w:pPr>
        <w:spacing w:after="120"/>
        <w:ind w:left="259"/>
      </w:pPr>
      <w:r>
        <w:rPr>
          <w:b/>
          <w:color w:val="5C6B82"/>
          <w:sz w:val="18"/>
        </w:rPr>
        <w:t xml:space="preserve">What they are testing:  </w:t>
      </w:r>
      <w:r>
        <w:rPr>
          <w:sz w:val="21"/>
        </w:rPr>
        <w:t>Operational maturity. For a system of record holding residents' data, this matters.</w:t>
      </w:r>
    </w:p>
    <w:p>
      <w:pPr>
        <w:spacing w:after="120"/>
        <w:ind w:left="259"/>
      </w:pPr>
      <w:r>
        <w:rPr>
          <w:b/>
          <w:color w:val="1D4ED8"/>
          <w:sz w:val="18"/>
        </w:rPr>
        <w:t xml:space="preserve">Suggested answer:  </w:t>
      </w:r>
      <w:r>
        <w:rPr>
          <w:sz w:val="21"/>
        </w:rPr>
        <w:t>FILL IN with the actual arrangement — whether the host takes automated backups, at what frequency, how long they are retained, and whether anyone has ever performed a restore. If no restore has been tested, say so; an untested backup is an assumption rather than a plan. Note also that soft delete provides recovery from accidental deletion but is not a backup, because it does not protect against database loss.</w:t>
      </w:r>
    </w:p>
    <w:p>
      <w:pPr>
        <w:keepNext/>
        <w:spacing w:before="240" w:after="80"/>
      </w:pPr>
      <w:r>
        <w:rPr>
          <w:b/>
          <w:color w:val="1D4ED8"/>
          <w:sz w:val="22"/>
        </w:rPr>
        <w:t xml:space="preserve">H4.  </w:t>
      </w:r>
      <w:r>
        <w:rPr>
          <w:b/>
          <w:color w:val="142A5C"/>
          <w:sz w:val="22"/>
        </w:rPr>
        <w:t>Can barangay staff actually operate this? Is there a manual, and was there training?</w:t>
      </w:r>
    </w:p>
    <w:p>
      <w:pPr>
        <w:spacing w:after="120"/>
        <w:ind w:left="259"/>
      </w:pPr>
      <w:r>
        <w:rPr>
          <w:b/>
          <w:color w:val="5C6B82"/>
          <w:sz w:val="18"/>
        </w:rPr>
        <w:t xml:space="preserve">What they are testing:  </w:t>
      </w:r>
      <w:r>
        <w:rPr>
          <w:sz w:val="21"/>
        </w:rPr>
        <w:t>Adoption. Technically excellent systems fail here routinely.</w:t>
      </w:r>
    </w:p>
    <w:p>
      <w:pPr>
        <w:spacing w:after="120"/>
        <w:ind w:left="259"/>
      </w:pPr>
      <w:r>
        <w:rPr>
          <w:b/>
          <w:color w:val="1D4ED8"/>
          <w:sz w:val="18"/>
        </w:rPr>
        <w:t xml:space="preserve">Suggested answer:  </w:t>
      </w:r>
      <w:r>
        <w:rPr>
          <w:sz w:val="21"/>
        </w:rPr>
        <w:t>FILL IN with your actual user documentation and training. Be specific about what exists — a user manual, a walkthrough session, a printed quick reference — and who received it. If the interface required explanation during evaluation, say which parts, because that is an honest usability finding rather than a failure.</w:t>
      </w:r>
    </w:p>
    <w:p>
      <w:pPr>
        <w:keepNext/>
        <w:spacing w:before="240" w:after="80"/>
      </w:pPr>
      <w:r>
        <w:rPr>
          <w:b/>
          <w:color w:val="1D4ED8"/>
          <w:sz w:val="22"/>
        </w:rPr>
        <w:t xml:space="preserve">H5.  </w:t>
      </w:r>
      <w:r>
        <w:rPr>
          <w:b/>
          <w:color w:val="142A5C"/>
          <w:sz w:val="22"/>
        </w:rPr>
        <w:t>What happens at five thousand households instead of a few dozen?</w:t>
      </w:r>
    </w:p>
    <w:p>
      <w:pPr>
        <w:spacing w:after="120"/>
        <w:ind w:left="259"/>
      </w:pPr>
      <w:r>
        <w:rPr>
          <w:b/>
          <w:color w:val="5C6B82"/>
          <w:sz w:val="18"/>
        </w:rPr>
        <w:t xml:space="preserve">What they are testing:  </w:t>
      </w:r>
      <w:r>
        <w:rPr>
          <w:sz w:val="21"/>
        </w:rPr>
        <w:t>Scalability reasoning. You are not expected to have load-tested; you are expected to reason.</w:t>
      </w:r>
    </w:p>
    <w:p>
      <w:pPr>
        <w:spacing w:after="120"/>
        <w:ind w:left="259"/>
      </w:pPr>
      <w:r>
        <w:rPr>
          <w:b/>
          <w:color w:val="1D4ED8"/>
          <w:sz w:val="18"/>
        </w:rPr>
        <w:t xml:space="preserve">Suggested answer:  </w:t>
      </w:r>
      <w:r>
        <w:rPr>
          <w:sz w:val="21"/>
        </w:rPr>
        <w:t>Reason through it concretely rather than answering 'it will scale'. The schema is indexed for the access patterns that matter — composite indexes on household with recorded-at for readings and household with created-at for reports, plus indexes on status and issue type — so the aggregate queries stay index-supported as rows grow. The connection pool is capped at ten, which is the first thing that would need raising. The genuine weak points are the list endpoints, which return full result sets without pagination and would need it, and the Visualization page, which aggregates in SQL but renders every point in the browser. Naming the specific bottleneck is what makes this answer credible.</w:t>
      </w:r>
    </w:p>
    <w:p>
      <w:pPr>
        <w:keepNext/>
        <w:spacing w:before="240" w:after="80"/>
      </w:pPr>
      <w:r>
        <w:rPr>
          <w:b/>
          <w:color w:val="1D4ED8"/>
          <w:sz w:val="22"/>
        </w:rPr>
        <w:t xml:space="preserve">H6.  </w:t>
      </w:r>
      <w:r>
        <w:rPr>
          <w:b/>
          <w:color w:val="142A5C"/>
          <w:sz w:val="22"/>
        </w:rPr>
        <w:t>Your frontend and API are on different hosts under different subdomains. Why the added complexity?</w:t>
      </w:r>
    </w:p>
    <w:p>
      <w:pPr>
        <w:spacing w:after="120"/>
        <w:ind w:left="259"/>
      </w:pPr>
      <w:r>
        <w:rPr>
          <w:b/>
          <w:color w:val="5C6B82"/>
          <w:sz w:val="18"/>
        </w:rPr>
        <w:t xml:space="preserve">What they are testing:  </w:t>
      </w:r>
      <w:r>
        <w:rPr>
          <w:sz w:val="21"/>
        </w:rPr>
        <w:t>Deployment reasoning — and it connects to your most interesting bug.</w:t>
      </w:r>
    </w:p>
    <w:p>
      <w:pPr>
        <w:spacing w:after="120"/>
        <w:ind w:left="259"/>
      </w:pPr>
      <w:r>
        <w:rPr>
          <w:b/>
          <w:color w:val="1D4ED8"/>
          <w:sz w:val="18"/>
        </w:rPr>
        <w:t xml:space="preserve">Suggested answer:  </w:t>
      </w:r>
      <w:r>
        <w:rPr>
          <w:sz w:val="21"/>
        </w:rPr>
        <w:t>The frontend is a static bundle, best served from a CDN-backed static host; the API is a long-running Node process needing a database connection. They are different workloads with different scaling and deployment characteristics, so separating them is the appropriate structure. Be candid about the cost, because the story is a good one: the split caused a production-only failure where every write returned 403, because a cookie set without an explicit domain is host-only, so a page on the apex domain could not read the CSRF token issued by the API subdomain. It worked locally because both sides share localhost. The fix was to scope that cookie to the parent domain.</w:t>
      </w:r>
    </w:p>
    <w:p/>
    <w:p>
      <w:r>
        <w:br w:type="page"/>
      </w:r>
    </w:p>
    <w:p>
      <w:pPr>
        <w:pStyle w:val="Heading1"/>
        <w:spacing w:before="0" w:after="40"/>
      </w:pPr>
      <w:r>
        <w:t>I. Reflection</w:t>
      </w:r>
    </w:p>
    <w:p>
      <w:pPr>
        <w:spacing w:before="0" w:after="200"/>
      </w:pPr>
      <w:r>
        <w:rPr>
          <w:b w:val="0"/>
          <w:i/>
          <w:color w:val="5C6B82"/>
          <w:sz w:val="20"/>
        </w:rPr>
        <w:t>Almost always asked, almost always answered badly. Prepare these as carefully as the technical ones.</w:t>
      </w:r>
    </w:p>
    <w:p>
      <w:pPr>
        <w:keepNext/>
        <w:spacing w:before="240" w:after="80"/>
      </w:pPr>
      <w:r>
        <w:rPr>
          <w:b/>
          <w:color w:val="1D4ED8"/>
          <w:sz w:val="22"/>
        </w:rPr>
        <w:t xml:space="preserve">I1.  </w:t>
      </w:r>
      <w:r>
        <w:rPr>
          <w:b/>
          <w:color w:val="142A5C"/>
          <w:sz w:val="22"/>
        </w:rPr>
        <w:t>What was the hardest problem you encountered, and how did you solve it?</w:t>
      </w:r>
    </w:p>
    <w:p>
      <w:pPr>
        <w:spacing w:after="120"/>
        <w:ind w:left="259"/>
      </w:pPr>
      <w:r>
        <w:rPr>
          <w:b/>
          <w:color w:val="5C6B82"/>
          <w:sz w:val="18"/>
        </w:rPr>
        <w:t xml:space="preserve">What they are testing:  </w:t>
      </w:r>
      <w:r>
        <w:rPr>
          <w:sz w:val="21"/>
        </w:rPr>
        <w:t>Whether you can explain a cause rather than recite a symptom. Choose a problem with real depth.</w:t>
      </w:r>
    </w:p>
    <w:p>
      <w:pPr>
        <w:spacing w:after="120"/>
        <w:ind w:left="259"/>
      </w:pPr>
      <w:r>
        <w:rPr>
          <w:b/>
          <w:color w:val="1D4ED8"/>
          <w:sz w:val="18"/>
        </w:rPr>
        <w:t xml:space="preserve">Suggested answer:  </w:t>
      </w:r>
      <w:r>
        <w:rPr>
          <w:sz w:val="21"/>
        </w:rPr>
        <w:t>Use the production-only CSRF failure — it has the best structure. Everything passed locally; on the live site every write returned 403. The cause was that the frontend sits on the apex domain and the API on a subdomain, and a cookie set without an explicit Domain attribute is host-only — so the page could not read the CSRF cookie it was required to echo back. Locally both sides share localhost, so the entire class of bug is invisible in development. The fix was a cookie-domain configuration scoping that cookie to the parent domain. It then surfaced a second-order problem: browsers that had visited earlier still held the old host-only cookie, and since a host-only and a domain-scoped cookie of the same name are two distinct cookies, the parser kept the stale one and the 403 persisted through re-login. That required explicitly expiring the legacy variant.</w:t>
      </w:r>
    </w:p>
    <w:p>
      <w:pPr>
        <w:spacing w:after="120"/>
        <w:ind w:left="259"/>
      </w:pPr>
      <w:r>
        <w:rPr>
          <w:b/>
          <w:color w:val="1D4ED8"/>
          <w:sz w:val="18"/>
        </w:rPr>
        <w:t xml:space="preserve">If they press further:  </w:t>
      </w:r>
      <w:r>
        <w:rPr>
          <w:sz w:val="21"/>
        </w:rPr>
        <w:t>The lesson to state: localhost hides an entire category of cookie behaviour, and 'works on my machine' has a specific technical meaning here rather than being a joke.</w:t>
      </w:r>
    </w:p>
    <w:p>
      <w:pPr>
        <w:keepNext/>
        <w:spacing w:before="240" w:after="80"/>
      </w:pPr>
      <w:r>
        <w:rPr>
          <w:b/>
          <w:color w:val="1D4ED8"/>
          <w:sz w:val="22"/>
        </w:rPr>
        <w:t xml:space="preserve">I2.  </w:t>
      </w:r>
      <w:r>
        <w:rPr>
          <w:b/>
          <w:color w:val="142A5C"/>
          <w:sz w:val="22"/>
        </w:rPr>
        <w:t>What would you do differently if you started again?</w:t>
      </w:r>
    </w:p>
    <w:p>
      <w:pPr>
        <w:spacing w:after="120"/>
        <w:ind w:left="259"/>
      </w:pPr>
      <w:r>
        <w:rPr>
          <w:b/>
          <w:color w:val="5C6B82"/>
          <w:sz w:val="18"/>
        </w:rPr>
        <w:t xml:space="preserve">What they are testing:  </w:t>
      </w:r>
      <w:r>
        <w:rPr>
          <w:sz w:val="21"/>
        </w:rPr>
        <w:t>Self-assessment. A candidate who says 'nothing' is not credible.</w:t>
      </w:r>
    </w:p>
    <w:p>
      <w:pPr>
        <w:spacing w:after="120"/>
        <w:ind w:left="259"/>
      </w:pPr>
      <w:r>
        <w:rPr>
          <w:b/>
          <w:color w:val="1D4ED8"/>
          <w:sz w:val="18"/>
        </w:rPr>
        <w:t xml:space="preserve">Suggested answer:  </w:t>
      </w:r>
      <w:r>
        <w:rPr>
          <w:sz w:val="21"/>
        </w:rPr>
        <w:t>Have two or three specific answers ready rather than a general regret. Defensible ones grounded in this system: apply authentication and authorization as a route-level convention from the first endpoint rather than adding middleware later and retrofitting it unevenly — that single decision would have prevented the most serious defects here. Write the deployment configuration early, because several defects existed only in the deployed environment and were found late. And build a minimal test suite around the authentication and authorization middleware, because those are the highest-risk and most testable parts of the system.</w:t>
      </w:r>
    </w:p>
    <w:p>
      <w:pPr>
        <w:keepNext/>
        <w:spacing w:before="240" w:after="80"/>
      </w:pPr>
      <w:r>
        <w:rPr>
          <w:b/>
          <w:color w:val="1D4ED8"/>
          <w:sz w:val="22"/>
        </w:rPr>
        <w:t xml:space="preserve">I3.  </w:t>
      </w:r>
      <w:r>
        <w:rPr>
          <w:b/>
          <w:color w:val="142A5C"/>
          <w:sz w:val="22"/>
        </w:rPr>
        <w:t>What is the biggest weakness of your system right now?</w:t>
      </w:r>
    </w:p>
    <w:p>
      <w:pPr>
        <w:spacing w:after="120"/>
        <w:ind w:left="259"/>
      </w:pPr>
      <w:r>
        <w:rPr>
          <w:b/>
          <w:color w:val="5C6B82"/>
          <w:sz w:val="18"/>
        </w:rPr>
        <w:t xml:space="preserve">What they are testing:  </w:t>
      </w:r>
      <w:r>
        <w:rPr>
          <w:sz w:val="21"/>
        </w:rPr>
        <w:t>Honesty and judgement. Deflecting is far more damaging than the weakness itself.</w:t>
      </w:r>
    </w:p>
    <w:p>
      <w:pPr>
        <w:spacing w:after="120"/>
        <w:ind w:left="259"/>
      </w:pPr>
      <w:r>
        <w:rPr>
          <w:b/>
          <w:color w:val="1D4ED8"/>
          <w:sz w:val="18"/>
        </w:rPr>
        <w:t xml:space="preserve">Suggested answer:  </w:t>
      </w:r>
      <w:r>
        <w:rPr>
          <w:sz w:val="21"/>
        </w:rPr>
        <w:t>Name the real one: inconsistent enforcement of access control. Some routes are correctly protected, some check authorization inside the controller, and a small number are not protected at all. The underlying issue is that it was applied per-route from memory rather than as a systematic rule, which is a process failure rather than a knowledge failure. State what you have done about it — the specific routes are identified and the fixes are known and small. Answering this well is worth more than having no weakness to report.</w:t>
      </w:r>
    </w:p>
    <w:p>
      <w:pPr>
        <w:keepNext/>
        <w:spacing w:before="240" w:after="80"/>
      </w:pPr>
      <w:r>
        <w:rPr>
          <w:b/>
          <w:color w:val="1D4ED8"/>
          <w:sz w:val="22"/>
        </w:rPr>
        <w:t xml:space="preserve">I4.  </w:t>
      </w:r>
      <w:r>
        <w:rPr>
          <w:b/>
          <w:color w:val="142A5C"/>
          <w:sz w:val="22"/>
        </w:rPr>
        <w:t>If you had six more months, what would you build?</w:t>
      </w:r>
    </w:p>
    <w:p>
      <w:pPr>
        <w:spacing w:after="120"/>
        <w:ind w:left="259"/>
      </w:pPr>
      <w:r>
        <w:rPr>
          <w:b/>
          <w:color w:val="5C6B82"/>
          <w:sz w:val="18"/>
        </w:rPr>
        <w:t xml:space="preserve">What they are testing:  </w:t>
      </w:r>
      <w:r>
        <w:rPr>
          <w:sz w:val="21"/>
        </w:rPr>
        <w:t>Vision, and whether you can prioritise.</w:t>
      </w:r>
    </w:p>
    <w:p>
      <w:pPr>
        <w:spacing w:after="120"/>
        <w:ind w:left="259"/>
      </w:pPr>
      <w:r>
        <w:rPr>
          <w:b/>
          <w:color w:val="1D4ED8"/>
          <w:sz w:val="18"/>
        </w:rPr>
        <w:t xml:space="preserve">Suggested answer:  </w:t>
      </w:r>
      <w:r>
        <w:rPr>
          <w:sz w:val="21"/>
        </w:rPr>
        <w:t>Lead with correctness rather than features, which is the answer a panel wants to hear: close the access-control gaps, hash the reset tokens, add password validation, and build the automated tests around those controls. Then the substantive additions — pagination on the list endpoints, additional water quality parameters alongside TDS, notification to residents when a report changes status, and a formal handover package so the barangay can run it independently. The priority order is the point: correctness and sustainability before features.</w:t>
      </w:r>
    </w:p>
    <w:p/>
    <w:p>
      <w:r>
        <w:br w:type="page"/>
      </w:r>
    </w:p>
    <w:p>
      <w:pPr>
        <w:pStyle w:val="Heading1"/>
      </w:pPr>
      <w:r>
        <w:t>Before the defense — a short checklist</w:t>
      </w:r>
    </w:p>
    <w:p>
      <w:pPr>
        <w:spacing w:before="0" w:after="200"/>
      </w:pPr>
      <w:r>
        <w:rPr>
          <w:b w:val="0"/>
          <w:i/>
          <w:color w:val="5C6B82"/>
          <w:sz w:val="20"/>
        </w:rPr>
        <w:t>Six things worth doing with this document, in priority order.</w:t>
      </w:r>
    </w:p>
    <w:p>
      <w:pPr>
        <w:spacing w:before="160" w:after="60"/>
      </w:pPr>
      <w:r>
        <w:rPr>
          <w:b/>
          <w:color w:val="1D4ED8"/>
        </w:rPr>
        <w:t xml:space="preserve">1.  </w:t>
      </w:r>
      <w:r>
        <w:rPr>
          <w:b/>
          <w:color w:val="142A5C"/>
        </w:rPr>
        <w:t>Fix the unauthenticated household routes.</w:t>
      </w:r>
    </w:p>
    <w:p>
      <w:pPr>
        <w:spacing w:after="120"/>
        <w:ind w:left="360"/>
      </w:pPr>
      <w:r>
        <w:rPr>
          <w:b/>
          <w:color w:val="1D4ED8"/>
          <w:sz w:val="18"/>
        </w:rPr>
        <w:t xml:space="preserve">  </w:t>
      </w:r>
      <w:r>
        <w:rPr>
          <w:sz w:val="21"/>
        </w:rPr>
        <w:t>Three routes accept requests with no token at all, exposing residents' names and addresses. It is one line of middleware per route, and it is the single most damaging thing a panelist can demonstrate live.</w:t>
      </w:r>
    </w:p>
    <w:p>
      <w:pPr>
        <w:spacing w:before="160" w:after="60"/>
      </w:pPr>
      <w:r>
        <w:rPr>
          <w:b/>
          <w:color w:val="1D4ED8"/>
        </w:rPr>
        <w:t xml:space="preserve">2.  </w:t>
      </w:r>
      <w:r>
        <w:rPr>
          <w:b/>
          <w:color w:val="142A5C"/>
        </w:rPr>
        <w:t>Close the ownership checks on reports and TDS readings.</w:t>
      </w:r>
    </w:p>
    <w:p>
      <w:pPr>
        <w:spacing w:after="120"/>
        <w:ind w:left="360"/>
      </w:pPr>
      <w:r>
        <w:rPr>
          <w:b/>
          <w:color w:val="1D4ED8"/>
          <w:sz w:val="18"/>
        </w:rPr>
        <w:t xml:space="preserve">  </w:t>
      </w:r>
      <w:r>
        <w:rPr>
          <w:sz w:val="21"/>
        </w:rPr>
        <w:t>Authentication without authorization is the IDOR finding. Your deleteReport handler already shows the correct pattern — apply it consistently.</w:t>
      </w:r>
    </w:p>
    <w:p>
      <w:pPr>
        <w:spacing w:before="160" w:after="60"/>
      </w:pPr>
      <w:r>
        <w:rPr>
          <w:b/>
          <w:color w:val="1D4ED8"/>
        </w:rPr>
        <w:t xml:space="preserve">3.  </w:t>
      </w:r>
      <w:r>
        <w:rPr>
          <w:b/>
          <w:color w:val="142A5C"/>
        </w:rPr>
        <w:t>Fill in every item marked FILL IN.</w:t>
      </w:r>
    </w:p>
    <w:p>
      <w:pPr>
        <w:spacing w:after="120"/>
        <w:ind w:left="360"/>
      </w:pPr>
      <w:r>
        <w:rPr>
          <w:b/>
          <w:color w:val="1D4ED8"/>
          <w:sz w:val="18"/>
        </w:rPr>
        <w:t xml:space="preserve">  </w:t>
      </w:r>
      <w:r>
        <w:rPr>
          <w:sz w:val="21"/>
        </w:rPr>
        <w:t>These are facts only your group holds: respondents, consent, evaluation results, maintenance plan, costs. They are also among the most likely questions.</w:t>
      </w:r>
    </w:p>
    <w:p>
      <w:pPr>
        <w:spacing w:before="160" w:after="60"/>
      </w:pPr>
      <w:r>
        <w:rPr>
          <w:b/>
          <w:color w:val="1D4ED8"/>
        </w:rPr>
        <w:t xml:space="preserve">4.  </w:t>
      </w:r>
      <w:r>
        <w:rPr>
          <w:b/>
          <w:color w:val="142A5C"/>
        </w:rPr>
        <w:t>Agree who answers what.</w:t>
      </w:r>
    </w:p>
    <w:p>
      <w:pPr>
        <w:spacing w:after="120"/>
        <w:ind w:left="360"/>
      </w:pPr>
      <w:r>
        <w:rPr>
          <w:b/>
          <w:color w:val="1D4ED8"/>
          <w:sz w:val="18"/>
        </w:rPr>
        <w:t xml:space="preserve">  </w:t>
      </w:r>
      <w:r>
        <w:rPr>
          <w:sz w:val="21"/>
        </w:rPr>
        <w:t>Decide in advance which member takes security, which takes the data model, which takes methodology. A panel notices when one person answers everything, and it notices a silent member.</w:t>
      </w:r>
    </w:p>
    <w:p>
      <w:pPr>
        <w:spacing w:before="160" w:after="60"/>
      </w:pPr>
      <w:r>
        <w:rPr>
          <w:b/>
          <w:color w:val="1D4ED8"/>
        </w:rPr>
        <w:t xml:space="preserve">5.  </w:t>
      </w:r>
      <w:r>
        <w:rPr>
          <w:b/>
          <w:color w:val="142A5C"/>
        </w:rPr>
        <w:t>Rehearse the login walkthrough out loud.</w:t>
      </w:r>
    </w:p>
    <w:p>
      <w:pPr>
        <w:spacing w:after="120"/>
        <w:ind w:left="360"/>
      </w:pPr>
      <w:r>
        <w:rPr>
          <w:b/>
          <w:color w:val="1D4ED8"/>
          <w:sz w:val="18"/>
        </w:rPr>
        <w:t xml:space="preserve">  </w:t>
      </w:r>
      <w:r>
        <w:rPr>
          <w:sz w:val="21"/>
        </w:rPr>
        <w:t>Question C1 is close to certain, and a hesitant answer to the easiest technical question sets the tone for everything after it.</w:t>
      </w:r>
    </w:p>
    <w:p>
      <w:pPr>
        <w:spacing w:before="160" w:after="60"/>
      </w:pPr>
      <w:r>
        <w:rPr>
          <w:b/>
          <w:color w:val="1D4ED8"/>
        </w:rPr>
        <w:t xml:space="preserve">6.  </w:t>
      </w:r>
      <w:r>
        <w:rPr>
          <w:b/>
          <w:color w:val="142A5C"/>
        </w:rPr>
        <w:t>Prepare your own findings list.</w:t>
      </w:r>
    </w:p>
    <w:p>
      <w:pPr>
        <w:spacing w:after="120"/>
        <w:ind w:left="360"/>
      </w:pPr>
      <w:r>
        <w:rPr>
          <w:b/>
          <w:color w:val="1D4ED8"/>
          <w:sz w:val="18"/>
        </w:rPr>
        <w:t xml:space="preserve">  </w:t>
      </w:r>
      <w:r>
        <w:rPr>
          <w:sz w:val="21"/>
        </w:rPr>
        <w:t>Walking in with a documented list of your system's weaknesses and their fixes changes your position entirely — you become the person who audited the system rather than the person it was audited against.</w:t>
      </w:r>
    </w:p>
    <w:p/>
    <w:p>
      <w:pPr>
        <w:spacing w:before="40" w:after="200"/>
        <w:pBdr>
          <w:bottom w:val="single" w:sz="6" w:color="C9D3E0"/>
        </w:pBdr>
      </w:pPr>
    </w:p>
    <w:p>
      <w:pPr>
        <w:spacing w:before="0" w:after="120"/>
      </w:pPr>
      <w:r>
        <w:rPr>
          <w:b w:val="0"/>
          <w:i/>
          <w:color w:val="5C6B82"/>
          <w:sz w:val="18"/>
        </w:rPr>
        <w:t>Every technical statement in this document was verified against the TapAware repository — the route definitions and their middleware chains, the controllers, the database schema, and the build and deployment configuration. Where a defect is described as present, it was confirmed present at the time of writing. Where an answer depends on facts held only by the project group, it is marked FILL IN rather than assumed.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82"/>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A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TapAware: Anticipated Defense Questions</dc:title>
  <dc:subject>Panel review question set with suggested answers</dc:subject>
  <dc:creator>Prepared for Group IT03</dc:creator>
  <cp:keywords/>
  <dc:description>generated by python-docx</dc:description>
  <cp:lastModifiedBy/>
  <cp:revision>1</cp:revision>
  <dcterms:created xsi:type="dcterms:W3CDTF">2013-12-23T23:15:00Z</dcterms:created>
  <dcterms:modified xsi:type="dcterms:W3CDTF">2013-12-23T23:15:00Z</dcterms:modified>
  <cp:category/>
</cp:coreProperties>
</file>