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Platzhalter-Body (wird beim Rendern ersetzt)</w:t>
      </w:r>
    </w:p>
    <w:sectPr>
      <w:headerReference w:officer="true" r:id="rId8" w:type="default">
</w:headerReference>
      <w:footerReference w:officer="true" r:id="rId7" w:type="default">
</w:footerReference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>
      <w:rPr>
        <w:rFonts w:ascii="Arial" w:hAnsi="Arial" w:eastAsia="Arial" w:cs="Arial"/>
        <w:i w:val="true"/>
        <w:b w:val="false"/>
        <w:u w:val="none"/>
        <w:strike w:val="false"/>
        <w:sz w:val="20"/>
        <w:szCs w:val="20"/>
        <w:color w:val="000000"/>
      </w:rPr>
      <w:t xml:space="preserve">Vertraulich — Seite </w:t>
    </w:r>
    <w:r>
      <w:rPr/>
      <w:fldChar w:fldCharType="begin" w:dirty="true"/>
    </w:r>
    <w:r>
      <w:rPr/>
      <w:instrText xml:space="preserve" w:dirty="true">PAGE</w:instrText>
    </w:r>
    <w:r>
      <w:rPr/>
      <w:fldChar w:fldCharType="end" w:dirty="true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>
      <w:rPr>
        <w:rFonts w:ascii="Arial" w:hAnsi="Arial" w:eastAsia="Arial" w:cs="Arial"/>
        <w:i w:val="false"/>
        <w:b w:val="true"/>
        <w:u w:val="none"/>
        <w:strike w:val="false"/>
        <w:sz w:val="20"/>
        <w:szCs w:val="20"/>
        <w:color w:val="2E5B8A"/>
      </w:rPr>
      <w:t xml:space="preserve">ACME GmbH — Quartalsbericht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>Quartalsberichte</dc:subject>
  <dc:creator/>
  <cp:keywords/>
  <dc:description>Interner Bericht - vertraulich</dc:description>
  <cp:lastModifiedBy>stefan</cp:lastModifiedBy>
  <cp:revision>9</cp:revision>
  <dcterms:created xsi:type="dcterms:W3CDTF">2017-02-28T11:18:00Z</dcterms:created>
  <dcterms:modified xsi:type="dcterms:W3CDTF">2026-08-28T22:30:53Z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traulichkeitsstufe">
    <vt:lpwstr>Intern</vt:lpwstr>
  </property>
  <property fmtid="{D5CDD505-2E9C-101B-9397-08002B2CF9AE}" pid="3" name="Dokumentennummer">
    <vt:lpwstr>ACME-QB-001</vt:lpwstr>
  </property>
</Properties>
</file>