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urier New" w:cs="Courier New" w:eastAsia="Courier New" w:hAnsi="Courier New"/>
          <w:b w:val="false"/>
          <w:bCs w:val="false"/>
          <w:i w:val="false"/>
          <w:iCs w:val="false"/>
          <w:color w:val="54646A"/>
          <w:sz w:val="18"/>
          <w:szCs w:val="18"/>
        </w:rPr>
        <w:t xml:space="preserve">TRENCH LOGIC STUDIO · VIP SMARTCONTRACT · EXECUTIVE BRIEF</w:t>
      </w:r>
    </w:p>
    <w:p>
      <w:pPr>
        <w:spacing w:after="60"/>
      </w:pPr>
      <w:r>
        <w:rPr>
          <w:rFonts w:ascii="Arial" w:cs="Arial" w:eastAsia="Arial" w:hAnsi="Arial"/>
          <w:b/>
          <w:bCs/>
          <w:i w:val="false"/>
          <w:iCs w:val="false"/>
          <w:color w:val="122B33"/>
          <w:sz w:val="42"/>
          <w:szCs w:val="42"/>
        </w:rPr>
        <w:t xml:space="preserve">Executive Brief</w:t>
      </w:r>
    </w:p>
    <w:p>
      <w:pPr>
        <w:spacing w:after="240"/>
      </w:pPr>
      <w:r>
        <w:rPr>
          <w:rFonts w:ascii="Arial" w:cs="Arial" w:eastAsia="Arial" w:hAnsi="Arial"/>
          <w:b w:val="false"/>
          <w:bCs w:val="false"/>
          <w:i w:val="false"/>
          <w:iCs w:val="false"/>
          <w:color w:val="1E5A78"/>
          <w:sz w:val="22"/>
          <w:szCs w:val="22"/>
        </w:rPr>
        <w:t xml:space="preserve">The 90-second frame · middleware, funds never on chain · sold as-is · all metrics synthetic</w:t>
      </w:r>
    </w:p>
    <w:p>
      <w:pPr>
        <w:pStyle w:val="Heading1"/>
        <w:spacing w:after="140" w:before="300"/>
      </w:pPr>
      <w:r>
        <w:rPr>
          <w:rFonts w:ascii="Arial" w:cs="Arial" w:eastAsia="Arial" w:hAnsi="Arial"/>
          <w:b/>
          <w:bCs/>
          <w:color w:val="122B33"/>
          <w:sz w:val="27"/>
          <w:szCs w:val="27"/>
        </w:rPr>
        <w:t xml:space="preserve">The problem</w:t>
      </w:r>
    </w:p>
    <w:p>
      <w:pPr>
        <w:spacing w:after="120"/>
      </w:pPr>
      <w:r>
        <w:rPr>
          <w:rFonts w:ascii="Arial" w:cs="Arial" w:eastAsia="Arial" w:hAnsi="Arial"/>
          <w:b w:val="false"/>
          <w:bCs w:val="false"/>
          <w:i w:val="false"/>
          <w:iCs w:val="false"/>
          <w:color w:val="122B33"/>
          <w:sz w:val="22"/>
          <w:szCs w:val="22"/>
        </w:rPr>
        <w:t xml:space="preserve">A property's biggest players are its biggest exposure: a small VIP cohort carries an outsized share of revenue and the entire weight of responsible-gaming scrutiny — in the same accounts. Limits already exist everywhere in this industry, and everywhere they work the same way: as walls. The player resents the wall, the host fights the wall, the preserved budget leaves in a taxi, and compliance and revenue pull the property in opposite directions every night.</w:t>
      </w:r>
    </w:p>
    <w:p>
      <w:pPr>
        <w:pStyle w:val="Heading1"/>
        <w:spacing w:after="140" w:before="300"/>
      </w:pPr>
      <w:r>
        <w:rPr>
          <w:rFonts w:ascii="Arial" w:cs="Arial" w:eastAsia="Arial" w:hAnsi="Arial"/>
          <w:b/>
          <w:bCs/>
          <w:color w:val="122B33"/>
          <w:sz w:val="27"/>
          <w:szCs w:val="27"/>
        </w:rPr>
        <w:t xml:space="preserve">The mechanism</w:t>
      </w:r>
    </w:p>
    <w:p>
      <w:pPr>
        <w:spacing w:after="120"/>
      </w:pPr>
      <w:r>
        <w:rPr>
          <w:rFonts w:ascii="Arial" w:cs="Arial" w:eastAsia="Arial" w:hAnsi="Arial"/>
          <w:b w:val="false"/>
          <w:bCs w:val="false"/>
          <w:i w:val="false"/>
          <w:iCs w:val="false"/>
          <w:color w:val="122B33"/>
          <w:sz w:val="22"/>
          <w:szCs w:val="22"/>
        </w:rPr>
        <w:t xml:space="preserve">VIP SmartContract is a middleware policy engine in the transaction path. The VIP pre-commits a daily budget with their host. At 50% of that budget, the policy fires — and instead of ending the relationship, it pays: 20% of the preserved budget returns as a rollover credit for the next visit, 70% converts into resort credits — spa, dining, retail — that keep the evening, and the spend, in the building, and the last 10% goes back to the guest as residual. Every decision is hash-anchored as it happens, so the audit trail is the same story as the product.</w:t>
      </w:r>
    </w:p>
    <w:p>
      <w:pPr>
        <w:spacing w:after="120"/>
      </w:pPr>
      <w:r>
        <w:rPr>
          <w:rFonts w:ascii="Arial" w:cs="Arial" w:eastAsia="Arial" w:hAnsi="Arial"/>
          <w:b w:val="false"/>
          <w:bCs w:val="false"/>
          <w:i w:val="false"/>
          <w:iCs w:val="false"/>
          <w:color w:val="122B33"/>
          <w:sz w:val="22"/>
          <w:szCs w:val="22"/>
        </w:rPr>
        <w:t xml:space="preserve">Deliberately middleware: funds never touch a chain, rules live off-chain, and only proofs are anchored. The name keeps the verification promise visible; the architecture keeps the crypto out of the cage.</w:t>
      </w:r>
    </w:p>
    <w:p>
      <w:pPr>
        <w:pStyle w:val="Heading1"/>
        <w:spacing w:after="140" w:before="300"/>
      </w:pPr>
      <w:r>
        <w:rPr>
          <w:rFonts w:ascii="Arial" w:cs="Arial" w:eastAsia="Arial" w:hAnsi="Arial"/>
          <w:b/>
          <w:bCs/>
          <w:color w:val="122B33"/>
          <w:sz w:val="27"/>
          <w:szCs w:val="27"/>
        </w:rPr>
        <w:t xml:space="preserve">Scope note — read before any exclusivity discussion</w:t>
      </w:r>
    </w:p>
    <w:p>
      <w:pPr>
        <w:spacing w:after="120"/>
      </w:pPr>
      <w:r>
        <w:rPr>
          <w:rFonts w:ascii="Arial" w:cs="Arial" w:eastAsia="Arial" w:hAnsi="Arial"/>
          <w:b w:val="false"/>
          <w:bCs w:val="false"/>
          <w:i w:val="false"/>
          <w:iCs w:val="false"/>
          <w:color w:val="973A3A"/>
          <w:sz w:val="22"/>
          <w:szCs w:val="22"/>
        </w:rPr>
        <w:t xml:space="preserve">This asset's claims are scoped to the incentive-economics layer: reward-for-stopping and non-gaming redirect. On-chain management and enforcement of responsible-gaming limits is a patent-encumbered space — granted US patents exist, and any buyer's counsel will find them in minutes, which is why this package names the landscape first. The off-chain design is a documented decision (10), not an omission. This is not legal advice; a freedom-to-operate review is recommended before exclusive acquisition, and that recommendation is stated here in writing.</w:t>
      </w:r>
    </w:p>
    <w:p>
      <w:pPr>
        <w:pStyle w:val="Heading1"/>
        <w:spacing w:after="140" w:before="300"/>
      </w:pPr>
      <w:r>
        <w:rPr>
          <w:rFonts w:ascii="Arial" w:cs="Arial" w:eastAsia="Arial" w:hAnsi="Arial"/>
          <w:b/>
          <w:bCs/>
          <w:color w:val="122B33"/>
          <w:sz w:val="27"/>
          <w:szCs w:val="27"/>
        </w:rPr>
        <w:t xml:space="preserve">The numbers — synthetic reference</w:t>
      </w:r>
    </w:p>
    <w:p>
      <w:pPr>
        <w:pStyle w:val="ListParagraph"/>
        <w:numPr>
          <w:ilvl w:val="0"/>
          <w:numId w:val="2"/>
        </w:numPr>
        <w:spacing w:after="70"/>
      </w:pPr>
      <w:r>
        <w:rPr>
          <w:rFonts w:ascii="Arial" w:cs="Arial" w:eastAsia="Arial" w:hAnsi="Arial"/>
          <w:b/>
          <w:bCs/>
          <w:color w:val="122B33"/>
          <w:sz w:val="21"/>
          <w:szCs w:val="21"/>
        </w:rPr>
        <w:t xml:space="preserve">84% vs 61% </w:t>
      </w:r>
      <w:r>
        <w:rPr>
          <w:rFonts w:ascii="Arial" w:cs="Arial" w:eastAsia="Arial" w:hAnsi="Arial"/>
          <w:color w:val="122B33"/>
          <w:sz w:val="21"/>
          <w:szCs w:val="21"/>
        </w:rPr>
        <w:t xml:space="preserve">quarter retention of limited VIPs — incentive economics vs hard-stop-only baseline</w:t>
      </w:r>
    </w:p>
    <w:p>
      <w:pPr>
        <w:pStyle w:val="ListParagraph"/>
        <w:numPr>
          <w:ilvl w:val="0"/>
          <w:numId w:val="2"/>
        </w:numPr>
        <w:spacing w:after="70"/>
      </w:pPr>
      <w:r>
        <w:rPr>
          <w:rFonts w:ascii="Arial" w:cs="Arial" w:eastAsia="Arial" w:hAnsi="Arial"/>
          <w:b/>
          <w:bCs/>
          <w:color w:val="122B33"/>
          <w:sz w:val="21"/>
          <w:szCs w:val="21"/>
        </w:rPr>
        <w:t xml:space="preserve">€214,200 </w:t>
      </w:r>
      <w:r>
        <w:rPr>
          <w:rFonts w:ascii="Arial" w:cs="Arial" w:eastAsia="Arial" w:hAnsi="Arial"/>
          <w:color w:val="122B33"/>
          <w:sz w:val="21"/>
          <w:szCs w:val="21"/>
        </w:rPr>
        <w:t xml:space="preserve">of preserved budget redirected to spa, F&amp;B, and retail in the synthetic resort quarter</w:t>
      </w:r>
    </w:p>
    <w:p>
      <w:pPr>
        <w:pStyle w:val="ListParagraph"/>
        <w:numPr>
          <w:ilvl w:val="0"/>
          <w:numId w:val="2"/>
        </w:numPr>
        <w:spacing w:after="70"/>
      </w:pPr>
      <w:r>
        <w:rPr>
          <w:rFonts w:ascii="Arial" w:cs="Arial" w:eastAsia="Arial" w:hAnsi="Arial"/>
          <w:b/>
          <w:bCs/>
          <w:color w:val="122B33"/>
          <w:sz w:val="21"/>
          <w:szCs w:val="21"/>
        </w:rPr>
        <w:t xml:space="preserve">€61,200 </w:t>
      </w:r>
      <w:r>
        <w:rPr>
          <w:rFonts w:ascii="Arial" w:cs="Arial" w:eastAsia="Arial" w:hAnsi="Arial"/>
          <w:color w:val="122B33"/>
          <w:sz w:val="21"/>
          <w:szCs w:val="21"/>
        </w:rPr>
        <w:t xml:space="preserve">rollover liability issued in the same quarter — printed honestly, because it is the bet</w:t>
      </w:r>
    </w:p>
    <w:p>
      <w:pPr>
        <w:pStyle w:val="ListParagraph"/>
        <w:numPr>
          <w:ilvl w:val="0"/>
          <w:numId w:val="2"/>
        </w:numPr>
        <w:spacing w:after="70"/>
      </w:pPr>
      <w:r>
        <w:rPr>
          <w:rFonts w:ascii="Arial" w:cs="Arial" w:eastAsia="Arial" w:hAnsi="Arial"/>
          <w:b/>
          <w:bCs/>
          <w:color w:val="122B33"/>
          <w:sz w:val="21"/>
          <w:szCs w:val="21"/>
        </w:rPr>
        <w:t xml:space="preserve">Index 38 </w:t>
      </w:r>
      <w:r>
        <w:rPr>
          <w:rFonts w:ascii="Arial" w:cs="Arial" w:eastAsia="Arial" w:hAnsi="Arial"/>
          <w:color w:val="122B33"/>
          <w:sz w:val="21"/>
          <w:szCs w:val="21"/>
        </w:rPr>
        <w:t xml:space="preserve">host hours spent on limit conflicts, against a baseline of 100</w:t>
      </w:r>
    </w:p>
    <w:p>
      <w:pPr>
        <w:spacing w:after="120"/>
      </w:pPr>
      <w:r>
        <w:rPr>
          <w:rFonts w:ascii="Arial" w:cs="Arial" w:eastAsia="Arial" w:hAnsi="Arial"/>
          <w:b w:val="false"/>
          <w:bCs w:val="false"/>
          <w:i/>
          <w:iCs/>
          <w:color w:val="122B33"/>
          <w:sz w:val="22"/>
          <w:szCs w:val="22"/>
        </w:rPr>
        <w:t xml:space="preserve">All figures are synthetic simulations, declared as such; the policy engine runs live in Demo B with the same parameters.</w:t>
      </w:r>
    </w:p>
    <w:p>
      <w:pPr>
        <w:pStyle w:val="Heading1"/>
        <w:spacing w:after="140" w:before="300"/>
      </w:pPr>
      <w:r>
        <w:rPr>
          <w:rFonts w:ascii="Arial" w:cs="Arial" w:eastAsia="Arial" w:hAnsi="Arial"/>
          <w:b/>
          <w:bCs/>
          <w:color w:val="122B33"/>
          <w:sz w:val="27"/>
          <w:szCs w:val="27"/>
        </w:rPr>
        <w:t xml:space="preserve">Two modes, one engine</w:t>
      </w:r>
    </w:p>
    <w:p>
      <w:pPr>
        <w:spacing w:after="120"/>
      </w:pPr>
      <w:r>
        <w:rPr>
          <w:rFonts w:ascii="Arial" w:cs="Arial" w:eastAsia="Arial" w:hAnsi="Arial"/>
          <w:b w:val="false"/>
          <w:bCs w:val="false"/>
          <w:i w:val="false"/>
          <w:iCs w:val="false"/>
          <w:color w:val="122B33"/>
          <w:sz w:val="22"/>
          <w:szCs w:val="22"/>
        </w:rPr>
        <w:t xml:space="preserve">Hard-Stop Mode (03a) enforces the stop at 50% of the pre-committed budget and is the canonical, audit-first deployment. Advisory Mode (03b) nudges at 40% of the pre-committed budget with an incentive preview and escalates to the host at 85% of that same budget — fewer enforced stops, more relationship, the trade stated in the specification rather than discovered in production.</w:t>
      </w:r>
    </w:p>
    <w:p>
      <w:pPr>
        <w:pStyle w:val="Heading1"/>
        <w:spacing w:after="140" w:before="300"/>
      </w:pPr>
      <w:r>
        <w:rPr>
          <w:rFonts w:ascii="Arial" w:cs="Arial" w:eastAsia="Arial" w:hAnsi="Arial"/>
          <w:b/>
          <w:bCs/>
          <w:color w:val="122B33"/>
          <w:sz w:val="27"/>
          <w:szCs w:val="27"/>
        </w:rPr>
        <w:t xml:space="preserve">AI defensibility</w:t>
      </w:r>
    </w:p>
    <w:p>
      <w:pPr>
        <w:spacing w:after="120"/>
      </w:pPr>
      <w:r>
        <w:rPr>
          <w:rFonts w:ascii="Arial" w:cs="Arial" w:eastAsia="Arial" w:hAnsi="Arial"/>
          <w:b w:val="false"/>
          <w:bCs w:val="false"/>
          <w:i w:val="false"/>
          <w:iCs w:val="false"/>
          <w:color w:val="122B33"/>
          <w:sz w:val="22"/>
          <w:szCs w:val="22"/>
        </w:rPr>
        <w:t xml:space="preserve">Limit enforcement is commodity; the economics are not. The reward ratios, redirect splits, threshold placement, mode governance, and audit anchoring are resolved decisions documented with their rejected variants — including on-chain enforcement, rejected on purpose. Authorship and date are cryptographically anchored (GPG → OpenTimestamps → Bitcoin).</w:t>
      </w:r>
    </w:p>
    <w:p>
      <w:pPr>
        <w:pStyle w:val="Heading1"/>
        <w:spacing w:after="140" w:before="300"/>
      </w:pPr>
      <w:r>
        <w:rPr>
          <w:rFonts w:ascii="Arial" w:cs="Arial" w:eastAsia="Arial" w:hAnsi="Arial"/>
          <w:b/>
          <w:bCs/>
          <w:color w:val="122B33"/>
          <w:sz w:val="27"/>
          <w:szCs w:val="27"/>
        </w:rPr>
        <w:t xml:space="preserve">What the licence conveys</w:t>
      </w:r>
    </w:p>
    <w:p>
      <w:pPr>
        <w:spacing w:after="120"/>
      </w:pPr>
      <w:r>
        <w:rPr>
          <w:rFonts w:ascii="Arial" w:cs="Arial" w:eastAsia="Arial" w:hAnsi="Arial"/>
          <w:b w:val="false"/>
          <w:bCs w:val="false"/>
          <w:i w:val="false"/>
          <w:iCs w:val="false"/>
          <w:color w:val="122B33"/>
          <w:sz w:val="22"/>
          <w:szCs w:val="22"/>
        </w:rPr>
        <w:t xml:space="preserve">The complete registry in 00_INDEX: four demos including the working policy engine, the API specification, the integration reference and the compose stack, the runnable evaluation MVP, both mode specifications, value and pricing documents (NDA), design rationale, competitive battlecard including the patent row, the canon, the regulatory parameter map, the security and production boundaries statement, and the legal kit. Commercial structure appears only in 06/06b — never in first contact.</w:t>
      </w:r>
    </w:p>
    <w:p>
      <w:pPr>
        <w:spacing w:after="120"/>
      </w:pPr>
      <w:r>
        <w:rPr>
          <w:rFonts w:ascii="Arial" w:cs="Arial" w:eastAsia="Arial" w:hAnsi="Arial"/>
          <w:b w:val="false"/>
          <w:bCs w:val="false"/>
          <w:i w:val="false"/>
          <w:iCs w:val="false"/>
          <w:color w:val="973A3A"/>
          <w:sz w:val="22"/>
          <w:szCs w:val="22"/>
        </w:rPr>
        <w:t xml:space="preserve">Sold as-is: no implementation services, no integration support, no training, no warranties, no ongoing involvement.</w:t>
      </w:r>
    </w:p>
    <w:p>
      <w:pPr>
        <w:spacing w:after="200"/>
      </w:pPr>
      <w:r>
        <w:rPr>
          <w:rFonts w:ascii="Arial" w:cs="Arial" w:eastAsia="Arial" w:hAnsi="Arial"/>
          <w:b w:val="false"/>
          <w:bCs w:val="false"/>
          <w:i w:val="false"/>
          <w:iCs w:val="false"/>
          <w:color w:val="122B3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122B33" w:sz="6"/>
              <w:left w:val="single" w:color="122B33" w:sz="6"/>
              <w:bottom w:val="single" w:color="122B33" w:sz="6"/>
              <w:right w:val="single" w:color="122B33" w:sz="6"/>
            </w:tcBorders>
            <w:shd w:fill="E9EEEC" w:val="clear"/>
            <w:tcMar>
              <w:top w:type="dxa" w:w="60"/>
              <w:left w:type="dxa" w:w="110"/>
              <w:bottom w:type="dxa" w:w="60"/>
              <w:right w:type="dxa" w:w="110"/>
            </w:tcMar>
          </w:tcPr>
          <w:p>
            <w:pPr>
              <w:keepNext/>
            </w:pPr>
            <w:r>
              <w:rPr>
                <w:rFonts w:ascii="Courier New" w:cs="Courier New" w:eastAsia="Courier New" w:hAnsi="Courier New"/>
                <w:b/>
                <w:bCs/>
                <w:color w:val="54646A"/>
                <w:sz w:val="15"/>
                <w:szCs w:val="15"/>
              </w:rPr>
              <w:t xml:space="preserve">STUDIO</w:t>
            </w:r>
          </w:p>
        </w:tc>
        <w:tc>
          <w:tcPr>
            <w:tcW w:type="dxa" w:w="6826"/>
            <w:tcBorders>
              <w:top w:val="single" w:color="122B33" w:sz="6"/>
              <w:left w:val="single" w:color="122B33" w:sz="6"/>
              <w:bottom w:val="single" w:color="122B33" w:sz="6"/>
              <w:right w:val="single" w:color="122B33" w:sz="6"/>
            </w:tcBorders>
            <w:tcMar>
              <w:top w:type="dxa" w:w="60"/>
              <w:left w:type="dxa" w:w="110"/>
              <w:bottom w:type="dxa" w:w="60"/>
              <w:right w:type="dxa" w:w="110"/>
            </w:tcMar>
          </w:tcPr>
          <w:p>
            <w:pPr>
              <w:keepNext/>
            </w:pPr>
            <w:r>
              <w:rPr>
                <w:rFonts w:ascii="Arial" w:cs="Arial" w:eastAsia="Arial" w:hAnsi="Arial"/>
                <w:b w:val="false"/>
                <w:bCs w:val="false"/>
                <w:color w:val="122B33"/>
                <w:sz w:val="18"/>
                <w:szCs w:val="18"/>
              </w:rPr>
              <w:t>Trench Logic Studio — Miloš Petrović · milos@trench-logic.com · trenchlogicstudio.com</w:t>
            </w:r>
          </w:p>
        </w:tc>
      </w:tr>
      <w:tr>
        <w:trPr>
          <w:cantSplit/>
        </w:trPr>
        <w:tc>
          <w:tcPr>
            <w:tcW w:type="dxa" w:w="2200"/>
            <w:tcBorders>
              <w:top w:val="single" w:color="122B33" w:sz="6"/>
              <w:left w:val="single" w:color="122B33" w:sz="6"/>
              <w:bottom w:val="single" w:color="122B33" w:sz="6"/>
              <w:right w:val="single" w:color="122B33" w:sz="6"/>
            </w:tcBorders>
            <w:shd w:fill="E9EEEC" w:val="clear"/>
            <w:tcMar>
              <w:top w:type="dxa" w:w="60"/>
              <w:left w:type="dxa" w:w="110"/>
              <w:bottom w:type="dxa" w:w="60"/>
              <w:right w:type="dxa" w:w="110"/>
            </w:tcMar>
          </w:tcPr>
          <w:p>
            <w:pPr>
              <w:keepNext/>
            </w:pPr>
            <w:r>
              <w:rPr>
                <w:rFonts w:ascii="Courier New" w:cs="Courier New" w:eastAsia="Courier New" w:hAnsi="Courier New"/>
                <w:b/>
                <w:bCs/>
                <w:color w:val="54646A"/>
                <w:sz w:val="15"/>
                <w:szCs w:val="15"/>
              </w:rPr>
              <w:t xml:space="preserve">PROJECT</w:t>
            </w:r>
          </w:p>
        </w:tc>
        <w:tc>
          <w:tcPr>
            <w:tcW w:type="dxa" w:w="6826"/>
            <w:tcBorders>
              <w:top w:val="single" w:color="122B33" w:sz="6"/>
              <w:left w:val="single" w:color="122B33" w:sz="6"/>
              <w:bottom w:val="single" w:color="122B33" w:sz="6"/>
              <w:right w:val="single" w:color="122B33" w:sz="6"/>
            </w:tcBorders>
            <w:tcMar>
              <w:top w:type="dxa" w:w="60"/>
              <w:left w:type="dxa" w:w="110"/>
              <w:bottom w:type="dxa" w:w="60"/>
              <w:right w:type="dxa" w:w="110"/>
            </w:tcMar>
          </w:tcPr>
          <w:p>
            <w:pPr>
              <w:keepNext/>
            </w:pPr>
            <w:r>
              <w:rPr>
                <w:rFonts w:ascii="Arial" w:cs="Arial" w:eastAsia="Arial" w:hAnsi="Arial"/>
                <w:b w:val="false"/>
                <w:bCs w:val="false"/>
                <w:color w:val="122B33"/>
                <w:sz w:val="18"/>
                <w:szCs w:val="18"/>
              </w:rPr>
              <w:t xml:space="preserve">VIP SmartContract · Compliance-as-Revenue Layer</w:t>
            </w:r>
          </w:p>
        </w:tc>
      </w:tr>
      <w:tr>
        <w:trPr>
          <w:cantSplit/>
        </w:trPr>
        <w:tc>
          <w:tcPr>
            <w:tcW w:type="dxa" w:w="2200"/>
            <w:tcBorders>
              <w:top w:val="single" w:color="122B33" w:sz="6"/>
              <w:left w:val="single" w:color="122B33" w:sz="6"/>
              <w:bottom w:val="single" w:color="122B33" w:sz="6"/>
              <w:right w:val="single" w:color="122B33" w:sz="6"/>
            </w:tcBorders>
            <w:shd w:fill="E9EEEC" w:val="clear"/>
            <w:tcMar>
              <w:top w:type="dxa" w:w="60"/>
              <w:left w:type="dxa" w:w="110"/>
              <w:bottom w:type="dxa" w:w="60"/>
              <w:right w:type="dxa" w:w="110"/>
            </w:tcMar>
          </w:tcPr>
          <w:p>
            <w:pPr>
              <w:keepNext/>
            </w:pPr>
            <w:r>
              <w:rPr>
                <w:rFonts w:ascii="Courier New" w:cs="Courier New" w:eastAsia="Courier New" w:hAnsi="Courier New"/>
                <w:b/>
                <w:bCs/>
                <w:color w:val="54646A"/>
                <w:sz w:val="15"/>
                <w:szCs w:val="15"/>
              </w:rPr>
              <w:t xml:space="preserve">DOCUMENT</w:t>
            </w:r>
          </w:p>
        </w:tc>
        <w:tc>
          <w:tcPr>
            <w:tcW w:type="dxa" w:w="6826"/>
            <w:tcBorders>
              <w:top w:val="single" w:color="122B33" w:sz="6"/>
              <w:left w:val="single" w:color="122B33" w:sz="6"/>
              <w:bottom w:val="single" w:color="122B33" w:sz="6"/>
              <w:right w:val="single" w:color="122B33" w:sz="6"/>
            </w:tcBorders>
            <w:tcMar>
              <w:top w:type="dxa" w:w="60"/>
              <w:left w:type="dxa" w:w="110"/>
              <w:bottom w:type="dxa" w:w="60"/>
              <w:right w:type="dxa" w:w="110"/>
            </w:tcMar>
          </w:tcPr>
          <w:p>
            <w:pPr>
              <w:keepNext/>
            </w:pPr>
            <w:r>
              <w:rPr>
                <w:rFonts w:ascii="Arial" w:cs="Arial" w:eastAsia="Arial" w:hAnsi="Arial"/>
                <w:b w:val="false"/>
                <w:bCs w:val="false"/>
                <w:color w:val="122B33"/>
                <w:sz w:val="18"/>
                <w:szCs w:val="18"/>
              </w:rPr>
              <w:t xml:space="preserve">01_Executive_Brief.docx</w:t>
            </w:r>
          </w:p>
        </w:tc>
      </w:tr>
      <w:tr>
        <w:trPr>
          <w:cantSplit/>
        </w:trPr>
        <w:tc>
          <w:tcPr>
            <w:tcW w:type="dxa" w:w="2200"/>
            <w:tcBorders>
              <w:top w:val="single" w:color="122B33" w:sz="6"/>
              <w:left w:val="single" w:color="122B33" w:sz="6"/>
              <w:bottom w:val="single" w:color="122B33" w:sz="6"/>
              <w:right w:val="single" w:color="122B33" w:sz="6"/>
            </w:tcBorders>
            <w:shd w:fill="E9EEEC" w:val="clear"/>
            <w:tcMar>
              <w:top w:type="dxa" w:w="60"/>
              <w:left w:type="dxa" w:w="110"/>
              <w:bottom w:type="dxa" w:w="60"/>
              <w:right w:type="dxa" w:w="110"/>
            </w:tcMar>
          </w:tcPr>
          <w:p>
            <w:pPr>
              <w:keepNext/>
            </w:pPr>
            <w:r>
              <w:rPr>
                <w:rFonts w:ascii="Courier New" w:cs="Courier New" w:eastAsia="Courier New" w:hAnsi="Courier New"/>
                <w:b/>
                <w:bCs/>
                <w:color w:val="54646A"/>
                <w:sz w:val="15"/>
                <w:szCs w:val="15"/>
              </w:rPr>
              <w:t xml:space="preserve">REVISION</w:t>
            </w:r>
          </w:p>
        </w:tc>
        <w:tc>
          <w:tcPr>
            <w:tcW w:type="dxa" w:w="6826"/>
            <w:tcBorders>
              <w:top w:val="single" w:color="122B33" w:sz="6"/>
              <w:left w:val="single" w:color="122B33" w:sz="6"/>
              <w:bottom w:val="single" w:color="122B33" w:sz="6"/>
              <w:right w:val="single" w:color="122B33" w:sz="6"/>
            </w:tcBorders>
            <w:tcMar>
              <w:top w:type="dxa" w:w="60"/>
              <w:left w:type="dxa" w:w="110"/>
              <w:bottom w:type="dxa" w:w="60"/>
              <w:right w:type="dxa" w:w="110"/>
            </w:tcMar>
          </w:tcPr>
          <w:p>
            <w:pPr>
              <w:keepNext/>
            </w:pPr>
            <w:r>
              <w:rPr>
                <w:rFonts w:ascii="Arial" w:cs="Arial" w:eastAsia="Arial" w:hAnsi="Arial"/>
                <w:b w:val="false"/>
                <w:bCs w:val="false"/>
                <w:color w:val="122B33"/>
                <w:sz w:val="18"/>
                <w:szCs w:val="18"/>
              </w:rPr>
              <w:t>v3.17 · 2026</w:t>
            </w:r>
          </w:p>
        </w:tc>
      </w:tr>
      <w:tr>
        <w:trPr>
          <w:cantSplit/>
        </w:trPr>
        <w:tc>
          <w:tcPr>
            <w:tcW w:type="dxa" w:w="2200"/>
            <w:tcBorders>
              <w:top w:val="single" w:color="122B33" w:sz="6"/>
              <w:left w:val="single" w:color="122B33" w:sz="6"/>
              <w:bottom w:val="single" w:color="122B33" w:sz="6"/>
              <w:right w:val="single" w:color="122B33" w:sz="6"/>
            </w:tcBorders>
            <w:shd w:fill="E9EEEC" w:val="clear"/>
            <w:tcMar>
              <w:top w:type="dxa" w:w="60"/>
              <w:left w:type="dxa" w:w="110"/>
              <w:bottom w:type="dxa" w:w="60"/>
              <w:right w:type="dxa" w:w="110"/>
            </w:tcMar>
          </w:tcPr>
          <w:p>
            <w:pPr>
              <w:keepNext/>
            </w:pPr>
            <w:r>
              <w:rPr>
                <w:rFonts w:ascii="Courier New" w:cs="Courier New" w:eastAsia="Courier New" w:hAnsi="Courier New"/>
                <w:b/>
                <w:bCs/>
                <w:color w:val="54646A"/>
                <w:sz w:val="15"/>
                <w:szCs w:val="15"/>
              </w:rPr>
              <w:t xml:space="preserve">PROOF CHAIN</w:t>
            </w:r>
          </w:p>
        </w:tc>
        <w:tc>
          <w:tcPr>
            <w:tcW w:type="dxa" w:w="6826"/>
            <w:tcBorders>
              <w:top w:val="single" w:color="122B33" w:sz="6"/>
              <w:left w:val="single" w:color="122B33" w:sz="6"/>
              <w:bottom w:val="single" w:color="122B33" w:sz="6"/>
              <w:right w:val="single" w:color="122B33" w:sz="6"/>
            </w:tcBorders>
            <w:tcMar>
              <w:top w:type="dxa" w:w="60"/>
              <w:left w:type="dxa" w:w="110"/>
              <w:bottom w:type="dxa" w:w="60"/>
              <w:right w:type="dxa" w:w="110"/>
            </w:tcMar>
          </w:tcPr>
          <w:p>
            <w:pPr>
              <w:keepNext/>
            </w:pPr>
            <w:r>
              <w:rPr>
                <w:rFonts w:ascii="Arial" w:cs="Arial" w:eastAsia="Arial" w:hAnsi="Arial"/>
                <w:b w:val="false"/>
                <w:bCs w:val="false"/>
                <w:color w:val="122B33"/>
                <w:sz w:val="18"/>
                <w:szCs w:val="18"/>
              </w:rPr>
              <w:t>GPG 9078 8B14 00C2 C2EC … EE0B B22B → SHA-256 → OpenTimestamps → Bitcoin</w:t>
            </w:r>
          </w:p>
        </w:tc>
      </w:tr>
      <w:tr>
        <w:trPr>
          <w:cantSplit/>
        </w:trPr>
        <w:tc>
          <w:tcPr>
            <w:tcW w:type="dxa" w:w="2200"/>
            <w:tcBorders>
              <w:top w:val="single" w:color="122B33" w:sz="6"/>
              <w:left w:val="single" w:color="122B33" w:sz="6"/>
              <w:bottom w:val="single" w:color="122B33" w:sz="6"/>
              <w:right w:val="single" w:color="122B33" w:sz="6"/>
            </w:tcBorders>
            <w:shd w:fill="E9EEEC" w:val="clear"/>
            <w:tcMar>
              <w:top w:type="dxa" w:w="60"/>
              <w:left w:type="dxa" w:w="110"/>
              <w:bottom w:type="dxa" w:w="60"/>
              <w:right w:type="dxa" w:w="110"/>
            </w:tcMar>
          </w:tcPr>
          <w:p>
            <w:r>
              <w:rPr>
                <w:rFonts w:ascii="Courier New" w:cs="Courier New" w:eastAsia="Courier New" w:hAnsi="Courier New"/>
                <w:b/>
                <w:bCs/>
                <w:color w:val="54646A"/>
                <w:sz w:val="15"/>
                <w:szCs w:val="15"/>
              </w:rPr>
              <w:t xml:space="preserve">STATUS</w:t>
            </w:r>
          </w:p>
        </w:tc>
        <w:tc>
          <w:tcPr>
            <w:tcW w:type="dxa" w:w="6826"/>
            <w:tcBorders>
              <w:top w:val="single" w:color="122B33" w:sz="6"/>
              <w:left w:val="single" w:color="122B33" w:sz="6"/>
              <w:bottom w:val="single" w:color="122B33" w:sz="6"/>
              <w:right w:val="single" w:color="122B33" w:sz="6"/>
            </w:tcBorders>
            <w:tcMar>
              <w:top w:type="dxa" w:w="60"/>
              <w:left w:type="dxa" w:w="110"/>
              <w:bottom w:type="dxa" w:w="60"/>
              <w:right w:type="dxa" w:w="110"/>
            </w:tcMar>
          </w:tcPr>
          <w:p>
            <w:r>
              <w:rPr>
                <w:rFonts w:ascii="Arial" w:cs="Arial" w:eastAsia="Arial" w:hAnsi="Arial"/>
                <w:b/>
                <w:bCs/>
                <w:color w:val="973A3A"/>
                <w:sz w:val="18"/>
                <w:szCs w:val="18"/>
              </w:rPr>
              <w:t xml:space="preserve">AS-IS · STRICTLY CONFIDENTIAL · DISTRIBUTION UNDER NDA ONLY</w:t>
            </w:r>
          </w:p>
        </w:tc>
      </w:tr>
    </w:tbl>
    <w:sectPr>
      <w:footerReference w:type="default" r:id="rId7"/>
      <w:headerReference w:type="default" r:id="rId9"/>
      <w:pgSz w:w="11906" w:h="16838" w:orient="portrait"/>
      <w:pgMar w:top="1320" w:right="1380" w:bottom="1320" w:left="13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146"/>
      </w:tabs>
    </w:pPr>
    <w:r>
      <w:rPr>
        <w:rFonts w:ascii="Arial" w:cs="Arial" w:eastAsia="Arial" w:hAnsi="Arial"/>
        <w:color w:val="54646A"/>
        <w:sz w:val="15"/>
        <w:szCs w:val="15"/>
      </w:rPr>
      <w:t>Strictly Confidential · IP of Miloš Petrović, d.b.a. Trench Logic Studio</w:t>
      <w:tab/>
      <w:t xml:space="preserve">VIP v3.17 · </w:t>
    </w:r>
    <w:r>
      <w:rPr>
        <w:sz w:val="15"/>
        <w:szCs w:val="15"/>
      </w:rPr>
    </w:r>
    <w:r>
      <w:rPr>
        <w:rFonts w:ascii="Arial" w:cs="Arial" w:eastAsia="Arial" w:hAnsi="Arial"/>
        <w:color w:val="54646A"/>
        <w:sz w:val="15"/>
        <w:szCs w:val="15"/>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Trench Logic Studio</dc:creator>
  <cp:lastModifiedBy>Trench Logic Studio</cp:lastModifiedBy>
  <cp:revision>2</cp:revision>
  <dcterms:created xsi:type="dcterms:W3CDTF">2026-06-11T14:15:11.248Z</dcterms:created>
  <dcterms:modified xsi:type="dcterms:W3CDTF">2026-09-09T21:43:27Z</dcterms:modified>
</cp:coreProperties>
</file>

<file path=docProps/custom.xml><?xml version="1.0" encoding="utf-8"?>
<Properties xmlns="http://schemas.openxmlformats.org/officeDocument/2006/custom-properties" xmlns:vt="http://schemas.openxmlformats.org/officeDocument/2006/docPropsVTypes"/>
</file>