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4646A"/>
          <w:sz w:val="18"/>
          <w:szCs w:val="18"/>
        </w:rPr>
        <w:t xml:space="preserve">TRENCH LOGIC STUDIO · VIP SMARTCONTRACT · BUYER BRIEF 02a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122B33"/>
          <w:sz w:val="42"/>
          <w:szCs w:val="42"/>
        </w:rPr>
        <w:t xml:space="preserve">Resort &amp; Casino Operators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5A78"/>
          <w:sz w:val="22"/>
          <w:szCs w:val="22"/>
        </w:rPr>
        <w:t xml:space="preserve">The stop that pays, on the floor you already run · sold as-is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22B33"/>
          <w:sz w:val="27"/>
          <w:szCs w:val="27"/>
        </w:rPr>
        <w:t xml:space="preserve">Your position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2B33"/>
          <w:sz w:val="22"/>
          <w:szCs w:val="22"/>
        </w:rPr>
        <w:t xml:space="preserve">Your VIP book is where revenue and regulatory exposure share the same names. Every limit conversation costs a host relationship; every enforced stop sends preserved budget out the door — and the player often follows it. Compliance protects the licence by spending the lifetime value.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22B33"/>
          <w:sz w:val="27"/>
          <w:szCs w:val="27"/>
        </w:rPr>
        <w:t xml:space="preserve">What VIP SmartContract does for your property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122B33"/>
          <w:sz w:val="21"/>
          <w:szCs w:val="21"/>
        </w:rPr>
        <w:t xml:space="preserve">Turns the stop into hospitality: </w:t>
      </w:r>
      <w:r>
        <w:rPr>
          <w:rFonts w:ascii="Arial" w:cs="Arial" w:eastAsia="Arial" w:hAnsi="Arial"/>
          <w:color w:val="122B33"/>
          <w:sz w:val="21"/>
          <w:szCs w:val="21"/>
        </w:rPr>
        <w:t xml:space="preserve">at threshold the player keeps a rollover and an evening — spa, dinner, retail — booked from the budget they preserved. In the model, the share of stopped players lost within the quarter falls from 39% to 16%.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122B33"/>
          <w:sz w:val="21"/>
          <w:szCs w:val="21"/>
        </w:rPr>
        <w:t xml:space="preserve">Keeps the spend in the building: </w:t>
      </w:r>
      <w:r>
        <w:rPr>
          <w:rFonts w:ascii="Arial" w:cs="Arial" w:eastAsia="Arial" w:hAnsi="Arial"/>
          <w:color w:val="122B33"/>
          <w:sz w:val="21"/>
          <w:szCs w:val="21"/>
        </w:rPr>
        <w:t xml:space="preserve">70% of preserved budget captured as non-gaming revenue (€214,200 in the synthetic quarter) instead of leaving in a taxi.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122B33"/>
          <w:sz w:val="21"/>
          <w:szCs w:val="21"/>
        </w:rPr>
        <w:t xml:space="preserve">Gives hosts a script instead of a conflict: </w:t>
      </w:r>
      <w:r>
        <w:rPr>
          <w:rFonts w:ascii="Arial" w:cs="Arial" w:eastAsia="Arial" w:hAnsi="Arial"/>
          <w:color w:val="122B33"/>
          <w:sz w:val="21"/>
          <w:szCs w:val="21"/>
        </w:rPr>
        <w:t xml:space="preserve">"here is what stopping earns you" — limit-conflict hours fall to index 38 against a baseline of 100.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122B33"/>
          <w:sz w:val="21"/>
          <w:szCs w:val="21"/>
        </w:rPr>
        <w:t xml:space="preserve">Reads clean in the audit: </w:t>
      </w:r>
      <w:r>
        <w:rPr>
          <w:rFonts w:ascii="Arial" w:cs="Arial" w:eastAsia="Arial" w:hAnsi="Arial"/>
          <w:color w:val="122B33"/>
          <w:sz w:val="21"/>
          <w:szCs w:val="21"/>
        </w:rPr>
        <w:t xml:space="preserve">every policy decision hash-anchored as it happens; the regulator walks the trail, not the staff's memory. Works beside any wallet you already run.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22B33"/>
          <w:sz w:val="27"/>
          <w:szCs w:val="27"/>
        </w:rPr>
        <w:t xml:space="preserve">Reading path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122B33"/>
          <w:sz w:val="22"/>
          <w:szCs w:val="22"/>
        </w:rPr>
        <w:t xml:space="preserve">GM: 01 → 05d → 06b. Hosts &amp; operations: 05a → 03b → 05d. Compliance: 01 scope note → 03a → 11 patent row. IT: 05b → 04 → 04c. Finance: 06 (the rollover liability is printed there, honestly) → 06b → 05c.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73A3A"/>
          <w:sz w:val="22"/>
          <w:szCs w:val="22"/>
        </w:rPr>
        <w:t xml:space="preserve">Sold as-is: no implementation services, no integration support, no warranties, no ongoing involvement.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2B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STUDIO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18"/>
                <w:szCs w:val="18"/>
              </w:rPr>
              <w:t>Trench Logic Studio — Miloš Petrović · milos@trench-logic.com · trenchlogicstudio.com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PROJECT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18"/>
                <w:szCs w:val="18"/>
              </w:rPr>
              <w:t xml:space="preserve">VIP SmartContract · Compliance-as-Revenue Layer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DOCUMENT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18"/>
                <w:szCs w:val="18"/>
              </w:rPr>
              <w:t xml:space="preserve">02a_BuyerBrief_Resort_Casino_Operators.docx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REVISION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18"/>
                <w:szCs w:val="18"/>
              </w:rPr>
              <w:t>v3.17 · 2026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PROOF CHAIN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18"/>
                <w:szCs w:val="18"/>
              </w:rPr>
              <w:t>GPG 9078 8B14 00C2 C2EC … EE0B B22B → SHA-256 → OpenTimestamps → Bitcoin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STATUS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73A3A"/>
                <w:sz w:val="18"/>
                <w:szCs w:val="18"/>
              </w:rPr>
              <w:t xml:space="preserve">AS-IS · STRICTLY CONFIDENTIAL · DISTRIBUTION UNDER NDA ONLY</w:t>
            </w:r>
          </w:p>
        </w:tc>
      </w:tr>
    </w:tbl>
    <w:sectPr>
      <w:footerReference w:type="default" r:id="rId7"/>
      <w:headerReference w:type="default" r:id="rId9"/>
      <w:pgSz w:w="11906" w:h="16838" w:orient="portrait"/>
      <w:pgMar w:top="1320" w:right="1380" w:bottom="1320" w:left="13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146"/>
      </w:tabs>
    </w:pPr>
    <w:r>
      <w:rPr>
        <w:rFonts w:ascii="Arial" w:cs="Arial" w:eastAsia="Arial" w:hAnsi="Arial"/>
        <w:color w:val="54646A"/>
        <w:sz w:val="15"/>
        <w:szCs w:val="15"/>
      </w:rPr>
      <w:t>Strictly Confidential · IP of Miloš Petrović, d.b.a. Trench Logic Studio</w:t>
      <w:tab/>
      <w:t xml:space="preserve">VIP v3.17 · </w:t>
    </w:r>
    <w:r>
      <w:rPr>
        <w:sz w:val="15"/>
        <w:szCs w:val="15"/>
      </w:rPr>
    </w:r>
    <w:r>
      <w:rPr>
        <w:rFonts w:ascii="Arial" w:cs="Arial" w:eastAsia="Arial" w:hAnsi="Arial"/>
        <w:color w:val="54646A"/>
        <w:sz w:val="15"/>
        <w:szCs w:val="15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Trench Logic Studio</dc:creator>
  <cp:lastModifiedBy>Trench Logic Studio</cp:lastModifiedBy>
  <cp:revision>2</cp:revision>
  <dcterms:created xsi:type="dcterms:W3CDTF">2026-06-11T14:15:11.475Z</dcterms:created>
  <dcterms:modified xsi:type="dcterms:W3CDTF">2026-09-09T21:43:27Z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