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46A"/>
          <w:sz w:val="18"/>
          <w:szCs w:val="18"/>
        </w:rPr>
        <w:t xml:space="preserve">TRENCH LOGIC STUDIO · VIP SMARTCONTRACT · BUYER BRIEF 02b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22B33"/>
          <w:sz w:val="42"/>
          <w:szCs w:val="42"/>
        </w:rPr>
        <w:t xml:space="preserve">Platform &amp; CRM Vendors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A78"/>
          <w:sz w:val="22"/>
          <w:szCs w:val="22"/>
        </w:rPr>
        <w:t xml:space="preserve">A real-time policy layer your suite can sell · sold as-is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Your position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Your journeys and campaigns act after behaviour lands in the warehouse — hours or days later. Your regulated clients carry responsible-gaming tooling as compliance cost, not as a product line, and the conversation about it never reaches the revenue slide. The category is consolidating as it matures — Optimove announced the acquisition of Smartico on 6 April 2026, with both platforms continuing to operate independently (verified 23 September 2026) — and consolidation rewards a line that sits beside the suite rather than a second campaign engine inside it.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What VIP SmartContract adds to your suite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A transaction-path policy layer as a product: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pre-commitment, threshold policy, rollover, and redirect — acting while the player is still at the table, then handing your journeys a cleaner, retained customer.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Compliance-as-revenue for the renewal call: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your platform stops selling RG as a checkbox and starts selling the redirect line — €214,200 of preserved budget in the synthetic reference quarter, modelled and labelled as such — in the client's quarter.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Composes with detection: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behavioural-risk flags from detection vendors can raise this engine's policy — detection is the smoke alarm, this is the sprinkler that also comps the dinner.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22B33"/>
          <w:sz w:val="21"/>
          <w:szCs w:val="21"/>
        </w:rPr>
        <w:t xml:space="preserve">Per-jurisdiction configuration: </w:t>
      </w:r>
      <w:r>
        <w:rPr>
          <w:rFonts w:ascii="Arial" w:cs="Arial" w:eastAsia="Arial" w:hAnsi="Arial"/>
          <w:color w:val="122B33"/>
          <w:sz w:val="21"/>
          <w:szCs w:val="21"/>
        </w:rPr>
        <w:t xml:space="preserve">thresholds, incentives, and modes are configuration, not forks — one engine across your client map.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Reading path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22B33"/>
          <w:sz w:val="22"/>
          <w:szCs w:val="22"/>
        </w:rPr>
        <w:t xml:space="preserve">Product: 05a → 03a/03b → 10. Engineering: 05b → 04 → 04b. Decision-maker: 01 (incl. scope note) → 05d → 07. Finance: 06 → 06b.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73A3A"/>
          <w:sz w:val="22"/>
          <w:szCs w:val="22"/>
        </w:rPr>
        <w:t xml:space="preserve">Sold as-is: no implementation services, no integration support, no warranties, no ongoing involvement.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STUDIO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Trench Logic Studio — Miloš Petrović · milos@trench-logic.com · trenchlogicstudio.com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VIP SmartContract · Compliance-as-Revenue Layer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DOCUMENT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02b_BuyerBrief_Platform_CRM_Vendors.docx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REVISION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v3.17 ·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PROOF CHAIN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GPG 9078 8B14 00C2 C2EC … EE0B B22B → SHA-256 → OpenTimestamps → Bitcoin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73A3A"/>
                <w:sz w:val="18"/>
                <w:szCs w:val="18"/>
              </w:rPr>
              <w:t xml:space="preserve">AS-IS · STRICTLY CONFIDENTIAL · DISTRIBUTION UNDER NDA ONLY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320" w:right="1380" w:bottom="132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46"/>
      </w:tabs>
    </w:pPr>
    <w:r>
      <w:rPr>
        <w:rFonts w:ascii="Arial" w:cs="Arial" w:eastAsia="Arial" w:hAnsi="Arial"/>
        <w:color w:val="54646A"/>
        <w:sz w:val="15"/>
        <w:szCs w:val="15"/>
      </w:rPr>
      <w:t>Strictly Confidential · IP of Miloš Petrović, d.b.a. Trench Logic Studio</w:t>
      <w:tab/>
      <w:t xml:space="preserve">VIP v3.17 · </w:t>
    </w:r>
    <w:r>
      <w:rPr>
        <w:sz w:val="15"/>
        <w:szCs w:val="15"/>
      </w:rPr>
    </w:r>
    <w:r>
      <w:rPr>
        <w:rFonts w:ascii="Arial" w:cs="Arial" w:eastAsia="Arial" w:hAnsi="Arial"/>
        <w:color w:val="54646A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2026-06-11T14:15:11.532Z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