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val="false"/>
          <w:bCs w:val="false"/>
          <w:i w:val="false"/>
          <w:iCs w:val="false"/>
          <w:color w:val="54646A"/>
          <w:sz w:val="18"/>
          <w:szCs w:val="18"/>
        </w:rPr>
        <w:t xml:space="preserve">TRENCH LOGIC STUDIO · VIP SMARTCONTRACT · OPERATING MODE 03a</w:t>
      </w:r>
    </w:p>
    <w:p>
      <w:pPr>
        <w:spacing w:after="60"/>
      </w:pPr>
      <w:r>
        <w:rPr>
          <w:rFonts w:ascii="Arial" w:cs="Arial" w:eastAsia="Arial" w:hAnsi="Arial"/>
          <w:b/>
          <w:bCs/>
          <w:i w:val="false"/>
          <w:iCs w:val="false"/>
          <w:color w:val="122B33"/>
          <w:sz w:val="42"/>
          <w:szCs w:val="42"/>
        </w:rPr>
        <w:t xml:space="preserve">Hard-Stop Mode</w:t>
      </w:r>
    </w:p>
    <w:p>
      <w:pPr>
        <w:spacing w:after="240"/>
      </w:pPr>
      <w:r>
        <w:rPr>
          <w:rFonts w:ascii="Arial" w:cs="Arial" w:eastAsia="Arial" w:hAnsi="Arial"/>
          <w:b w:val="false"/>
          <w:bCs w:val="false"/>
          <w:i w:val="false"/>
          <w:iCs w:val="false"/>
          <w:color w:val="1E5A78"/>
          <w:sz w:val="22"/>
          <w:szCs w:val="22"/>
        </w:rPr>
        <w:t xml:space="preserve">Engine-enforced threshold · the canonical, audit-first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c>
          <w:tcPr>
            <w:tcW w:type="dxa" w:w="2600"/>
            <w:tcBorders>
              <w:top w:val="single" w:color="C7D2D1" w:sz="1"/>
              <w:left w:val="single" w:color="C7D2D1" w:sz="1"/>
              <w:bottom w:val="single" w:color="C7D2D1" w:sz="1"/>
              <w:right w:val="single" w:color="C7D2D1" w:sz="1"/>
            </w:tcBorders>
            <w:shd w:fill="E9EEEC" w:val="clear"/>
            <w:tcMar>
              <w:top w:type="dxa" w:w="80"/>
              <w:left w:type="dxa" w:w="110"/>
              <w:bottom w:type="dxa" w:w="80"/>
              <w:right w:type="dxa" w:w="110"/>
            </w:tcMar>
          </w:tcPr>
          <w:p>
            <w:r>
              <w:rPr>
                <w:rFonts w:ascii="Arial" w:cs="Arial" w:eastAsia="Arial" w:hAnsi="Arial"/>
                <w:b/>
                <w:bCs/>
                <w:color w:val="122B33"/>
                <w:sz w:val="20"/>
                <w:szCs w:val="20"/>
              </w:rPr>
              <w:t xml:space="preserve">Parameter</w:t>
            </w:r>
          </w:p>
        </w:tc>
        <w:tc>
          <w:tcPr>
            <w:tcW w:type="dxa" w:w="3300"/>
            <w:tcBorders>
              <w:top w:val="single" w:color="C7D2D1" w:sz="1"/>
              <w:left w:val="single" w:color="C7D2D1" w:sz="1"/>
              <w:bottom w:val="single" w:color="C7D2D1" w:sz="1"/>
              <w:right w:val="single" w:color="C7D2D1" w:sz="1"/>
            </w:tcBorders>
            <w:shd w:fill="E9EEEC" w:val="clear"/>
            <w:tcMar>
              <w:top w:type="dxa" w:w="80"/>
              <w:left w:type="dxa" w:w="110"/>
              <w:bottom w:type="dxa" w:w="80"/>
              <w:right w:type="dxa" w:w="110"/>
            </w:tcMar>
          </w:tcPr>
          <w:p>
            <w:r>
              <w:rPr>
                <w:rFonts w:ascii="Arial" w:cs="Arial" w:eastAsia="Arial" w:hAnsi="Arial"/>
                <w:b/>
                <w:bCs/>
                <w:color w:val="122B33"/>
                <w:sz w:val="20"/>
                <w:szCs w:val="20"/>
              </w:rPr>
              <w:t xml:space="preserve">Value</w:t>
            </w:r>
          </w:p>
        </w:tc>
        <w:tc>
          <w:tcPr>
            <w:tcW w:type="dxa" w:w="3126"/>
            <w:tcBorders>
              <w:top w:val="single" w:color="C7D2D1" w:sz="1"/>
              <w:left w:val="single" w:color="C7D2D1" w:sz="1"/>
              <w:bottom w:val="single" w:color="C7D2D1" w:sz="1"/>
              <w:right w:val="single" w:color="C7D2D1" w:sz="1"/>
            </w:tcBorders>
            <w:shd w:fill="E9EEEC" w:val="clear"/>
            <w:tcMar>
              <w:top w:type="dxa" w:w="80"/>
              <w:left w:type="dxa" w:w="110"/>
              <w:bottom w:type="dxa" w:w="80"/>
              <w:right w:type="dxa" w:w="110"/>
            </w:tcMar>
          </w:tcPr>
          <w:p>
            <w:r>
              <w:rPr>
                <w:rFonts w:ascii="Arial" w:cs="Arial" w:eastAsia="Arial" w:hAnsi="Arial"/>
                <w:b/>
                <w:bCs/>
                <w:color w:val="122B33"/>
                <w:sz w:val="20"/>
                <w:szCs w:val="20"/>
              </w:rPr>
              <w:t xml:space="preserve">Rationale</w:t>
            </w:r>
          </w:p>
        </w:tc>
      </w:tr>
      <w:tr>
        <w:tc>
          <w:tcPr>
            <w:tcW w:type="dxa" w:w="26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Courier New" w:cs="Courier New" w:eastAsia="Courier New" w:hAnsi="Courier New"/>
                <w:b w:val="false"/>
                <w:bCs w:val="false"/>
                <w:color w:val="122B33"/>
                <w:sz w:val="20"/>
                <w:szCs w:val="20"/>
              </w:rPr>
              <w:t xml:space="preserve">TRIGGER</w:t>
            </w:r>
          </w:p>
        </w:tc>
        <w:tc>
          <w:tcPr>
            <w:tcW w:type="dxa" w:w="33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50% of pre-committed daily budget · engine-enforced</w:t>
            </w:r>
          </w:p>
        </w:tc>
        <w:tc>
          <w:tcPr>
            <w:tcW w:type="dxa" w:w="3126"/>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Agreed at noon, enforced by code — no midnight negotiation</w:t>
            </w:r>
          </w:p>
        </w:tc>
      </w:tr>
      <w:tr>
        <w:tc>
          <w:tcPr>
            <w:tcW w:type="dxa" w:w="26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Courier New" w:cs="Courier New" w:eastAsia="Courier New" w:hAnsi="Courier New"/>
                <w:b w:val="false"/>
                <w:bCs w:val="false"/>
                <w:color w:val="122B33"/>
                <w:sz w:val="20"/>
                <w:szCs w:val="20"/>
              </w:rPr>
              <w:t xml:space="preserve">ACTION</w:t>
            </w:r>
          </w:p>
        </w:tc>
        <w:tc>
          <w:tcPr>
            <w:tcW w:type="dxa" w:w="33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Session locked at the stop · no staff override</w:t>
            </w:r>
          </w:p>
        </w:tc>
        <w:tc>
          <w:tcPr>
            <w:tcW w:type="dxa" w:w="3126"/>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The audit value of the mode is the absence of exceptions</w:t>
            </w:r>
          </w:p>
        </w:tc>
      </w:tr>
      <w:tr>
        <w:tc>
          <w:tcPr>
            <w:tcW w:type="dxa" w:w="26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Courier New" w:cs="Courier New" w:eastAsia="Courier New" w:hAnsi="Courier New"/>
                <w:b w:val="false"/>
                <w:bCs w:val="false"/>
                <w:color w:val="122B33"/>
                <w:sz w:val="20"/>
                <w:szCs w:val="20"/>
              </w:rPr>
              <w:t xml:space="preserve">INCENTIVE</w:t>
            </w:r>
          </w:p>
        </w:tc>
        <w:tc>
          <w:tcPr>
            <w:tcW w:type="dxa" w:w="33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Rollover credit · 20% of preserved budget · next visit</w:t>
            </w:r>
          </w:p>
        </w:tc>
        <w:tc>
          <w:tcPr>
            <w:tcW w:type="dxa" w:w="3126"/>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The player is paid for stopping — the behavioural inversion</w:t>
            </w:r>
          </w:p>
        </w:tc>
      </w:tr>
      <w:tr>
        <w:tc>
          <w:tcPr>
            <w:tcW w:type="dxa" w:w="26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Courier New" w:cs="Courier New" w:eastAsia="Courier New" w:hAnsi="Courier New"/>
                <w:b w:val="false"/>
                <w:bCs w:val="false"/>
                <w:color w:val="122B33"/>
                <w:sz w:val="20"/>
                <w:szCs w:val="20"/>
              </w:rPr>
              <w:t xml:space="preserve">REDIRECT</w:t>
            </w:r>
          </w:p>
        </w:tc>
        <w:tc>
          <w:tcPr>
            <w:tcW w:type="dxa" w:w="33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Resort credits 30% · 25% · 15% of preserved budget to spa · F&amp;B · retail, settled at stop</w:t>
            </w:r>
          </w:p>
        </w:tc>
        <w:tc>
          <w:tcPr>
            <w:tcW w:type="dxa" w:w="3126"/>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Preserved budget becomes non-gaming revenue tonight; the last 10% of the preserved budget returns to the guest as residual</w:t>
            </w:r>
          </w:p>
        </w:tc>
      </w:tr>
      <w:tr>
        <w:tc>
          <w:tcPr>
            <w:tcW w:type="dxa" w:w="26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Courier New" w:cs="Courier New" w:eastAsia="Courier New" w:hAnsi="Courier New"/>
                <w:b w:val="false"/>
                <w:bCs w:val="false"/>
                <w:color w:val="122B33"/>
                <w:sz w:val="20"/>
                <w:szCs w:val="20"/>
              </w:rPr>
              <w:t xml:space="preserve">AUDIT</w:t>
            </w:r>
          </w:p>
        </w:tc>
        <w:tc>
          <w:tcPr>
            <w:tcW w:type="dxa" w:w="33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Every decision hash-anchored at execution</w:t>
            </w:r>
          </w:p>
        </w:tc>
        <w:tc>
          <w:tcPr>
            <w:tcW w:type="dxa" w:w="3126"/>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The regulator reads what the engine did, when it did it</w:t>
            </w:r>
          </w:p>
        </w:tc>
      </w:tr>
      <w:tr>
        <w:tc>
          <w:tcPr>
            <w:tcW w:type="dxa" w:w="26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Courier New" w:cs="Courier New" w:eastAsia="Courier New" w:hAnsi="Courier New"/>
                <w:b w:val="false"/>
                <w:bCs w:val="false"/>
                <w:color w:val="122B33"/>
                <w:sz w:val="20"/>
                <w:szCs w:val="20"/>
              </w:rPr>
              <w:t xml:space="preserve">CONFIG</w:t>
            </w:r>
          </w:p>
        </w:tc>
        <w:tc>
          <w:tcPr>
            <w:tcW w:type="dxa" w:w="3300"/>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Threshold, ratios, and splits per jurisdiction</w:t>
            </w:r>
          </w:p>
        </w:tc>
        <w:tc>
          <w:tcPr>
            <w:tcW w:type="dxa" w:w="3126"/>
            <w:tcBorders>
              <w:top w:val="single" w:color="C7D2D1" w:sz="1"/>
              <w:left w:val="single" w:color="C7D2D1" w:sz="1"/>
              <w:bottom w:val="single" w:color="C7D2D1" w:sz="1"/>
              <w:right w:val="single" w:color="C7D2D1" w:sz="1"/>
            </w:tcBorders>
            <w:tcMar>
              <w:top w:type="dxa" w:w="80"/>
              <w:left w:type="dxa" w:w="110"/>
              <w:bottom w:type="dxa" w:w="80"/>
              <w:right w:type="dxa" w:w="110"/>
            </w:tcMar>
          </w:tcPr>
          <w:p>
            <w:r>
              <w:rPr>
                <w:rFonts w:ascii="Arial" w:cs="Arial" w:eastAsia="Arial" w:hAnsi="Arial"/>
                <w:b w:val="false"/>
                <w:bCs w:val="false"/>
                <w:color w:val="122B33"/>
                <w:sz w:val="20"/>
                <w:szCs w:val="20"/>
              </w:rPr>
              <w:t xml:space="preserve">Mandates differ; the engine doesn't fork</w:t>
            </w:r>
          </w:p>
        </w:tc>
      </w:tr>
    </w:tbl>
    <w:p>
      <w:pPr>
        <w:spacing w:after="60"/>
      </w:pPr>
      <w:r>
        <w:rPr>
          <w:rFonts w:ascii="Arial" w:cs="Arial" w:eastAsia="Arial" w:hAnsi="Arial"/>
          <w:b w:val="false"/>
          <w:bCs w:val="false"/>
          <w:i w:val="false"/>
          <w:iCs w:val="false"/>
          <w:color w:val="122B33"/>
          <w:sz w:val="22"/>
          <w:szCs w:val="22"/>
        </w:rPr>
        <w:t xml:space="preserve"/>
      </w:r>
    </w:p>
    <w:p>
      <w:pPr>
        <w:pStyle w:val="Heading1"/>
        <w:spacing w:after="140" w:before="300"/>
      </w:pPr>
      <w:r>
        <w:rPr>
          <w:rFonts w:ascii="Arial" w:cs="Arial" w:eastAsia="Arial" w:hAnsi="Arial"/>
          <w:b/>
          <w:bCs/>
          <w:color w:val="122B33"/>
          <w:sz w:val="27"/>
          <w:szCs w:val="27"/>
        </w:rPr>
        <w:t xml:space="preserve">Fit</w:t>
      </w:r>
    </w:p>
    <w:p>
      <w:pPr>
        <w:spacing w:after="120"/>
      </w:pPr>
      <w:r>
        <w:rPr>
          <w:rFonts w:ascii="Arial" w:cs="Arial" w:eastAsia="Arial" w:hAnsi="Arial"/>
          <w:b w:val="false"/>
          <w:bCs w:val="false"/>
          <w:i w:val="false"/>
          <w:iCs w:val="false"/>
          <w:color w:val="122B33"/>
          <w:sz w:val="22"/>
          <w:szCs w:val="22"/>
        </w:rPr>
        <w:t xml:space="preserve">Regulated properties that want the cleanest possible audit story, groups standardising policy across jurisdictions, and any buyer for whom "no override" is the selling point rather than the objection. Properties piloting, or running host-led VIP cultures, start in Advisory Mode (03b) and graduate. The budget is the day's by agreement, but the engine keeps no calendar: whether a stopped guest may pre-commit again the same day is the property's own rule, applied where it takes the pre-commit.</w:t>
      </w:r>
    </w:p>
    <w:p>
      <w:pPr>
        <w:spacing w:after="120"/>
      </w:pPr>
      <w:r>
        <w:rPr>
          <w:rFonts w:ascii="Arial" w:cs="Arial" w:eastAsia="Arial" w:hAnsi="Arial"/>
          <w:b w:val="false"/>
          <w:bCs w:val="false"/>
          <w:i w:val="false"/>
          <w:iCs w:val="false"/>
          <w:color w:val="973A3A"/>
          <w:sz w:val="22"/>
          <w:szCs w:val="22"/>
        </w:rPr>
        <w:t xml:space="preserve">Sold as-is. This specification is a guide for the buyer's team; integration, testing, deployment, and operation are solely the licensee's responsibility.</w:t>
      </w:r>
    </w:p>
    <w:p>
      <w:pPr>
        <w:spacing w:after="200"/>
      </w:pPr>
      <w:r>
        <w:rPr>
          <w:rFonts w:ascii="Arial" w:cs="Arial" w:eastAsia="Arial" w:hAnsi="Arial"/>
          <w:b w:val="false"/>
          <w:bCs w:val="false"/>
          <w:i w:val="false"/>
          <w:iCs w:val="false"/>
          <w:color w:val="122B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STUDIO</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Trench Logic Studio — Miloš Petrović · milos@trench-logic.com · trenchlogicstudio.com</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PROJECT</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 xml:space="preserve">VIP SmartContract · Compliance-as-Revenue Layer</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DOCUMENT</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 xml:space="preserve">03a_Mode_Hard_Stop.docx</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REVISION</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v3.17 · 2026</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pPr>
              <w:keepNext/>
            </w:pPr>
            <w:r>
              <w:rPr>
                <w:rFonts w:ascii="Courier New" w:cs="Courier New" w:eastAsia="Courier New" w:hAnsi="Courier New"/>
                <w:b/>
                <w:bCs/>
                <w:color w:val="54646A"/>
                <w:sz w:val="15"/>
                <w:szCs w:val="15"/>
              </w:rPr>
              <w:t xml:space="preserve">PROOF CHAIN</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pPr>
              <w:keepNext/>
            </w:pPr>
            <w:r>
              <w:rPr>
                <w:rFonts w:ascii="Arial" w:cs="Arial" w:eastAsia="Arial" w:hAnsi="Arial"/>
                <w:b w:val="false"/>
                <w:bCs w:val="false"/>
                <w:color w:val="122B33"/>
                <w:sz w:val="18"/>
                <w:szCs w:val="18"/>
              </w:rPr>
              <w:t>GPG 9078 8B14 00C2 C2EC … EE0B B22B → SHA-256 → OpenTimestamps → Bitcoin</w:t>
            </w:r>
          </w:p>
        </w:tc>
      </w:tr>
      <w:tr>
        <w:trPr>
          <w:cantSplit/>
        </w:trPr>
        <w:tc>
          <w:tcPr>
            <w:tcW w:type="dxa" w:w="2200"/>
            <w:tcBorders>
              <w:top w:val="single" w:color="122B33" w:sz="6"/>
              <w:left w:val="single" w:color="122B33" w:sz="6"/>
              <w:bottom w:val="single" w:color="122B33" w:sz="6"/>
              <w:right w:val="single" w:color="122B33" w:sz="6"/>
            </w:tcBorders>
            <w:shd w:fill="E9EEEC" w:val="clear"/>
            <w:tcMar>
              <w:top w:type="dxa" w:w="60"/>
              <w:left w:type="dxa" w:w="110"/>
              <w:bottom w:type="dxa" w:w="60"/>
              <w:right w:type="dxa" w:w="110"/>
            </w:tcMar>
          </w:tcPr>
          <w:p>
            <w:r>
              <w:rPr>
                <w:rFonts w:ascii="Courier New" w:cs="Courier New" w:eastAsia="Courier New" w:hAnsi="Courier New"/>
                <w:b/>
                <w:bCs/>
                <w:color w:val="54646A"/>
                <w:sz w:val="15"/>
                <w:szCs w:val="15"/>
              </w:rPr>
              <w:t xml:space="preserve">STATUS</w:t>
            </w:r>
          </w:p>
        </w:tc>
        <w:tc>
          <w:tcPr>
            <w:tcW w:type="dxa" w:w="6826"/>
            <w:tcBorders>
              <w:top w:val="single" w:color="122B33" w:sz="6"/>
              <w:left w:val="single" w:color="122B33" w:sz="6"/>
              <w:bottom w:val="single" w:color="122B33" w:sz="6"/>
              <w:right w:val="single" w:color="122B33" w:sz="6"/>
            </w:tcBorders>
            <w:tcMar>
              <w:top w:type="dxa" w:w="60"/>
              <w:left w:type="dxa" w:w="110"/>
              <w:bottom w:type="dxa" w:w="60"/>
              <w:right w:type="dxa" w:w="110"/>
            </w:tcMar>
          </w:tcPr>
          <w:p>
            <w:r>
              <w:rPr>
                <w:rFonts w:ascii="Arial" w:cs="Arial" w:eastAsia="Arial" w:hAnsi="Arial"/>
                <w:b/>
                <w:bCs/>
                <w:color w:val="973A3A"/>
                <w:sz w:val="18"/>
                <w:szCs w:val="18"/>
              </w:rPr>
              <w:t xml:space="preserve">AS-IS · STRICTLY CONFIDENTIAL · DISTRIBUTION UNDER NDA ONLY</w:t>
            </w:r>
          </w:p>
        </w:tc>
      </w:tr>
    </w:tbl>
    <w:sectPr>
      <w:footerReference w:type="default" r:id="rId7"/>
      <w:headerReference w:type="default" r:id="rId9"/>
      <w:pgSz w:w="11906" w:h="16838" w:orient="portrait"/>
      <w:pgMar w:top="1320" w:right="1380" w:bottom="1320" w:left="13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46"/>
      </w:tabs>
    </w:pPr>
    <w:r>
      <w:rPr>
        <w:rFonts w:ascii="Arial" w:cs="Arial" w:eastAsia="Arial" w:hAnsi="Arial"/>
        <w:color w:val="54646A"/>
        <w:sz w:val="15"/>
        <w:szCs w:val="15"/>
      </w:rPr>
      <w:t>Strictly Confidential · IP of Miloš Petrović, d.b.a. Trench Logic Studio</w:t>
      <w:tab/>
      <w:t xml:space="preserve">VIP v3.17 · </w:t>
    </w:r>
    <w:r>
      <w:rPr>
        <w:sz w:val="15"/>
        <w:szCs w:val="15"/>
      </w:rPr>
    </w:r>
    <w:r>
      <w:rPr>
        <w:rFonts w:ascii="Arial" w:cs="Arial" w:eastAsia="Arial" w:hAnsi="Arial"/>
        <w:color w:val="54646A"/>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Trench Logic Studio</dc:creator>
  <cp:lastModifiedBy>Trench Logic Studio</cp:lastModifiedBy>
  <cp:revision>2</cp:revision>
  <dcterms:created xsi:type="dcterms:W3CDTF">2026-06-11T14:15:11.596Z</dcterms:created>
  <dcterms:modified xsi:type="dcterms:W3CDTF">2026-09-09T21:43:27Z</dcterms:modified>
</cp:coreProperties>
</file>

<file path=docProps/custom.xml><?xml version="1.0" encoding="utf-8"?>
<Properties xmlns="http://schemas.openxmlformats.org/officeDocument/2006/custom-properties" xmlns:vt="http://schemas.openxmlformats.org/officeDocument/2006/docPropsVTypes"/>
</file>