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OPERATING MODE 03b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Advisory Mode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Nudge, preview, escalate · relationship-first — the trade stated in the spec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Advisory Mode runs the same engine without the lock. At 40% of the pre-committed budget the player sees a nudge with a live incentive preview — exactly what stopping now would earn. At 85% of that same pre-committed budget the engine escalates to the host with the script in hand. The trade is explicit: fewer enforced stops and weaker audit uniformity, in exchange for the host relationship carrying the moment. The trade is the specification, not a bug discovered in production.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shd w:fill="E9EE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22B33"/>
                <w:sz w:val="20"/>
                <w:szCs w:val="20"/>
              </w:rPr>
              <w:t xml:space="preserve">Parameter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shd w:fill="E9EE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22B33"/>
                <w:sz w:val="20"/>
                <w:szCs w:val="20"/>
              </w:rPr>
              <w:t xml:space="preserve">Value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shd w:fill="E9EEE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22B33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22B33"/>
                <w:sz w:val="20"/>
                <w:szCs w:val="20"/>
              </w:rPr>
              <w:t xml:space="preserve">NUDGE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40% of the pre-committed budget · incentive preview shown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The reward is visible before the threshold is near</w:t>
            </w:r>
          </w:p>
        </w:tc>
      </w:tr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22B33"/>
                <w:sz w:val="20"/>
                <w:szCs w:val="20"/>
              </w:rPr>
              <w:t xml:space="preserve">ESCALATION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85% of the pre-committed budget · host intervention with script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The human carries what the engine would have enforced</w:t>
            </w:r>
          </w:p>
        </w:tc>
      </w:tr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22B33"/>
                <w:sz w:val="20"/>
                <w:szCs w:val="20"/>
              </w:rPr>
              <w:t xml:space="preserve">LOCK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None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Relationship-first cultures and pilot deployments</w:t>
            </w:r>
          </w:p>
        </w:tc>
      </w:tr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22B33"/>
                <w:sz w:val="20"/>
                <w:szCs w:val="20"/>
              </w:rPr>
              <w:t xml:space="preserve">INCENTIVES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Identical rollover and redirect mechanics on voluntary stops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The economics work the same — 70% of the preserved budget as redirect, 20% as rollover, 10% back to the guest; only enforcement differs</w:t>
            </w:r>
          </w:p>
        </w:tc>
      </w:tr>
      <w:tr>
        <w:tc>
          <w:tcPr>
            <w:tcW w:type="dxa" w:w="26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22B33"/>
                <w:sz w:val="20"/>
                <w:szCs w:val="20"/>
              </w:rPr>
              <w:t xml:space="preserve">GRADUATION</w:t>
            </w:r>
          </w:p>
        </w:tc>
        <w:tc>
          <w:tcPr>
            <w:tcW w:type="dxa" w:w="3300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Per-property upgrade path to 03a</w:t>
            </w:r>
          </w:p>
        </w:tc>
        <w:tc>
          <w:tcPr>
            <w:tcW w:type="dxa" w:w="3126"/>
            <w:tcBorders>
              <w:top w:val="single" w:color="C7D2D1" w:sz="1"/>
              <w:left w:val="single" w:color="C7D2D1" w:sz="1"/>
              <w:bottom w:val="single" w:color="C7D2D1" w:sz="1"/>
              <w:right w:val="single" w:color="C7D2D1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20"/>
                <w:szCs w:val="20"/>
              </w:rPr>
              <w:t xml:space="preserve">Advisory is the on-ramp, not a parallel product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22B33"/>
          <w:sz w:val="27"/>
          <w:szCs w:val="27"/>
        </w:rPr>
        <w:t xml:space="preserve">Fit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Pilots, jurisdictions without enforcement mandates, and properties whose VIP culture runs through hosts. 05b runs the incentive layer against the hard-stop-only baseline on identical parameters — the choice is made on numbers, not taste.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73A3A"/>
          <w:sz w:val="22"/>
          <w:szCs w:val="22"/>
        </w:rPr>
        <w:t xml:space="preserve">Sold as-is. Specification is a guide only; integration, testing, deployment, and operation are solely the licensee's responsibility.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03b_Mode_Advisory.docx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 ·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2026-06-11T14:15:11.620Z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