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ourier New" w:cs="Courier New" w:eastAsia="Courier New" w:hAnsi="Courier New"/>
          <w:b w:val="false"/>
          <w:bCs w:val="false"/>
          <w:i w:val="false"/>
          <w:iCs w:val="false"/>
          <w:color w:val="54646A"/>
          <w:sz w:val="18"/>
          <w:szCs w:val="18"/>
        </w:rPr>
        <w:t xml:space="preserve">TRENCH LOGIC STUDIO · VIP SMARTCONTRACT · VALUE JUSTIFICATION 06</w:t>
      </w:r>
    </w:p>
    <w:p>
      <w:pPr>
        <w:spacing w:after="60"/>
      </w:pPr>
      <w:r>
        <w:rPr>
          <w:rFonts w:ascii="Arial" w:cs="Arial" w:eastAsia="Arial" w:hAnsi="Arial"/>
          <w:b/>
          <w:bCs/>
          <w:i w:val="false"/>
          <w:iCs w:val="false"/>
          <w:color w:val="122B33"/>
          <w:sz w:val="42"/>
          <w:szCs w:val="42"/>
        </w:rPr>
        <w:t xml:space="preserve">Why This Price</w:t>
      </w:r>
    </w:p>
    <w:p>
      <w:pPr>
        <w:spacing w:after="240"/>
      </w:pPr>
      <w:r>
        <w:rPr>
          <w:rFonts w:ascii="Arial" w:cs="Arial" w:eastAsia="Arial" w:hAnsi="Arial"/>
          <w:b w:val="false"/>
          <w:bCs w:val="false"/>
          <w:i w:val="false"/>
          <w:iCs w:val="false"/>
          <w:color w:val="1E5A78"/>
          <w:sz w:val="22"/>
          <w:szCs w:val="22"/>
        </w:rPr>
        <w:t xml:space="preserve">With no pilot data, no guarantees, and no further involvement from the author</w:t>
      </w:r>
    </w:p>
    <w:p>
      <w:pPr>
        <w:pStyle w:val="Heading1"/>
        <w:spacing w:after="140" w:before="300"/>
      </w:pPr>
      <w:r>
        <w:rPr>
          <w:rFonts w:ascii="Arial" w:cs="Arial" w:eastAsia="Arial" w:hAnsi="Arial"/>
          <w:b/>
          <w:bCs/>
          <w:color w:val="122B33"/>
          <w:sz w:val="27"/>
          <w:szCs w:val="27"/>
        </w:rPr>
        <w:t xml:space="preserve">1 · Enforcement exists. The economics don't.</w:t>
      </w:r>
    </w:p>
    <w:p>
      <w:pPr>
        <w:spacing w:after="120"/>
      </w:pPr>
      <w:r>
        <w:rPr>
          <w:rFonts w:ascii="Arial" w:cs="Arial" w:eastAsia="Arial" w:hAnsi="Arial"/>
          <w:b w:val="false"/>
          <w:bCs w:val="false"/>
          <w:i w:val="false"/>
          <w:iCs w:val="false"/>
          <w:color w:val="122B33"/>
          <w:sz w:val="22"/>
          <w:szCs w:val="22"/>
        </w:rPr>
        <w:t xml:space="preserve">Cashless wallets manage limits and non-gaming spend; platform stacks ship mandated limit tooling; detection vendors flag risk in real time. The battlecard names all of them, because an informed buyer already knows them. What none of them does is pay the player for respecting the limit and convert the preserved budget into the resort's own revenue, tonight. That sentence — enforcement is commodity, the economics are the asset — is the entire position, and it survives diligence because it concedes everything true first.</w:t>
      </w:r>
    </w:p>
    <w:p>
      <w:pPr>
        <w:pStyle w:val="Heading1"/>
        <w:spacing w:after="140" w:before="300"/>
      </w:pPr>
      <w:r>
        <w:rPr>
          <w:rFonts w:ascii="Arial" w:cs="Arial" w:eastAsia="Arial" w:hAnsi="Arial"/>
          <w:b/>
          <w:bCs/>
          <w:color w:val="122B33"/>
          <w:sz w:val="27"/>
          <w:szCs w:val="27"/>
        </w:rPr>
        <w:t xml:space="preserve">2 · Compliance as a revenue line</w:t>
      </w:r>
    </w:p>
    <w:p>
      <w:pPr>
        <w:spacing w:after="120"/>
      </w:pPr>
      <w:r>
        <w:rPr>
          <w:rFonts w:ascii="Arial" w:cs="Arial" w:eastAsia="Arial" w:hAnsi="Arial"/>
          <w:b w:val="false"/>
          <w:bCs w:val="false"/>
          <w:i w:val="false"/>
          <w:iCs w:val="false"/>
          <w:color w:val="122B33"/>
          <w:sz w:val="22"/>
          <w:szCs w:val="22"/>
        </w:rPr>
        <w:t xml:space="preserve">In the baseline, a stop captures €0 of preserved budget and loses 39% of stopped players within the quarter. With the incentive layer, 70% of preserved budget converts into spa, dining, and retail (€214,200 in the synthetic quarter) and the share of stopped players lost within the quarter falls to 16%. The cost centre becomes a booking engine — which is the renewal-call sentence a vendor buyer acquires and the board sentence an operator buyer acquires.</w:t>
      </w:r>
    </w:p>
    <w:p>
      <w:pPr>
        <w:pStyle w:val="Heading1"/>
        <w:spacing w:after="140" w:before="300"/>
      </w:pPr>
      <w:r>
        <w:rPr>
          <w:rFonts w:ascii="Arial" w:cs="Arial" w:eastAsia="Arial" w:hAnsi="Arial"/>
          <w:b/>
          <w:bCs/>
          <w:color w:val="122B33"/>
          <w:sz w:val="27"/>
          <w:szCs w:val="27"/>
        </w:rPr>
        <w:t xml:space="preserve">3 · The liability, printed honestly</w:t>
      </w:r>
    </w:p>
    <w:p>
      <w:pPr>
        <w:spacing w:after="120"/>
      </w:pPr>
      <w:r>
        <w:rPr>
          <w:rFonts w:ascii="Arial" w:cs="Arial" w:eastAsia="Arial" w:hAnsi="Arial"/>
          <w:b w:val="false"/>
          <w:bCs w:val="false"/>
          <w:i w:val="false"/>
          <w:iCs w:val="false"/>
          <w:color w:val="122B33"/>
          <w:sz w:val="22"/>
          <w:szCs w:val="22"/>
        </w:rPr>
        <w:t xml:space="preserve">The rollover is a real liability: €61,200 issued in the model's quarter, returning as play. The package prints it instead of burying it, because it is the bet the architecture makes — that paid retention beats free churn. A buyer who finds the liability themselves stops trusting the rest; this one is on the table from page one.</w:t>
      </w:r>
    </w:p>
    <w:p>
      <w:pPr>
        <w:pStyle w:val="Heading1"/>
        <w:spacing w:after="140" w:before="300"/>
      </w:pPr>
      <w:r>
        <w:rPr>
          <w:rFonts w:ascii="Arial" w:cs="Arial" w:eastAsia="Arial" w:hAnsi="Arial"/>
          <w:b/>
          <w:bCs/>
          <w:color w:val="122B33"/>
          <w:sz w:val="27"/>
          <w:szCs w:val="27"/>
        </w:rPr>
        <w:t xml:space="preserve">4 · The patent landscape, named first</w:t>
      </w:r>
    </w:p>
    <w:p>
      <w:pPr>
        <w:spacing w:after="120"/>
      </w:pPr>
      <w:r>
        <w:rPr>
          <w:rFonts w:ascii="Arial" w:cs="Arial" w:eastAsia="Arial" w:hAnsi="Arial"/>
          <w:b w:val="false"/>
          <w:bCs w:val="false"/>
          <w:i w:val="false"/>
          <w:iCs w:val="false"/>
          <w:color w:val="122B33"/>
          <w:sz w:val="22"/>
          <w:szCs w:val="22"/>
        </w:rPr>
        <w:t xml:space="preserve">On-chain management and enforcement of responsible-gaming limits is patent-encumbered — granted US patents exist in the space. This asset's claims are scoped to the incentive-economics layer; enforcement and funds are kept off-chain by documented design (10), with only proofs hash-anchored. This is not legal advice; a freedom-to-operate review is recommended before any exclusive acquisition. The buyer hears this from the seller, in writing, before counsel finds it — which is itself part of what this package is.</w:t>
      </w:r>
    </w:p>
    <w:p>
      <w:pPr>
        <w:pStyle w:val="Heading1"/>
        <w:spacing w:after="140" w:before="300"/>
      </w:pPr>
      <w:r>
        <w:rPr>
          <w:rFonts w:ascii="Arial" w:cs="Arial" w:eastAsia="Arial" w:hAnsi="Arial"/>
          <w:b/>
          <w:bCs/>
          <w:color w:val="122B33"/>
          <w:sz w:val="27"/>
          <w:szCs w:val="27"/>
        </w:rPr>
        <w:t xml:space="preserve">5 · Cost to replicate, counted honestly</w:t>
      </w:r>
    </w:p>
    <w:p>
      <w:pPr>
        <w:pStyle w:val="ListParagraph"/>
        <w:numPr>
          <w:ilvl w:val="0"/>
          <w:numId w:val="2"/>
        </w:numPr>
        <w:spacing w:after="70"/>
      </w:pPr>
      <w:r>
        <w:rPr>
          <w:rFonts w:ascii="Arial" w:cs="Arial" w:eastAsia="Arial" w:hAnsi="Arial"/>
          <w:b/>
          <w:bCs/>
          <w:color w:val="122B33"/>
          <w:sz w:val="21"/>
          <w:szCs w:val="21"/>
        </w:rPr>
        <w:t xml:space="preserve">The threshold is a config flag; the economics are not. </w:t>
      </w:r>
      <w:r>
        <w:rPr>
          <w:rFonts w:ascii="Arial" w:cs="Arial" w:eastAsia="Arial" w:hAnsi="Arial"/>
          <w:color w:val="122B33"/>
          <w:sz w:val="21"/>
          <w:szCs w:val="21"/>
        </w:rPr>
        <w:t xml:space="preserve">Reward ratios, redirect splits, threshold placement, mode governance, audit anchoring — resolved and documented with rejected variants, including the on-chain branch rejected on purpose.</w:t>
      </w:r>
    </w:p>
    <w:p>
      <w:pPr>
        <w:pStyle w:val="ListParagraph"/>
        <w:numPr>
          <w:ilvl w:val="0"/>
          <w:numId w:val="2"/>
        </w:numPr>
        <w:spacing w:after="70"/>
      </w:pPr>
      <w:r>
        <w:rPr>
          <w:rFonts w:ascii="Arial" w:cs="Arial" w:eastAsia="Arial" w:hAnsi="Arial"/>
          <w:b/>
          <w:bCs/>
          <w:color w:val="122B33"/>
          <w:sz w:val="21"/>
          <w:szCs w:val="21"/>
        </w:rPr>
        <w:t xml:space="preserve">The errors are paid in VIP relationships and audits. </w:t>
      </w:r>
      <w:r>
        <w:rPr>
          <w:rFonts w:ascii="Arial" w:cs="Arial" w:eastAsia="Arial" w:hAnsi="Arial"/>
          <w:color w:val="122B33"/>
          <w:sz w:val="21"/>
          <w:szCs w:val="21"/>
        </w:rPr>
        <w:t xml:space="preserve">A stop without a reward, a reward without a redirect, an audit assembled from memory — each is a churned whale or a long regulator meeting this architecture has already priced out.</w:t>
      </w:r>
    </w:p>
    <w:p>
      <w:pPr>
        <w:pStyle w:val="ListParagraph"/>
        <w:numPr>
          <w:ilvl w:val="0"/>
          <w:numId w:val="2"/>
        </w:numPr>
        <w:spacing w:after="70"/>
      </w:pPr>
      <w:r>
        <w:rPr>
          <w:rFonts w:ascii="Arial" w:cs="Arial" w:eastAsia="Arial" w:hAnsi="Arial"/>
          <w:b/>
          <w:bCs/>
          <w:color w:val="122B33"/>
          <w:sz w:val="21"/>
          <w:szCs w:val="21"/>
        </w:rPr>
        <w:t xml:space="preserve">Provenance anchored: </w:t>
      </w:r>
      <w:r>
        <w:rPr>
          <w:rFonts w:ascii="Arial" w:cs="Arial" w:eastAsia="Arial" w:hAnsi="Arial"/>
          <w:color w:val="122B33"/>
          <w:sz w:val="21"/>
          <w:szCs w:val="21"/>
        </w:rPr>
        <w:t xml:space="preserve">GPG → OpenTimestamps → Bitcoin.</w:t>
      </w:r>
    </w:p>
    <w:p>
      <w:pPr>
        <w:pStyle w:val="Heading1"/>
        <w:spacing w:after="140" w:before="300"/>
      </w:pPr>
      <w:r>
        <w:rPr>
          <w:rFonts w:ascii="Arial" w:cs="Arial" w:eastAsia="Arial" w:hAnsi="Arial"/>
          <w:b/>
          <w:bCs/>
          <w:color w:val="122B33"/>
          <w:sz w:val="27"/>
          <w:szCs w:val="27"/>
        </w:rPr>
        <w:t xml:space="preserve">6 · Synthetic honesty</w:t>
      </w:r>
    </w:p>
    <w:p>
      <w:pPr>
        <w:spacing w:after="120"/>
      </w:pPr>
      <w:r>
        <w:rPr>
          <w:rFonts w:ascii="Arial" w:cs="Arial" w:eastAsia="Arial" w:hAnsi="Arial"/>
          <w:b w:val="false"/>
          <w:bCs w:val="false"/>
          <w:i w:val="false"/>
          <w:iCs w:val="false"/>
          <w:color w:val="122B33"/>
          <w:sz w:val="22"/>
          <w:szCs w:val="22"/>
        </w:rPr>
        <w:t xml:space="preserve">No pilot exists, by declaration. Every figure is labelled, parameters are printed beside the results, and the policy engine runs in the buyer's browser. Diligence rewards the honest version.</w:t>
      </w:r>
    </w:p>
    <w:p>
      <w:pPr>
        <w:spacing w:after="120"/>
      </w:pPr>
      <w:r>
        <w:rPr>
          <w:rFonts w:ascii="Arial" w:cs="Arial" w:eastAsia="Arial" w:hAnsi="Arial"/>
          <w:b w:val="false"/>
          <w:bCs w:val="false"/>
          <w:i w:val="false"/>
          <w:iCs w:val="false"/>
          <w:color w:val="973A3A"/>
          <w:sz w:val="22"/>
          <w:szCs w:val="22"/>
        </w:rPr>
        <w:t xml:space="preserve">Sold as-is. The price in 06b reflects the strategic value the licence carries, not build cost.</w:t>
      </w:r>
    </w:p>
    <w:p>
      <w:pPr>
        <w:spacing w:after="200"/>
      </w:pPr>
      <w:r>
        <w:rPr>
          <w:rFonts w:ascii="Arial" w:cs="Arial" w:eastAsia="Arial" w:hAnsi="Arial"/>
          <w:b w:val="false"/>
          <w:bCs w:val="false"/>
          <w:i w:val="false"/>
          <w:iCs w:val="false"/>
          <w:color w:val="122B33"/>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rPr>
        <w:tc>
          <w:tcPr>
            <w:tcW w:type="dxa" w:w="2200"/>
            <w:tcBorders>
              <w:top w:val="single" w:color="122B33" w:sz="6"/>
              <w:left w:val="single" w:color="122B33" w:sz="6"/>
              <w:bottom w:val="single" w:color="122B33" w:sz="6"/>
              <w:right w:val="single" w:color="122B33" w:sz="6"/>
            </w:tcBorders>
            <w:shd w:fill="E9EEEC" w:val="clear"/>
            <w:tcMar>
              <w:top w:type="dxa" w:w="60"/>
              <w:left w:type="dxa" w:w="110"/>
              <w:bottom w:type="dxa" w:w="60"/>
              <w:right w:type="dxa" w:w="110"/>
            </w:tcMar>
          </w:tcPr>
          <w:p>
            <w:pPr>
              <w:keepNext/>
            </w:pPr>
            <w:r>
              <w:rPr>
                <w:rFonts w:ascii="Courier New" w:cs="Courier New" w:eastAsia="Courier New" w:hAnsi="Courier New"/>
                <w:b/>
                <w:bCs/>
                <w:color w:val="54646A"/>
                <w:sz w:val="15"/>
                <w:szCs w:val="15"/>
              </w:rPr>
              <w:t xml:space="preserve">STUDIO</w:t>
            </w:r>
          </w:p>
        </w:tc>
        <w:tc>
          <w:tcPr>
            <w:tcW w:type="dxa" w:w="6826"/>
            <w:tcBorders>
              <w:top w:val="single" w:color="122B33" w:sz="6"/>
              <w:left w:val="single" w:color="122B33" w:sz="6"/>
              <w:bottom w:val="single" w:color="122B33" w:sz="6"/>
              <w:right w:val="single" w:color="122B33" w:sz="6"/>
            </w:tcBorders>
            <w:tcMar>
              <w:top w:type="dxa" w:w="60"/>
              <w:left w:type="dxa" w:w="110"/>
              <w:bottom w:type="dxa" w:w="60"/>
              <w:right w:type="dxa" w:w="110"/>
            </w:tcMar>
          </w:tcPr>
          <w:p>
            <w:pPr>
              <w:keepNext/>
            </w:pPr>
            <w:r>
              <w:rPr>
                <w:rFonts w:ascii="Arial" w:cs="Arial" w:eastAsia="Arial" w:hAnsi="Arial"/>
                <w:b w:val="false"/>
                <w:bCs w:val="false"/>
                <w:color w:val="122B33"/>
                <w:sz w:val="18"/>
                <w:szCs w:val="18"/>
              </w:rPr>
              <w:t>Trench Logic Studio — Miloš Petrović · milos@trench-logic.com · trenchlogicstudio.com</w:t>
            </w:r>
          </w:p>
        </w:tc>
      </w:tr>
      <w:tr>
        <w:trPr>
          <w:cantSplit/>
        </w:trPr>
        <w:tc>
          <w:tcPr>
            <w:tcW w:type="dxa" w:w="2200"/>
            <w:tcBorders>
              <w:top w:val="single" w:color="122B33" w:sz="6"/>
              <w:left w:val="single" w:color="122B33" w:sz="6"/>
              <w:bottom w:val="single" w:color="122B33" w:sz="6"/>
              <w:right w:val="single" w:color="122B33" w:sz="6"/>
            </w:tcBorders>
            <w:shd w:fill="E9EEEC" w:val="clear"/>
            <w:tcMar>
              <w:top w:type="dxa" w:w="60"/>
              <w:left w:type="dxa" w:w="110"/>
              <w:bottom w:type="dxa" w:w="60"/>
              <w:right w:type="dxa" w:w="110"/>
            </w:tcMar>
          </w:tcPr>
          <w:p>
            <w:pPr>
              <w:keepNext/>
            </w:pPr>
            <w:r>
              <w:rPr>
                <w:rFonts w:ascii="Courier New" w:cs="Courier New" w:eastAsia="Courier New" w:hAnsi="Courier New"/>
                <w:b/>
                <w:bCs/>
                <w:color w:val="54646A"/>
                <w:sz w:val="15"/>
                <w:szCs w:val="15"/>
              </w:rPr>
              <w:t xml:space="preserve">PROJECT</w:t>
            </w:r>
          </w:p>
        </w:tc>
        <w:tc>
          <w:tcPr>
            <w:tcW w:type="dxa" w:w="6826"/>
            <w:tcBorders>
              <w:top w:val="single" w:color="122B33" w:sz="6"/>
              <w:left w:val="single" w:color="122B33" w:sz="6"/>
              <w:bottom w:val="single" w:color="122B33" w:sz="6"/>
              <w:right w:val="single" w:color="122B33" w:sz="6"/>
            </w:tcBorders>
            <w:tcMar>
              <w:top w:type="dxa" w:w="60"/>
              <w:left w:type="dxa" w:w="110"/>
              <w:bottom w:type="dxa" w:w="60"/>
              <w:right w:type="dxa" w:w="110"/>
            </w:tcMar>
          </w:tcPr>
          <w:p>
            <w:pPr>
              <w:keepNext/>
            </w:pPr>
            <w:r>
              <w:rPr>
                <w:rFonts w:ascii="Arial" w:cs="Arial" w:eastAsia="Arial" w:hAnsi="Arial"/>
                <w:b w:val="false"/>
                <w:bCs w:val="false"/>
                <w:color w:val="122B33"/>
                <w:sz w:val="18"/>
                <w:szCs w:val="18"/>
              </w:rPr>
              <w:t xml:space="preserve">VIP SmartContract · Compliance-as-Revenue Layer</w:t>
            </w:r>
          </w:p>
        </w:tc>
      </w:tr>
      <w:tr>
        <w:trPr>
          <w:cantSplit/>
        </w:trPr>
        <w:tc>
          <w:tcPr>
            <w:tcW w:type="dxa" w:w="2200"/>
            <w:tcBorders>
              <w:top w:val="single" w:color="122B33" w:sz="6"/>
              <w:left w:val="single" w:color="122B33" w:sz="6"/>
              <w:bottom w:val="single" w:color="122B33" w:sz="6"/>
              <w:right w:val="single" w:color="122B33" w:sz="6"/>
            </w:tcBorders>
            <w:shd w:fill="E9EEEC" w:val="clear"/>
            <w:tcMar>
              <w:top w:type="dxa" w:w="60"/>
              <w:left w:type="dxa" w:w="110"/>
              <w:bottom w:type="dxa" w:w="60"/>
              <w:right w:type="dxa" w:w="110"/>
            </w:tcMar>
          </w:tcPr>
          <w:p>
            <w:pPr>
              <w:keepNext/>
            </w:pPr>
            <w:r>
              <w:rPr>
                <w:rFonts w:ascii="Courier New" w:cs="Courier New" w:eastAsia="Courier New" w:hAnsi="Courier New"/>
                <w:b/>
                <w:bCs/>
                <w:color w:val="54646A"/>
                <w:sz w:val="15"/>
                <w:szCs w:val="15"/>
              </w:rPr>
              <w:t xml:space="preserve">DOCUMENT</w:t>
            </w:r>
          </w:p>
        </w:tc>
        <w:tc>
          <w:tcPr>
            <w:tcW w:type="dxa" w:w="6826"/>
            <w:tcBorders>
              <w:top w:val="single" w:color="122B33" w:sz="6"/>
              <w:left w:val="single" w:color="122B33" w:sz="6"/>
              <w:bottom w:val="single" w:color="122B33" w:sz="6"/>
              <w:right w:val="single" w:color="122B33" w:sz="6"/>
            </w:tcBorders>
            <w:tcMar>
              <w:top w:type="dxa" w:w="60"/>
              <w:left w:type="dxa" w:w="110"/>
              <w:bottom w:type="dxa" w:w="60"/>
              <w:right w:type="dxa" w:w="110"/>
            </w:tcMar>
          </w:tcPr>
          <w:p>
            <w:pPr>
              <w:keepNext/>
            </w:pPr>
            <w:r>
              <w:rPr>
                <w:rFonts w:ascii="Arial" w:cs="Arial" w:eastAsia="Arial" w:hAnsi="Arial"/>
                <w:b w:val="false"/>
                <w:bCs w:val="false"/>
                <w:color w:val="122B33"/>
                <w:sz w:val="18"/>
                <w:szCs w:val="18"/>
              </w:rPr>
              <w:t xml:space="preserve">06_Value_Justification.docx</w:t>
            </w:r>
          </w:p>
        </w:tc>
      </w:tr>
      <w:tr>
        <w:trPr>
          <w:cantSplit/>
        </w:trPr>
        <w:tc>
          <w:tcPr>
            <w:tcW w:type="dxa" w:w="2200"/>
            <w:tcBorders>
              <w:top w:val="single" w:color="122B33" w:sz="6"/>
              <w:left w:val="single" w:color="122B33" w:sz="6"/>
              <w:bottom w:val="single" w:color="122B33" w:sz="6"/>
              <w:right w:val="single" w:color="122B33" w:sz="6"/>
            </w:tcBorders>
            <w:shd w:fill="E9EEEC" w:val="clear"/>
            <w:tcMar>
              <w:top w:type="dxa" w:w="60"/>
              <w:left w:type="dxa" w:w="110"/>
              <w:bottom w:type="dxa" w:w="60"/>
              <w:right w:type="dxa" w:w="110"/>
            </w:tcMar>
          </w:tcPr>
          <w:p>
            <w:pPr>
              <w:keepNext/>
            </w:pPr>
            <w:r>
              <w:rPr>
                <w:rFonts w:ascii="Courier New" w:cs="Courier New" w:eastAsia="Courier New" w:hAnsi="Courier New"/>
                <w:b/>
                <w:bCs/>
                <w:color w:val="54646A"/>
                <w:sz w:val="15"/>
                <w:szCs w:val="15"/>
              </w:rPr>
              <w:t xml:space="preserve">REVISION</w:t>
            </w:r>
          </w:p>
        </w:tc>
        <w:tc>
          <w:tcPr>
            <w:tcW w:type="dxa" w:w="6826"/>
            <w:tcBorders>
              <w:top w:val="single" w:color="122B33" w:sz="6"/>
              <w:left w:val="single" w:color="122B33" w:sz="6"/>
              <w:bottom w:val="single" w:color="122B33" w:sz="6"/>
              <w:right w:val="single" w:color="122B33" w:sz="6"/>
            </w:tcBorders>
            <w:tcMar>
              <w:top w:type="dxa" w:w="60"/>
              <w:left w:type="dxa" w:w="110"/>
              <w:bottom w:type="dxa" w:w="60"/>
              <w:right w:type="dxa" w:w="110"/>
            </w:tcMar>
          </w:tcPr>
          <w:p>
            <w:pPr>
              <w:keepNext/>
            </w:pPr>
            <w:r>
              <w:rPr>
                <w:rFonts w:ascii="Arial" w:cs="Arial" w:eastAsia="Arial" w:hAnsi="Arial"/>
                <w:b w:val="false"/>
                <w:bCs w:val="false"/>
                <w:color w:val="122B33"/>
                <w:sz w:val="18"/>
                <w:szCs w:val="18"/>
              </w:rPr>
              <w:t>v3.17 · 2026</w:t>
            </w:r>
          </w:p>
        </w:tc>
      </w:tr>
      <w:tr>
        <w:trPr>
          <w:cantSplit/>
        </w:trPr>
        <w:tc>
          <w:tcPr>
            <w:tcW w:type="dxa" w:w="2200"/>
            <w:tcBorders>
              <w:top w:val="single" w:color="122B33" w:sz="6"/>
              <w:left w:val="single" w:color="122B33" w:sz="6"/>
              <w:bottom w:val="single" w:color="122B33" w:sz="6"/>
              <w:right w:val="single" w:color="122B33" w:sz="6"/>
            </w:tcBorders>
            <w:shd w:fill="E9EEEC" w:val="clear"/>
            <w:tcMar>
              <w:top w:type="dxa" w:w="60"/>
              <w:left w:type="dxa" w:w="110"/>
              <w:bottom w:type="dxa" w:w="60"/>
              <w:right w:type="dxa" w:w="110"/>
            </w:tcMar>
          </w:tcPr>
          <w:p>
            <w:pPr>
              <w:keepNext/>
            </w:pPr>
            <w:r>
              <w:rPr>
                <w:rFonts w:ascii="Courier New" w:cs="Courier New" w:eastAsia="Courier New" w:hAnsi="Courier New"/>
                <w:b/>
                <w:bCs/>
                <w:color w:val="54646A"/>
                <w:sz w:val="15"/>
                <w:szCs w:val="15"/>
              </w:rPr>
              <w:t xml:space="preserve">PROOF CHAIN</w:t>
            </w:r>
          </w:p>
        </w:tc>
        <w:tc>
          <w:tcPr>
            <w:tcW w:type="dxa" w:w="6826"/>
            <w:tcBorders>
              <w:top w:val="single" w:color="122B33" w:sz="6"/>
              <w:left w:val="single" w:color="122B33" w:sz="6"/>
              <w:bottom w:val="single" w:color="122B33" w:sz="6"/>
              <w:right w:val="single" w:color="122B33" w:sz="6"/>
            </w:tcBorders>
            <w:tcMar>
              <w:top w:type="dxa" w:w="60"/>
              <w:left w:type="dxa" w:w="110"/>
              <w:bottom w:type="dxa" w:w="60"/>
              <w:right w:type="dxa" w:w="110"/>
            </w:tcMar>
          </w:tcPr>
          <w:p>
            <w:pPr>
              <w:keepNext/>
            </w:pPr>
            <w:r>
              <w:rPr>
                <w:rFonts w:ascii="Arial" w:cs="Arial" w:eastAsia="Arial" w:hAnsi="Arial"/>
                <w:b w:val="false"/>
                <w:bCs w:val="false"/>
                <w:color w:val="122B33"/>
                <w:sz w:val="18"/>
                <w:szCs w:val="18"/>
              </w:rPr>
              <w:t>GPG 9078 8B14 00C2 C2EC … EE0B B22B → SHA-256 → OpenTimestamps → Bitcoin</w:t>
            </w:r>
          </w:p>
        </w:tc>
      </w:tr>
      <w:tr>
        <w:trPr>
          <w:cantSplit/>
        </w:trPr>
        <w:tc>
          <w:tcPr>
            <w:tcW w:type="dxa" w:w="2200"/>
            <w:tcBorders>
              <w:top w:val="single" w:color="122B33" w:sz="6"/>
              <w:left w:val="single" w:color="122B33" w:sz="6"/>
              <w:bottom w:val="single" w:color="122B33" w:sz="6"/>
              <w:right w:val="single" w:color="122B33" w:sz="6"/>
            </w:tcBorders>
            <w:shd w:fill="E9EEEC" w:val="clear"/>
            <w:tcMar>
              <w:top w:type="dxa" w:w="60"/>
              <w:left w:type="dxa" w:w="110"/>
              <w:bottom w:type="dxa" w:w="60"/>
              <w:right w:type="dxa" w:w="110"/>
            </w:tcMar>
          </w:tcPr>
          <w:p>
            <w:r>
              <w:rPr>
                <w:rFonts w:ascii="Courier New" w:cs="Courier New" w:eastAsia="Courier New" w:hAnsi="Courier New"/>
                <w:b/>
                <w:bCs/>
                <w:color w:val="54646A"/>
                <w:sz w:val="15"/>
                <w:szCs w:val="15"/>
              </w:rPr>
              <w:t xml:space="preserve">STATUS</w:t>
            </w:r>
          </w:p>
        </w:tc>
        <w:tc>
          <w:tcPr>
            <w:tcW w:type="dxa" w:w="6826"/>
            <w:tcBorders>
              <w:top w:val="single" w:color="122B33" w:sz="6"/>
              <w:left w:val="single" w:color="122B33" w:sz="6"/>
              <w:bottom w:val="single" w:color="122B33" w:sz="6"/>
              <w:right w:val="single" w:color="122B33" w:sz="6"/>
            </w:tcBorders>
            <w:tcMar>
              <w:top w:type="dxa" w:w="60"/>
              <w:left w:type="dxa" w:w="110"/>
              <w:bottom w:type="dxa" w:w="60"/>
              <w:right w:type="dxa" w:w="110"/>
            </w:tcMar>
          </w:tcPr>
          <w:p>
            <w:r>
              <w:rPr>
                <w:rFonts w:ascii="Arial" w:cs="Arial" w:eastAsia="Arial" w:hAnsi="Arial"/>
                <w:b/>
                <w:bCs/>
                <w:color w:val="973A3A"/>
                <w:sz w:val="18"/>
                <w:szCs w:val="18"/>
              </w:rPr>
              <w:t xml:space="preserve">AS-IS · STRICTLY CONFIDENTIAL · DISTRIBUTION UNDER NDA ONLY</w:t>
            </w:r>
          </w:p>
        </w:tc>
      </w:tr>
    </w:tbl>
    <w:sectPr>
      <w:footerReference w:type="default" r:id="rId7"/>
      <w:headerReference w:type="default" r:id="rId9"/>
      <w:pgSz w:w="11906" w:h="16838" w:orient="portrait"/>
      <w:pgMar w:top="1320" w:right="1380" w:bottom="1320" w:left="13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146"/>
      </w:tabs>
    </w:pPr>
    <w:r>
      <w:rPr>
        <w:rFonts w:ascii="Arial" w:cs="Arial" w:eastAsia="Arial" w:hAnsi="Arial"/>
        <w:color w:val="54646A"/>
        <w:sz w:val="15"/>
        <w:szCs w:val="15"/>
      </w:rPr>
      <w:t>Strictly Confidential · IP of Miloš Petrović, d.b.a. Trench Logic Studio</w:t>
      <w:tab/>
      <w:t xml:space="preserve">VIP v3.17 · </w:t>
    </w:r>
    <w:r>
      <w:rPr>
        <w:sz w:val="15"/>
        <w:szCs w:val="15"/>
      </w:rPr>
    </w:r>
    <w:r>
      <w:rPr>
        <w:rFonts w:ascii="Arial" w:cs="Arial" w:eastAsia="Arial" w:hAnsi="Arial"/>
        <w:color w:val="54646A"/>
        <w:sz w:val="15"/>
        <w:szCs w:val="15"/>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eader" Target="head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Trench Logic Studio</dc:creator>
  <cp:lastModifiedBy>Trench Logic Studio</cp:lastModifiedBy>
  <cp:revision>2</cp:revision>
  <dcterms:created xsi:type="dcterms:W3CDTF">2026-06-11T14:15:11.653Z</dcterms:created>
  <dcterms:modified xsi:type="dcterms:W3CDTF">2026-09-09T21:43:27Z</dcterms:modified>
</cp:coreProperties>
</file>

<file path=docProps/custom.xml><?xml version="1.0" encoding="utf-8"?>
<Properties xmlns="http://schemas.openxmlformats.org/officeDocument/2006/custom-properties" xmlns:vt="http://schemas.openxmlformats.org/officeDocument/2006/docPropsVTypes"/>
</file>