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4646A"/>
          <w:sz w:val="18"/>
          <w:szCs w:val="18"/>
        </w:rPr>
        <w:t xml:space="preserve">TRENCH LOGIC STUDIO · VIP SMARTCONTRACT · PRICING MODEL 06b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22B33"/>
          <w:sz w:val="42"/>
          <w:szCs w:val="42"/>
        </w:rPr>
        <w:t xml:space="preserve">Acquisition Pricing Model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5A78"/>
          <w:sz w:val="22"/>
          <w:szCs w:val="22"/>
        </w:rPr>
        <w:t xml:space="preserve">Annual licence structure · exclusivity after FTO · all transactions as-is · NDA material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2B33"/>
          <w:sz w:val="22"/>
          <w:szCs w:val="22"/>
        </w:rPr>
        <w:t xml:space="preserve">This is the public demonstration of VIP SmartContract v3.17; it carries no commercial terms and no transaction figures, so the content of this document is not included 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STUDIO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Trench Logic Studio — Miloš Petrović · milos@trench-logic.com · trenchlogicstudio.com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PROJECT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VIP SmartContract · Compliance-as-Revenue Layer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DOCUMENT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 xml:space="preserve">06b_Pricing_Model.docx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REVISION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v3.17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PROOF CHAIN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 w:val="false"/>
                <w:bCs w:val="false"/>
                <w:color w:val="122B33"/>
                <w:sz w:val="18"/>
                <w:szCs w:val="18"/>
              </w:rPr>
              <w:t>GPG 9078 8B14 00C2 C2EC … EE0B B22B → SHA-256 → OpenTimestamps → Bitcoin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shd w:fill="E9EE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4646A"/>
                <w:sz w:val="15"/>
                <w:szCs w:val="15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122B33" w:sz="6"/>
              <w:left w:val="single" w:color="122B33" w:sz="6"/>
              <w:bottom w:val="single" w:color="122B33" w:sz="6"/>
              <w:right w:val="single" w:color="122B33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73A3A"/>
                <w:sz w:val="18"/>
                <w:szCs w:val="18"/>
              </w:rPr>
              <w:t xml:space="preserve">AS-IS · STRICTLY CONFIDENTIAL · DISTRIBUTION UNDER NDA ONLY</w:t>
            </w:r>
          </w:p>
        </w:tc>
      </w:tr>
    </w:tbl>
    <w:sectPr>
      <w:footerReference w:type="default" r:id="rId7"/>
      <w:headerReference w:type="default" r:id="rId9"/>
      <w:pgSz w:w="11906" w:h="16838" w:orient="portrait"/>
      <w:pgMar w:top="1320" w:right="1380" w:bottom="1320" w:left="13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146"/>
      </w:tabs>
    </w:pPr>
    <w:r>
      <w:rPr>
        <w:rFonts w:ascii="Arial" w:cs="Arial" w:eastAsia="Arial" w:hAnsi="Arial"/>
        <w:color w:val="54646A"/>
        <w:sz w:val="15"/>
        <w:szCs w:val="15"/>
      </w:rPr>
      <w:t>Strictly Confidential · IP of Miloš Petrović, d.b.a. Trench Logic Studio</w:t>
      <w:tab/>
      <w:t xml:space="preserve">VIP v3.17 · </w:t>
    </w:r>
    <w:r>
      <w:rPr>
        <w:sz w:val="15"/>
        <w:szCs w:val="15"/>
      </w:rPr>
    </w:r>
    <w:r>
      <w:rPr>
        <w:rFonts w:ascii="Arial" w:cs="Arial" w:eastAsia="Arial" w:hAnsi="Arial"/>
        <w:color w:val="54646A"/>
        <w:sz w:val="15"/>
        <w:szCs w:val="15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Trench Logic Studio</dc:creator>
  <cp:lastModifiedBy>Trench Logic Studio</cp:lastModifiedBy>
  <cp:revision>2</cp:revision>
  <dcterms:created xsi:type="dcterms:W3CDTF">2026-06-11T14:15:11.696Z</dcterms:created>
  <dcterms:modified xsi:type="dcterms:W3CDTF">2026-09-09T21:43:27Z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