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STRATEGIC VALUE 07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Strategic Value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A portfolio decision, not a feature purchase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Regulatory capital (operators, 02a):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a property whose limit policy demonstrably pays its players and hash-anchors its decisions walks into every licence renewal with a different posture — compliance as evidence, not assertion.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Product-line creation (vendors, 02b):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the buyer's suite becomes the one in its category selling responsible gaming as a revenue feature — a renewal-call asymmetry a competitor has to build for itself, around a patent landscape this package has already mapped. The licence is non-exclusive unless an exclusivity scope is agreed in Schedule A of 08b.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The whale ledger, stabilised: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VIP concentration stops being a fragility metric when the policy that protects the licence also retains the cohort (84% vs 61% of the limited-VIP cohort, in the model).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Portfolio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VIP SmartContract ships on the studio's documented standard: complete registry, working engine, stated assumptions, a battlecard that names the patent landscape before the buyer's counsel does, legal kit, anchored provenance. Built to survive diligence without the author in the room — the condition any as-is transfer must satisfy.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73A3A"/>
          <w:sz w:val="22"/>
          <w:szCs w:val="22"/>
        </w:rPr>
        <w:t xml:space="preserve">Sold as-is. Strategic framing reflects the author's analysis at issue date; the buyer's own evaluation governs.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07_Strategic_Value.docx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 ·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2026-06-11T14:15:11.788Z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