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46A"/>
          <w:sz w:val="18"/>
          <w:szCs w:val="18"/>
        </w:rPr>
        <w:t xml:space="preserve">TRENCH LOGIC STUDIO · VIP SMARTCONTRACT · DESIGN RATIONALE 10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22B33"/>
          <w:sz w:val="42"/>
          <w:szCs w:val="42"/>
        </w:rPr>
        <w:t xml:space="preserve">Design Rationale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5A78"/>
          <w:sz w:val="22"/>
          <w:szCs w:val="22"/>
        </w:rPr>
        <w:t xml:space="preserve">Variants considered, and why the shipped shape won · Registry slot 10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2B33"/>
          <w:sz w:val="22"/>
          <w:szCs w:val="22"/>
        </w:rPr>
        <w:t xml:space="preserve">The reasoning travels with the licence rather than staying with the author. Rejected branches are part of the acquired IP; any may be re-opened with full knowledge of why it was closed.</w:t>
      </w:r>
    </w:p>
    <w:p>
      <w:pPr>
        <w:pStyle w:val="Heading2"/>
        <w:spacing w:after="110" w:before="230"/>
      </w:pPr>
      <w:r>
        <w:rPr>
          <w:rFonts w:ascii="Arial" w:cs="Arial" w:eastAsia="Arial" w:hAnsi="Arial"/>
          <w:b/>
          <w:bCs/>
          <w:color w:val="1E5A78"/>
          <w:sz w:val="23"/>
          <w:szCs w:val="23"/>
        </w:rPr>
        <w:t xml:space="preserve">1 · On-chain enforcement — rejected on purpose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2B33"/>
          <w:sz w:val="22"/>
          <w:szCs w:val="22"/>
        </w:rPr>
        <w:t xml:space="preserve">Decision: middleware. Funds and rules live off-chain; only proofs of decisions are hash-anchored. Variant: full on-chain enforcement of limits and budgets — the architecture the product's name seems to promise. Rejected for three compounding reasons: the space is patent-encumbered (granted US patents on blockchain-based RG limit enforcement — scope note in 01); regulated operators are institutionally averse to player funds touching a chain; and regulators audit decisions, not ledgers — the audit value survives the move off-chain, the liabilities do not.</w:t>
      </w:r>
    </w:p>
    <w:p>
      <w:pPr>
        <w:pStyle w:val="Heading2"/>
        <w:spacing w:after="110" w:before="230"/>
      </w:pPr>
      <w:r>
        <w:rPr>
          <w:rFonts w:ascii="Arial" w:cs="Arial" w:eastAsia="Arial" w:hAnsi="Arial"/>
          <w:b/>
          <w:bCs/>
          <w:color w:val="1E5A78"/>
          <w:sz w:val="23"/>
          <w:szCs w:val="23"/>
        </w:rPr>
        <w:t xml:space="preserve">2 · Reward over penalty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2B33"/>
          <w:sz w:val="22"/>
          <w:szCs w:val="22"/>
        </w:rPr>
        <w:t xml:space="preserve">Variants: pure hard stop (the industry baseline — in the model it loses 39% of the players who hit a stop within the quarter); escalating penalties for approaching limits. Rejected: penalties make the policy the adversary. The rollover inverts the worst moment — the player is paid for stopping — and the redirect gives the evening somewhere to go. The behavioural inversion is the asset.</w:t>
      </w:r>
    </w:p>
    <w:p>
      <w:pPr>
        <w:pStyle w:val="Heading2"/>
        <w:spacing w:after="110" w:before="230"/>
      </w:pPr>
      <w:r>
        <w:rPr>
          <w:rFonts w:ascii="Arial" w:cs="Arial" w:eastAsia="Arial" w:hAnsi="Arial"/>
          <w:b/>
          <w:bCs/>
          <w:color w:val="1E5A78"/>
          <w:sz w:val="23"/>
          <w:szCs w:val="23"/>
        </w:rPr>
        <w:t xml:space="preserve">3 · The stop at 50% of the pre-committed budget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2B33"/>
          <w:sz w:val="22"/>
          <w:szCs w:val="22"/>
        </w:rPr>
        <w:t xml:space="preserve">Variants: a stop at 30% of the pre-committed budget (stops too many sessions too early — resentment without protection value); at 70% of it (preserves too little to fund a meaningful incentive). 50% of the pre-committed budget balances protection, preserved-budget size, and incentive credibility — and remains a per-jurisdiction configuration, not a constant.</w:t>
      </w:r>
    </w:p>
    <w:p>
      <w:pPr>
        <w:pStyle w:val="Heading2"/>
        <w:spacing w:after="110" w:before="230"/>
      </w:pPr>
      <w:r>
        <w:rPr>
          <w:rFonts w:ascii="Arial" w:cs="Arial" w:eastAsia="Arial" w:hAnsi="Arial"/>
          <w:b/>
          <w:bCs/>
          <w:color w:val="1E5A78"/>
          <w:sz w:val="23"/>
          <w:szCs w:val="23"/>
        </w:rPr>
        <w:t xml:space="preserve">4 · Redirect split 30/25/15 with 20% rollover, of preserved budget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2B33"/>
          <w:sz w:val="22"/>
          <w:szCs w:val="22"/>
        </w:rPr>
        <w:t xml:space="preserve">Variants: all of the preserved budget as rollover (pure gaming liability, zero resort capture); all of it as resort credit (no return motive — the next visit is unfunded). The split funds tonight's revenue and the next visit simultaneously; the residual returns to the guest, which is the point of the policy.</w:t>
      </w:r>
    </w:p>
    <w:p>
      <w:pPr>
        <w:pStyle w:val="Heading2"/>
        <w:spacing w:after="110" w:before="230"/>
      </w:pPr>
      <w:r>
        <w:rPr>
          <w:rFonts w:ascii="Arial" w:cs="Arial" w:eastAsia="Arial" w:hAnsi="Arial"/>
          <w:b/>
          <w:bCs/>
          <w:color w:val="1E5A78"/>
          <w:sz w:val="23"/>
          <w:szCs w:val="23"/>
        </w:rPr>
        <w:t xml:space="preserve">5 · Two modes, not two products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2B33"/>
          <w:sz w:val="22"/>
          <w:szCs w:val="22"/>
        </w:rPr>
        <w:t xml:space="preserve">Variant: separate Advisory product for host-led properties. Rejected: governance is configuration; forking the codebase forks the price list and the audit story. Advisory is the on-ramp to Hard-Stop, specified as such.</w:t>
      </w:r>
    </w:p>
    <w:p>
      <w:pPr>
        <w:pStyle w:val="Heading2"/>
        <w:spacing w:after="110" w:before="230"/>
      </w:pPr>
      <w:r>
        <w:rPr>
          <w:rFonts w:ascii="Arial" w:cs="Arial" w:eastAsia="Arial" w:hAnsi="Arial"/>
          <w:b/>
          <w:bCs/>
          <w:color w:val="1E5A78"/>
          <w:sz w:val="23"/>
          <w:szCs w:val="23"/>
        </w:rPr>
        <w:t xml:space="preserve">6 · The name, kept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2B33"/>
          <w:sz w:val="22"/>
          <w:szCs w:val="22"/>
        </w:rPr>
        <w:t xml:space="preserve">Variant: rename to avoid the crypto misread that "SmartContract" invites. Decision: the name stays — it carries the verification promise that differentiates the audit story — and every document answers the misread in its first breath: middleware, funds never on chain. The brand keeps the promise visible; the architecture keeps the promise honest.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54646A"/>
          <w:sz w:val="22"/>
          <w:szCs w:val="22"/>
        </w:rPr>
        <w:t xml:space="preserve">Considered variants are intellectual property of the studio and are part of the Licensed IP as clause 1 of 08b defines it.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2B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STUDIO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>Trench Logic Studio — Miloš Petrović · milos@trench-logic.com · trenchlogicstudio.com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PROJECT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 xml:space="preserve">VIP SmartContract · Compliance-as-Revenue Layer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DOCUMENT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 xml:space="preserve">10_Design_Rationale.docx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REVISION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>v3.17 ·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PROOF CHAIN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>GPG 9078 8B14 00C2 C2EC … EE0B B22B → SHA-256 → OpenTimestamps → Bitcoin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STATUS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73A3A"/>
                <w:sz w:val="18"/>
                <w:szCs w:val="18"/>
              </w:rPr>
              <w:t xml:space="preserve">AS-IS · STRICTLY CONFIDENTIAL · DISTRIBUTION UNDER NDA ONLY</w:t>
            </w:r>
          </w:p>
        </w:tc>
      </w:tr>
    </w:tbl>
    <w:sectPr>
      <w:footerReference w:type="default" r:id="rId7"/>
      <w:headerReference w:type="default" r:id="rId9"/>
      <w:pgSz w:w="11906" w:h="16838" w:orient="portrait"/>
      <w:pgMar w:top="1320" w:right="1380" w:bottom="1320" w:left="13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146"/>
      </w:tabs>
    </w:pPr>
    <w:r>
      <w:rPr>
        <w:rFonts w:ascii="Arial" w:cs="Arial" w:eastAsia="Arial" w:hAnsi="Arial"/>
        <w:color w:val="54646A"/>
        <w:sz w:val="15"/>
        <w:szCs w:val="15"/>
      </w:rPr>
      <w:t>Strictly Confidential · IP of Miloš Petrović, d.b.a. Trench Logic Studio</w:t>
      <w:tab/>
      <w:t xml:space="preserve">VIP v3.17 · </w:t>
    </w:r>
    <w:r>
      <w:rPr>
        <w:sz w:val="15"/>
        <w:szCs w:val="15"/>
      </w:rPr>
    </w:r>
    <w:r>
      <w:rPr>
        <w:rFonts w:ascii="Arial" w:cs="Arial" w:eastAsia="Arial" w:hAnsi="Arial"/>
        <w:color w:val="54646A"/>
        <w:sz w:val="15"/>
        <w:szCs w:val="15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Trench Logic Studio</dc:creator>
  <cp:lastModifiedBy>Trench Logic Studio</cp:lastModifiedBy>
  <cp:revision>2</cp:revision>
  <dcterms:created xsi:type="dcterms:W3CDTF">2026-06-11T14:15:11.828Z</dcterms:created>
  <dcterms:modified xsi:type="dcterms:W3CDTF">2026-09-09T21:43:27Z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